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D1658C" w14:textId="77777777" w:rsidR="008C0C1F" w:rsidRPr="001778B3" w:rsidRDefault="008C0C1F">
      <w:pPr>
        <w:rPr>
          <w:rFonts w:asciiTheme="majorHAnsi" w:hAnsiTheme="majorHAnsi"/>
          <w:b/>
          <w:lang w:val="en-GB"/>
        </w:rPr>
      </w:pPr>
      <w:r w:rsidRPr="001778B3">
        <w:rPr>
          <w:rFonts w:asciiTheme="majorHAnsi" w:hAnsiTheme="majorHAnsi"/>
          <w:b/>
          <w:noProof/>
          <w:lang w:val="en-US"/>
        </w:rPr>
        <w:drawing>
          <wp:anchor distT="0" distB="0" distL="114300" distR="114300" simplePos="0" relativeHeight="251658240" behindDoc="0" locked="0" layoutInCell="1" allowOverlap="1" wp14:anchorId="6BE151B0" wp14:editId="3E07AB93">
            <wp:simplePos x="0" y="0"/>
            <wp:positionH relativeFrom="column">
              <wp:posOffset>0</wp:posOffset>
            </wp:positionH>
            <wp:positionV relativeFrom="paragraph">
              <wp:posOffset>0</wp:posOffset>
            </wp:positionV>
            <wp:extent cx="1320800" cy="1320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extLst>
                        <a:ext uri="{28A0092B-C50C-407E-A947-70E740481C1C}">
                          <a14:useLocalDpi xmlns:a14="http://schemas.microsoft.com/office/drawing/2010/main" val="0"/>
                        </a:ext>
                      </a:extLst>
                    </a:blip>
                    <a:stretch>
                      <a:fillRect/>
                    </a:stretch>
                  </pic:blipFill>
                  <pic:spPr>
                    <a:xfrm>
                      <a:off x="0" y="0"/>
                      <a:ext cx="1320800" cy="1320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778B3">
        <w:rPr>
          <w:rFonts w:asciiTheme="majorHAnsi" w:hAnsiTheme="majorHAnsi"/>
          <w:b/>
          <w:lang w:val="en-GB"/>
        </w:rPr>
        <w:t>EU-CHINA SOCIAL PROTECTION REFORM PROJECT SPRP</w:t>
      </w:r>
    </w:p>
    <w:p w14:paraId="5531707E" w14:textId="77777777" w:rsidR="008C0C1F" w:rsidRPr="001778B3" w:rsidRDefault="008C0C1F">
      <w:pPr>
        <w:rPr>
          <w:rFonts w:asciiTheme="majorHAnsi" w:hAnsiTheme="majorHAnsi"/>
          <w:b/>
          <w:lang w:val="en-GB"/>
        </w:rPr>
      </w:pPr>
      <w:r w:rsidRPr="001778B3">
        <w:rPr>
          <w:rFonts w:asciiTheme="majorHAnsi" w:hAnsiTheme="majorHAnsi"/>
          <w:b/>
          <w:lang w:val="en-GB"/>
        </w:rPr>
        <w:t>HIGH LEVEL EVENT 2016</w:t>
      </w:r>
    </w:p>
    <w:p w14:paraId="64B57A4C" w14:textId="77777777" w:rsidR="008C0C1F" w:rsidRPr="001778B3" w:rsidRDefault="008C0C1F">
      <w:pPr>
        <w:rPr>
          <w:rFonts w:asciiTheme="majorHAnsi" w:hAnsiTheme="majorHAnsi"/>
          <w:b/>
          <w:lang w:val="en-GB"/>
        </w:rPr>
      </w:pPr>
      <w:r w:rsidRPr="001778B3">
        <w:rPr>
          <w:rFonts w:asciiTheme="majorHAnsi" w:hAnsiTheme="majorHAnsi"/>
          <w:b/>
          <w:lang w:val="en-GB"/>
        </w:rPr>
        <w:t xml:space="preserve">« PERSPECTIVE OF EMPLOYMENT POLICY AND SOCIAL SECURITY REFORM – 2016 TO 2020 », </w:t>
      </w:r>
    </w:p>
    <w:p w14:paraId="21219E5D" w14:textId="77777777" w:rsidR="008C0C1F" w:rsidRPr="001778B3" w:rsidRDefault="008C0C1F">
      <w:pPr>
        <w:rPr>
          <w:rFonts w:asciiTheme="majorHAnsi" w:hAnsiTheme="majorHAnsi"/>
          <w:b/>
          <w:lang w:val="en-GB"/>
        </w:rPr>
      </w:pPr>
      <w:r w:rsidRPr="001778B3">
        <w:rPr>
          <w:rFonts w:asciiTheme="majorHAnsi" w:hAnsiTheme="majorHAnsi"/>
          <w:b/>
          <w:lang w:val="en-GB"/>
        </w:rPr>
        <w:t>BEIJING 28 TO 29 SEPTEMBER 2016</w:t>
      </w:r>
    </w:p>
    <w:p w14:paraId="21C506B7" w14:textId="77777777" w:rsidR="00741E30" w:rsidRPr="001778B3" w:rsidRDefault="008C0C1F">
      <w:pPr>
        <w:rPr>
          <w:rFonts w:asciiTheme="majorHAnsi" w:hAnsiTheme="majorHAnsi"/>
          <w:sz w:val="44"/>
          <w:szCs w:val="44"/>
          <w:lang w:val="en-GB"/>
        </w:rPr>
      </w:pPr>
      <w:r w:rsidRPr="001778B3">
        <w:rPr>
          <w:rFonts w:asciiTheme="majorHAnsi" w:hAnsiTheme="majorHAnsi"/>
          <w:sz w:val="44"/>
          <w:szCs w:val="44"/>
          <w:lang w:val="en-GB"/>
        </w:rPr>
        <w:t>COUNTRY PROFILE France</w:t>
      </w:r>
    </w:p>
    <w:p w14:paraId="1E9F6569" w14:textId="77777777" w:rsidR="008C0C1F" w:rsidRPr="001778B3" w:rsidRDefault="008C0C1F">
      <w:pPr>
        <w:rPr>
          <w:rFonts w:asciiTheme="majorHAnsi" w:hAnsiTheme="majorHAnsi"/>
          <w:sz w:val="44"/>
          <w:szCs w:val="44"/>
          <w:lang w:val="en-GB"/>
        </w:rPr>
      </w:pPr>
    </w:p>
    <w:p w14:paraId="64023932" w14:textId="77777777" w:rsidR="008C0C1F" w:rsidRPr="00F91AFF" w:rsidRDefault="008C0C1F" w:rsidP="001778B3">
      <w:pPr>
        <w:pStyle w:val="ListParagraph"/>
        <w:numPr>
          <w:ilvl w:val="0"/>
          <w:numId w:val="1"/>
        </w:numPr>
        <w:ind w:left="0" w:firstLine="0"/>
        <w:rPr>
          <w:rFonts w:asciiTheme="majorHAnsi" w:hAnsiTheme="majorHAnsi"/>
          <w:b/>
          <w:sz w:val="28"/>
          <w:szCs w:val="28"/>
          <w:lang w:val="en-GB"/>
        </w:rPr>
      </w:pPr>
      <w:r w:rsidRPr="00F91AFF">
        <w:rPr>
          <w:rFonts w:asciiTheme="majorHAnsi" w:hAnsiTheme="majorHAnsi"/>
          <w:b/>
          <w:sz w:val="28"/>
          <w:szCs w:val="28"/>
          <w:lang w:val="en-GB"/>
        </w:rPr>
        <w:t>MACRO-ECONOMIC SITUATION DURING THE PERIOD 2016-202</w:t>
      </w:r>
    </w:p>
    <w:p w14:paraId="44591B04" w14:textId="77777777" w:rsidR="001778B3" w:rsidRPr="001778B3" w:rsidRDefault="008C0C1F" w:rsidP="00595350">
      <w:pPr>
        <w:widowControl w:val="0"/>
        <w:autoSpaceDE w:val="0"/>
        <w:autoSpaceDN w:val="0"/>
        <w:adjustRightInd w:val="0"/>
        <w:ind w:left="360"/>
        <w:rPr>
          <w:rFonts w:asciiTheme="majorHAnsi" w:hAnsiTheme="majorHAnsi" w:cs="Arial"/>
          <w:color w:val="262626"/>
          <w:sz w:val="28"/>
          <w:szCs w:val="28"/>
          <w:lang w:val="en-GB"/>
        </w:rPr>
      </w:pPr>
      <w:r w:rsidRPr="001778B3">
        <w:rPr>
          <w:rFonts w:asciiTheme="majorHAnsi" w:hAnsiTheme="majorHAnsi" w:cs="Arial"/>
          <w:color w:val="262626"/>
          <w:sz w:val="28"/>
          <w:szCs w:val="28"/>
          <w:lang w:val="en-GB"/>
        </w:rPr>
        <w:t xml:space="preserve">(SOURCE: </w:t>
      </w:r>
      <w:r w:rsidR="001778B3" w:rsidRPr="001778B3">
        <w:rPr>
          <w:rFonts w:asciiTheme="majorHAnsi" w:hAnsiTheme="majorHAnsi" w:cs="Arial"/>
          <w:color w:val="262626"/>
          <w:sz w:val="28"/>
          <w:szCs w:val="28"/>
          <w:lang w:val="en-GB"/>
        </w:rPr>
        <w:t xml:space="preserve">National reform programme 2015 – contribution to the Europe 2020 Strategy  </w:t>
      </w:r>
      <w:hyperlink r:id="rId9" w:history="1">
        <w:r w:rsidR="001778B3" w:rsidRPr="001778B3">
          <w:rPr>
            <w:rStyle w:val="Hyperlink"/>
            <w:rFonts w:asciiTheme="majorHAnsi" w:hAnsiTheme="majorHAnsi" w:cs="Arial"/>
            <w:lang w:val="en-GB"/>
          </w:rPr>
          <w:t>http://ec.europa.eu/europe2020/pdf/csr2015/nrp2015_france_resume_en.pdf</w:t>
        </w:r>
      </w:hyperlink>
      <w:r w:rsidR="001778B3" w:rsidRPr="001778B3">
        <w:rPr>
          <w:rFonts w:asciiTheme="majorHAnsi" w:hAnsiTheme="majorHAnsi" w:cs="Arial"/>
          <w:color w:val="262626"/>
          <w:lang w:val="en-GB"/>
        </w:rPr>
        <w:t xml:space="preserve"> </w:t>
      </w:r>
      <w:r w:rsidR="001778B3" w:rsidRPr="001778B3">
        <w:rPr>
          <w:rFonts w:asciiTheme="majorHAnsi" w:hAnsiTheme="majorHAnsi" w:cs="Arial"/>
          <w:color w:val="262626"/>
          <w:sz w:val="28"/>
          <w:szCs w:val="28"/>
          <w:lang w:val="en-GB"/>
        </w:rPr>
        <w:t xml:space="preserve"> </w:t>
      </w:r>
      <w:r w:rsidRPr="001778B3">
        <w:rPr>
          <w:rFonts w:asciiTheme="majorHAnsi" w:hAnsiTheme="majorHAnsi" w:cs="Arial"/>
          <w:color w:val="262626"/>
          <w:sz w:val="28"/>
          <w:szCs w:val="28"/>
          <w:lang w:val="en-GB"/>
        </w:rPr>
        <w:t>)</w:t>
      </w:r>
    </w:p>
    <w:p w14:paraId="296E38DA" w14:textId="77777777" w:rsidR="001778B3" w:rsidRDefault="001778B3" w:rsidP="001778B3">
      <w:pPr>
        <w:pStyle w:val="NormalWeb"/>
        <w:rPr>
          <w:rFonts w:ascii="Helvetica Neue" w:hAnsi="Helvetica Neue"/>
          <w:color w:val="3A3A3A"/>
          <w:lang w:val="en-GB"/>
        </w:rPr>
      </w:pPr>
      <w:r>
        <w:rPr>
          <w:rFonts w:ascii="Helvetica Neue" w:hAnsi="Helvetica Neue"/>
          <w:color w:val="3A3A3A"/>
          <w:lang w:val="en-GB"/>
        </w:rPr>
        <w:t>Executive Summary</w:t>
      </w:r>
      <w:r w:rsidR="003E3104">
        <w:rPr>
          <w:rFonts w:ascii="Helvetica Neue" w:hAnsi="Helvetica Neue"/>
          <w:color w:val="3A3A3A"/>
          <w:lang w:val="en-GB"/>
        </w:rPr>
        <w:t xml:space="preserve"> of the French National Programme 2015 (Prime Minister’s Office) </w:t>
      </w:r>
      <w:r>
        <w:rPr>
          <w:rFonts w:ascii="Helvetica Neue" w:hAnsi="Helvetica Neue"/>
          <w:color w:val="3A3A3A"/>
          <w:lang w:val="en-GB"/>
        </w:rPr>
        <w:t xml:space="preserve">: </w:t>
      </w:r>
    </w:p>
    <w:p w14:paraId="0487D938" w14:textId="77777777" w:rsidR="001778B3" w:rsidRPr="001778B3" w:rsidRDefault="001778B3" w:rsidP="00595350">
      <w:pPr>
        <w:pStyle w:val="NormalWeb"/>
        <w:spacing w:before="0" w:beforeAutospacing="0" w:after="0" w:afterAutospacing="0"/>
        <w:jc w:val="both"/>
        <w:rPr>
          <w:lang w:val="en-GB"/>
        </w:rPr>
      </w:pPr>
      <w:r>
        <w:rPr>
          <w:rFonts w:ascii="Helvetica Neue" w:hAnsi="Helvetica Neue"/>
          <w:color w:val="3A3A3A"/>
          <w:lang w:val="en-GB"/>
        </w:rPr>
        <w:t>“</w:t>
      </w:r>
      <w:r w:rsidRPr="001778B3">
        <w:rPr>
          <w:rFonts w:ascii="Helvetica Neue" w:hAnsi="Helvetica Neue"/>
          <w:color w:val="3A3A3A"/>
          <w:lang w:val="en-GB"/>
        </w:rPr>
        <w:t xml:space="preserve">The French economy has many strengths, including its institutional framework, the top-rate infrastructure across its territory, its financial system, the quality of its workforce and its positive demographic trends, and its productivity per hour worked is one of the highest in the world. All those aspects are essential for its competitiveness and thus growth, both now and in the future. However, those unquestionable qualities cannot mask considerable economic challenges. France knows that it needs to address them; it continues, and will continue to undertake ambitious reforms . </w:t>
      </w:r>
    </w:p>
    <w:p w14:paraId="6AA4DA89" w14:textId="77777777" w:rsidR="001778B3" w:rsidRPr="001778B3" w:rsidRDefault="001778B3" w:rsidP="00595350">
      <w:pPr>
        <w:pStyle w:val="NormalWeb"/>
        <w:spacing w:before="0" w:beforeAutospacing="0" w:after="0" w:afterAutospacing="0"/>
        <w:jc w:val="both"/>
        <w:rPr>
          <w:lang w:val="en-GB"/>
        </w:rPr>
      </w:pPr>
      <w:r w:rsidRPr="001778B3">
        <w:rPr>
          <w:rFonts w:ascii="Helvetica Neue" w:hAnsi="Helvetica Neue"/>
          <w:color w:val="3A3A3A"/>
          <w:lang w:val="en-GB"/>
        </w:rPr>
        <w:t xml:space="preserve">For example, the competitiveness of businesses has gradually worsened since the early 2000s, leading to a slump in the margins of companies and a fall in our export market share. Over the same period, control of our public expenditures has been insufficient, to the extent that they represent a very considerable portion of national wealth, which limits the government's room for manoeuvre. These developments limit France's ability to build on its strengths. France's economic agenda therefore aims to curb those imbalances with determination so as to create the conditions for a sustainable, fair and job-rich growth, in-line with the “Europe 2020” strategy and the economic and social goals that it lays down. Moreover, the coordination of economic policies is absolutely necessary in a monetary union, and the aim of this national reform programme is also to serve as a basis for debate in the framework of the European Semester. </w:t>
      </w:r>
    </w:p>
    <w:p w14:paraId="5160A584" w14:textId="77777777" w:rsidR="001778B3" w:rsidRPr="001778B3" w:rsidRDefault="001778B3" w:rsidP="00595350">
      <w:pPr>
        <w:pStyle w:val="NormalWeb"/>
        <w:spacing w:before="0" w:beforeAutospacing="0" w:after="0" w:afterAutospacing="0"/>
        <w:jc w:val="both"/>
        <w:rPr>
          <w:lang w:val="en-GB"/>
        </w:rPr>
      </w:pPr>
      <w:r w:rsidRPr="001778B3">
        <w:rPr>
          <w:rFonts w:ascii="Helvetica Neue" w:hAnsi="Helvetica Neue"/>
          <w:color w:val="3A3A3A"/>
          <w:lang w:val="en-GB"/>
        </w:rPr>
        <w:t>France is therefore implementing a long-term reform strategy, undertaken in consultation and in a spirit of social dialogue that contributes to generating and strengthening the economic recovery in France and the eurozone. The approach was deliberately chosen not to be a sharp break-away; on the contrary it involves generating momentum through a series of targeted, coordinated and effective reforms that all have one ambition: modernizing, simplifying and freeing up economic activity, so that it can restart fully and sustainably. The public finances strategy ensures that the public deficit falls back below 3% of GDP in 2017. It is described in the stability programme, while the economic reform strategy is detailed in this national reform programme. The latter is implemented through determined efforts, especially as regards price competitiveness, with reduced employer contributions and taxes, as well as non-price competitiveness with simplification of administrative procedures, the repeal of unnecessary regulations that are a barrier to activity, support for investment and innovation, and improved functioning of the labour market. Above and beyond the strategy to restore business competitiveness, the government's reform agenda (</w:t>
      </w:r>
      <w:hyperlink r:id="rId10" w:history="1">
        <w:r w:rsidR="00CE24AE" w:rsidRPr="00FA0B1A">
          <w:rPr>
            <w:rStyle w:val="Hyperlink"/>
            <w:rFonts w:ascii="Helvetica Neue" w:hAnsi="Helvetica Neue"/>
            <w:lang w:val="en-GB"/>
          </w:rPr>
          <w:t>http://www.gouvernement.fr/agenda-reformes</w:t>
        </w:r>
      </w:hyperlink>
      <w:r w:rsidR="00CE24AE">
        <w:rPr>
          <w:rFonts w:ascii="Helvetica Neue" w:hAnsi="Helvetica Neue"/>
          <w:color w:val="3A3A3A"/>
          <w:lang w:val="en-GB"/>
        </w:rPr>
        <w:t xml:space="preserve"> </w:t>
      </w:r>
      <w:r w:rsidRPr="001778B3">
        <w:rPr>
          <w:rFonts w:ascii="Helvetica Neue" w:hAnsi="Helvetica Neue"/>
          <w:color w:val="3A3A3A"/>
          <w:lang w:val="en-GB"/>
        </w:rPr>
        <w:t xml:space="preserve">) includes two other priorities: combating inequality and preparing for the future. Fighting inequality is vital, especially as the financial crisis has contributed to increasing precariousness, which in turn affects economic activity. Preparing for the future is just as important, as the strength of our economy will increasingly reside in its ability to prepare, in particular, for ecological and demographic challenges. In that respect, the French agenda is fully consistent with the European one. </w:t>
      </w:r>
    </w:p>
    <w:p w14:paraId="03BA9A70" w14:textId="77777777" w:rsidR="001778B3" w:rsidRPr="001778B3" w:rsidRDefault="001778B3" w:rsidP="00595350">
      <w:pPr>
        <w:pStyle w:val="NormalWeb"/>
        <w:spacing w:before="0" w:beforeAutospacing="0" w:after="0" w:afterAutospacing="0"/>
        <w:jc w:val="both"/>
        <w:rPr>
          <w:lang w:val="en-GB"/>
        </w:rPr>
      </w:pPr>
      <w:r w:rsidRPr="001778B3">
        <w:rPr>
          <w:rFonts w:ascii="Helvetica Neue" w:hAnsi="Helvetica Neue"/>
          <w:lang w:val="en-GB"/>
        </w:rPr>
        <w:t xml:space="preserve">The first results are already being felt. The current account deficit has thus got smaller, representing only 1.0% of GDP as of 2014, while the rate of taxes and contributions paid by businesses began to fall the same year. The margin of businesses, for its part, is set to increase considerably in the first half of 2015 thanks to control of the cost of labour. And, after three years of stabilization, foreign direct investment decisions in France increased by 8% in 2014, which is a sign of improved attractiveness. </w:t>
      </w:r>
    </w:p>
    <w:p w14:paraId="28C37A3A" w14:textId="77777777" w:rsidR="001778B3" w:rsidRPr="001778B3" w:rsidRDefault="001778B3" w:rsidP="001778B3">
      <w:pPr>
        <w:pStyle w:val="NormalWeb"/>
        <w:jc w:val="both"/>
        <w:rPr>
          <w:lang w:val="en-GB"/>
        </w:rPr>
      </w:pPr>
      <w:r w:rsidRPr="001778B3">
        <w:rPr>
          <w:rFonts w:ascii="Helvetica Neue" w:hAnsi="Helvetica Neue"/>
          <w:lang w:val="en-GB"/>
        </w:rPr>
        <w:t xml:space="preserve">Overall, these reforms should strengthen the French economy's potential and long-term resilience. In </w:t>
      </w:r>
      <w:r w:rsidR="003E3104" w:rsidRPr="001778B3">
        <w:rPr>
          <w:rFonts w:ascii="Helvetica Neue" w:hAnsi="Helvetica Neue"/>
          <w:lang w:val="en-GB"/>
        </w:rPr>
        <w:t>October</w:t>
      </w:r>
      <w:r w:rsidRPr="001778B3">
        <w:rPr>
          <w:rFonts w:ascii="Helvetica Neue" w:hAnsi="Helvetica Neue"/>
          <w:lang w:val="en-GB"/>
        </w:rPr>
        <w:t xml:space="preserve"> 2014, the OECD assessed the impact of the reforms already undertaken at 3 GDP points in a 10 </w:t>
      </w:r>
      <w:r w:rsidRPr="001778B3">
        <w:rPr>
          <w:rFonts w:ascii="Helvetica Neue" w:hAnsi="Helvetica Neue"/>
          <w:lang w:val="en-GB"/>
        </w:rPr>
        <w:lastRenderedPageBreak/>
        <w:t xml:space="preserve">years' time horizon. Taking into account all our reforms, including those which will be undertaken by early 2016, </w:t>
      </w:r>
      <w:r w:rsidR="003E3104" w:rsidRPr="001778B3">
        <w:rPr>
          <w:rFonts w:ascii="Helvetica Neue" w:hAnsi="Helvetica Neue"/>
          <w:lang w:val="en-GB"/>
        </w:rPr>
        <w:t>on-going</w:t>
      </w:r>
      <w:r w:rsidRPr="001778B3">
        <w:rPr>
          <w:rFonts w:ascii="Helvetica Neue" w:hAnsi="Helvetica Neue"/>
          <w:lang w:val="en-GB"/>
        </w:rPr>
        <w:t xml:space="preserve"> assessment work suggests that the impact should be at least around 4 GDP points by 2020, with significant effects on short-term potential growth. Between 800,000 and 900,000 additional jobs would thus be created. This assessment encourages us to continue determinedly along the same lines; indeed, almost half of that impact on GDP will come from </w:t>
      </w:r>
      <w:r w:rsidR="003E3104" w:rsidRPr="001778B3">
        <w:rPr>
          <w:rFonts w:ascii="Helvetica Neue" w:hAnsi="Helvetica Neue"/>
          <w:lang w:val="en-GB"/>
        </w:rPr>
        <w:t>on-going</w:t>
      </w:r>
      <w:r w:rsidRPr="001778B3">
        <w:rPr>
          <w:rFonts w:ascii="Helvetica Neue" w:hAnsi="Helvetica Neue"/>
          <w:lang w:val="en-GB"/>
        </w:rPr>
        <w:t xml:space="preserve"> or future reforms. </w:t>
      </w:r>
    </w:p>
    <w:p w14:paraId="6E34DE1B" w14:textId="77777777" w:rsidR="001778B3" w:rsidRPr="001778B3" w:rsidRDefault="001778B3" w:rsidP="001778B3">
      <w:pPr>
        <w:pStyle w:val="NormalWeb"/>
        <w:jc w:val="both"/>
        <w:rPr>
          <w:lang w:val="en-GB"/>
        </w:rPr>
      </w:pPr>
      <w:r w:rsidRPr="001778B3">
        <w:rPr>
          <w:rFonts w:ascii="Helvetica Neue" w:hAnsi="Helvetica Neue"/>
          <w:lang w:val="en-GB"/>
        </w:rPr>
        <w:t>For the government, bringing about far-reaching reform aims to address several essential requirements.</w:t>
      </w:r>
      <w:r w:rsidRPr="001778B3">
        <w:rPr>
          <w:rFonts w:ascii="Helvetica Neue" w:hAnsi="Helvetica Neue"/>
          <w:color w:val="3A3A3A"/>
          <w:lang w:val="en-GB"/>
        </w:rPr>
        <w:t xml:space="preserve"> </w:t>
      </w:r>
      <w:r>
        <w:rPr>
          <w:rFonts w:ascii="Helvetica Neue" w:hAnsi="Helvetica Neue"/>
          <w:color w:val="3A3A3A"/>
          <w:lang w:val="en-GB"/>
        </w:rPr>
        <w:t>“</w:t>
      </w:r>
    </w:p>
    <w:p w14:paraId="7D39A63E" w14:textId="77777777" w:rsidR="008C0C1F" w:rsidRPr="00E86CE7" w:rsidRDefault="001778B3" w:rsidP="008C0C1F">
      <w:pPr>
        <w:rPr>
          <w:rFonts w:asciiTheme="majorHAnsi" w:hAnsiTheme="majorHAnsi"/>
          <w:b/>
          <w:lang w:val="en-GB"/>
        </w:rPr>
      </w:pPr>
      <w:r w:rsidRPr="00E86CE7">
        <w:rPr>
          <w:rFonts w:asciiTheme="majorHAnsi" w:hAnsiTheme="majorHAnsi"/>
          <w:b/>
          <w:lang w:val="en-GB"/>
        </w:rPr>
        <w:t>AREAS FOR REFORM</w:t>
      </w:r>
      <w:bookmarkStart w:id="0" w:name="_GoBack"/>
      <w:bookmarkEnd w:id="0"/>
    </w:p>
    <w:p w14:paraId="27ABA338" w14:textId="77777777" w:rsidR="001778B3" w:rsidRPr="00CE24AE" w:rsidRDefault="00CE24AE" w:rsidP="00595350">
      <w:pPr>
        <w:pStyle w:val="NormalWeb"/>
        <w:numPr>
          <w:ilvl w:val="0"/>
          <w:numId w:val="3"/>
        </w:numPr>
        <w:spacing w:before="0" w:beforeAutospacing="0" w:after="0" w:afterAutospacing="0"/>
        <w:ind w:left="714" w:hanging="357"/>
        <w:rPr>
          <w:sz w:val="22"/>
          <w:szCs w:val="22"/>
        </w:rPr>
      </w:pPr>
      <w:r w:rsidRPr="00CE24AE">
        <w:rPr>
          <w:rFonts w:ascii="Helvetica Neue" w:hAnsi="Helvetica Neue"/>
          <w:sz w:val="22"/>
          <w:szCs w:val="22"/>
        </w:rPr>
        <w:t xml:space="preserve">improving businesses’ price competitiveness </w:t>
      </w:r>
    </w:p>
    <w:p w14:paraId="7EA15735" w14:textId="77777777" w:rsidR="001778B3" w:rsidRPr="00CE24AE" w:rsidRDefault="00CE24AE" w:rsidP="001778B3">
      <w:pPr>
        <w:pStyle w:val="NormalWeb"/>
        <w:numPr>
          <w:ilvl w:val="0"/>
          <w:numId w:val="3"/>
        </w:numPr>
        <w:rPr>
          <w:sz w:val="22"/>
          <w:szCs w:val="22"/>
        </w:rPr>
      </w:pPr>
      <w:r w:rsidRPr="00CE24AE">
        <w:rPr>
          <w:rFonts w:ascii="Helvetica Neue" w:hAnsi="Helvetica Neue"/>
          <w:sz w:val="22"/>
          <w:szCs w:val="22"/>
        </w:rPr>
        <w:t>simplifying administrative formalities for businesses</w:t>
      </w:r>
    </w:p>
    <w:p w14:paraId="0E9B917B" w14:textId="77777777" w:rsidR="001778B3" w:rsidRPr="00CE24AE" w:rsidRDefault="00CE24AE" w:rsidP="001778B3">
      <w:pPr>
        <w:pStyle w:val="NormalWeb"/>
        <w:numPr>
          <w:ilvl w:val="0"/>
          <w:numId w:val="3"/>
        </w:numPr>
        <w:rPr>
          <w:sz w:val="22"/>
          <w:szCs w:val="22"/>
        </w:rPr>
      </w:pPr>
      <w:r w:rsidRPr="00CE24AE">
        <w:rPr>
          <w:rFonts w:ascii="Helvetica Neue" w:hAnsi="Helvetica Neue"/>
          <w:sz w:val="22"/>
          <w:szCs w:val="22"/>
        </w:rPr>
        <w:t xml:space="preserve">adapting regulations on the goods and services market </w:t>
      </w:r>
    </w:p>
    <w:p w14:paraId="0128CDAA" w14:textId="77777777" w:rsidR="001778B3" w:rsidRPr="00CE24AE" w:rsidRDefault="00CE24AE" w:rsidP="001778B3">
      <w:pPr>
        <w:pStyle w:val="NormalWeb"/>
        <w:numPr>
          <w:ilvl w:val="0"/>
          <w:numId w:val="3"/>
        </w:numPr>
        <w:rPr>
          <w:sz w:val="22"/>
          <w:szCs w:val="22"/>
        </w:rPr>
      </w:pPr>
      <w:r w:rsidRPr="00CE24AE">
        <w:rPr>
          <w:rFonts w:ascii="Helvetica Neue" w:hAnsi="Helvetica Neue"/>
          <w:sz w:val="22"/>
          <w:szCs w:val="22"/>
        </w:rPr>
        <w:t xml:space="preserve">investing and supporting innovation </w:t>
      </w:r>
    </w:p>
    <w:p w14:paraId="1566AC28" w14:textId="77777777" w:rsidR="001778B3" w:rsidRPr="00CE24AE" w:rsidRDefault="00CE24AE" w:rsidP="001778B3">
      <w:pPr>
        <w:pStyle w:val="NormalWeb"/>
        <w:numPr>
          <w:ilvl w:val="0"/>
          <w:numId w:val="3"/>
        </w:numPr>
        <w:rPr>
          <w:sz w:val="22"/>
          <w:szCs w:val="22"/>
        </w:rPr>
      </w:pPr>
      <w:r w:rsidRPr="00CE24AE">
        <w:rPr>
          <w:rFonts w:ascii="Helvetica Neue" w:hAnsi="Helvetica Neue"/>
          <w:sz w:val="22"/>
          <w:szCs w:val="22"/>
        </w:rPr>
        <w:t xml:space="preserve">improving the functioning of the labour market </w:t>
      </w:r>
    </w:p>
    <w:p w14:paraId="1EE73341" w14:textId="77777777" w:rsidR="001778B3" w:rsidRPr="003E3104" w:rsidRDefault="00CE24AE" w:rsidP="001778B3">
      <w:pPr>
        <w:pStyle w:val="NormalWeb"/>
        <w:numPr>
          <w:ilvl w:val="0"/>
          <w:numId w:val="3"/>
        </w:numPr>
      </w:pPr>
      <w:r w:rsidRPr="00CE24AE">
        <w:rPr>
          <w:rFonts w:ascii="Helvetica Neue" w:hAnsi="Helvetica Neue"/>
          <w:sz w:val="22"/>
          <w:szCs w:val="22"/>
        </w:rPr>
        <w:t>combating inequality and preparing for the future</w:t>
      </w:r>
      <w:r w:rsidR="001778B3" w:rsidRPr="00454617">
        <w:rPr>
          <w:rFonts w:ascii="Helvetica Neue" w:hAnsi="Helvetica Neue"/>
          <w:sz w:val="28"/>
          <w:szCs w:val="28"/>
        </w:rPr>
        <w:t xml:space="preserve"> </w:t>
      </w:r>
    </w:p>
    <w:tbl>
      <w:tblPr>
        <w:tblStyle w:val="TableGrid"/>
        <w:tblpPr w:leftFromText="180" w:rightFromText="180" w:vertAnchor="text" w:horzAnchor="page" w:tblpX="1489" w:tblpY="740"/>
        <w:tblW w:w="9855" w:type="dxa"/>
        <w:tblLook w:val="04A0" w:firstRow="1" w:lastRow="0" w:firstColumn="1" w:lastColumn="0" w:noHBand="0" w:noVBand="1"/>
      </w:tblPr>
      <w:tblGrid>
        <w:gridCol w:w="5993"/>
        <w:gridCol w:w="1288"/>
        <w:gridCol w:w="1287"/>
        <w:gridCol w:w="1287"/>
      </w:tblGrid>
      <w:tr w:rsidR="003E3104" w:rsidRPr="00CF7D72" w14:paraId="4BED0383" w14:textId="77777777" w:rsidTr="00CE24AE">
        <w:tc>
          <w:tcPr>
            <w:tcW w:w="3000" w:type="pct"/>
          </w:tcPr>
          <w:p w14:paraId="26A616D9" w14:textId="77777777" w:rsidR="003E3104" w:rsidRPr="00CE24AE" w:rsidRDefault="003E3104" w:rsidP="003E3104">
            <w:pPr>
              <w:rPr>
                <w:rFonts w:asciiTheme="majorHAnsi" w:hAnsiTheme="majorHAnsi"/>
                <w:b/>
                <w:sz w:val="20"/>
                <w:szCs w:val="20"/>
              </w:rPr>
            </w:pPr>
            <w:r w:rsidRPr="00CE24AE">
              <w:rPr>
                <w:rFonts w:asciiTheme="majorHAnsi" w:hAnsiTheme="majorHAnsi"/>
                <w:b/>
                <w:sz w:val="20"/>
                <w:szCs w:val="20"/>
              </w:rPr>
              <w:t>2020 OBJECTIVES</w:t>
            </w:r>
          </w:p>
        </w:tc>
        <w:tc>
          <w:tcPr>
            <w:tcW w:w="645" w:type="pct"/>
          </w:tcPr>
          <w:p w14:paraId="4CC756F0" w14:textId="77777777" w:rsidR="003E3104" w:rsidRPr="00CE24AE" w:rsidRDefault="003E3104" w:rsidP="003E3104">
            <w:pPr>
              <w:rPr>
                <w:rFonts w:asciiTheme="majorHAnsi" w:hAnsiTheme="majorHAnsi"/>
                <w:b/>
                <w:sz w:val="20"/>
                <w:szCs w:val="20"/>
              </w:rPr>
            </w:pPr>
            <w:r w:rsidRPr="00CE24AE">
              <w:rPr>
                <w:rFonts w:asciiTheme="majorHAnsi" w:hAnsiTheme="majorHAnsi"/>
                <w:b/>
                <w:sz w:val="20"/>
                <w:szCs w:val="20"/>
              </w:rPr>
              <w:t>EU TARGET</w:t>
            </w:r>
          </w:p>
        </w:tc>
        <w:tc>
          <w:tcPr>
            <w:tcW w:w="645" w:type="pct"/>
          </w:tcPr>
          <w:p w14:paraId="165F1E0D" w14:textId="77777777" w:rsidR="003E3104" w:rsidRPr="00CE24AE" w:rsidRDefault="003E3104" w:rsidP="003E3104">
            <w:pPr>
              <w:rPr>
                <w:rFonts w:asciiTheme="majorHAnsi" w:hAnsiTheme="majorHAnsi"/>
                <w:b/>
                <w:sz w:val="20"/>
                <w:szCs w:val="20"/>
              </w:rPr>
            </w:pPr>
            <w:r w:rsidRPr="00CE24AE">
              <w:rPr>
                <w:rFonts w:asciiTheme="majorHAnsi" w:hAnsiTheme="majorHAnsi"/>
                <w:b/>
                <w:sz w:val="20"/>
                <w:szCs w:val="20"/>
              </w:rPr>
              <w:t>FRANCE LAST OBSERVED</w:t>
            </w:r>
          </w:p>
        </w:tc>
        <w:tc>
          <w:tcPr>
            <w:tcW w:w="645" w:type="pct"/>
          </w:tcPr>
          <w:p w14:paraId="5A10A73F" w14:textId="77777777" w:rsidR="003E3104" w:rsidRPr="00CE24AE" w:rsidRDefault="003E3104" w:rsidP="003E3104">
            <w:pPr>
              <w:rPr>
                <w:rFonts w:asciiTheme="majorHAnsi" w:hAnsiTheme="majorHAnsi"/>
                <w:b/>
                <w:sz w:val="20"/>
                <w:szCs w:val="20"/>
              </w:rPr>
            </w:pPr>
            <w:r w:rsidRPr="00CE24AE">
              <w:rPr>
                <w:rFonts w:asciiTheme="majorHAnsi" w:hAnsiTheme="majorHAnsi"/>
                <w:b/>
                <w:sz w:val="20"/>
                <w:szCs w:val="20"/>
              </w:rPr>
              <w:t>FRANCE TARGET</w:t>
            </w:r>
          </w:p>
        </w:tc>
      </w:tr>
      <w:tr w:rsidR="003E3104" w:rsidRPr="00CF7D72" w14:paraId="741C20FB" w14:textId="77777777" w:rsidTr="00CE24AE">
        <w:trPr>
          <w:trHeight w:val="522"/>
        </w:trPr>
        <w:tc>
          <w:tcPr>
            <w:tcW w:w="3000" w:type="pct"/>
          </w:tcPr>
          <w:p w14:paraId="5EAC9A72" w14:textId="77777777" w:rsidR="003E3104" w:rsidRPr="00CE24AE" w:rsidRDefault="003E3104" w:rsidP="00CE24AE">
            <w:pPr>
              <w:pStyle w:val="NormalWeb"/>
              <w:spacing w:before="0" w:beforeAutospacing="0" w:after="0" w:afterAutospacing="0"/>
              <w:rPr>
                <w:rFonts w:asciiTheme="majorHAnsi" w:hAnsiTheme="majorHAnsi"/>
                <w:sz w:val="22"/>
                <w:szCs w:val="22"/>
              </w:rPr>
            </w:pPr>
            <w:r w:rsidRPr="00CE24AE">
              <w:rPr>
                <w:rFonts w:asciiTheme="majorHAnsi" w:hAnsiTheme="majorHAnsi"/>
                <w:sz w:val="22"/>
                <w:szCs w:val="22"/>
              </w:rPr>
              <w:t xml:space="preserve">Employment rate (in %) </w:t>
            </w:r>
          </w:p>
        </w:tc>
        <w:tc>
          <w:tcPr>
            <w:tcW w:w="645" w:type="pct"/>
          </w:tcPr>
          <w:p w14:paraId="1EADE9CC" w14:textId="77777777" w:rsidR="003E3104" w:rsidRPr="00CE24AE" w:rsidRDefault="003E3104" w:rsidP="00CE24AE">
            <w:pPr>
              <w:rPr>
                <w:rFonts w:asciiTheme="majorHAnsi" w:hAnsiTheme="majorHAnsi"/>
                <w:sz w:val="22"/>
                <w:szCs w:val="22"/>
              </w:rPr>
            </w:pPr>
            <w:r w:rsidRPr="00CE24AE">
              <w:rPr>
                <w:rFonts w:asciiTheme="majorHAnsi" w:hAnsiTheme="majorHAnsi"/>
                <w:sz w:val="22"/>
                <w:szCs w:val="22"/>
              </w:rPr>
              <w:t>75%</w:t>
            </w:r>
          </w:p>
        </w:tc>
        <w:tc>
          <w:tcPr>
            <w:tcW w:w="645" w:type="pct"/>
          </w:tcPr>
          <w:p w14:paraId="10EEFD8C" w14:textId="77777777" w:rsidR="003E3104" w:rsidRPr="00CE24AE" w:rsidRDefault="003E3104" w:rsidP="00CE24AE">
            <w:pPr>
              <w:rPr>
                <w:rFonts w:asciiTheme="majorHAnsi" w:hAnsiTheme="majorHAnsi"/>
                <w:sz w:val="22"/>
                <w:szCs w:val="22"/>
              </w:rPr>
            </w:pPr>
            <w:r w:rsidRPr="00CE24AE">
              <w:rPr>
                <w:rFonts w:asciiTheme="majorHAnsi" w:hAnsiTheme="majorHAnsi"/>
                <w:sz w:val="22"/>
                <w:szCs w:val="22"/>
              </w:rPr>
              <w:t>69% (66% for women)</w:t>
            </w:r>
          </w:p>
        </w:tc>
        <w:tc>
          <w:tcPr>
            <w:tcW w:w="645" w:type="pct"/>
          </w:tcPr>
          <w:p w14:paraId="3B818D72" w14:textId="77777777" w:rsidR="003E3104" w:rsidRPr="00CE24AE" w:rsidRDefault="003E3104" w:rsidP="00CE24AE">
            <w:pPr>
              <w:rPr>
                <w:rFonts w:asciiTheme="majorHAnsi" w:hAnsiTheme="majorHAnsi"/>
                <w:sz w:val="22"/>
                <w:szCs w:val="22"/>
              </w:rPr>
            </w:pPr>
            <w:r w:rsidRPr="00CE24AE">
              <w:rPr>
                <w:rFonts w:asciiTheme="majorHAnsi" w:hAnsiTheme="majorHAnsi"/>
                <w:sz w:val="22"/>
                <w:szCs w:val="22"/>
              </w:rPr>
              <w:t>75% (70% for women)</w:t>
            </w:r>
          </w:p>
        </w:tc>
      </w:tr>
      <w:tr w:rsidR="003E3104" w:rsidRPr="00CF7D72" w14:paraId="68FE5559" w14:textId="77777777" w:rsidTr="00CE24AE">
        <w:trPr>
          <w:trHeight w:val="454"/>
        </w:trPr>
        <w:tc>
          <w:tcPr>
            <w:tcW w:w="3000" w:type="pct"/>
          </w:tcPr>
          <w:p w14:paraId="762A43D4" w14:textId="77777777" w:rsidR="003E3104" w:rsidRPr="00CE24AE" w:rsidRDefault="00CE24AE" w:rsidP="00CE24AE">
            <w:pPr>
              <w:pStyle w:val="NormalWeb"/>
              <w:spacing w:before="0" w:beforeAutospacing="0" w:after="0" w:afterAutospacing="0"/>
              <w:rPr>
                <w:rFonts w:asciiTheme="majorHAnsi" w:hAnsiTheme="majorHAnsi"/>
                <w:sz w:val="22"/>
                <w:szCs w:val="22"/>
              </w:rPr>
            </w:pPr>
            <w:r>
              <w:rPr>
                <w:rFonts w:asciiTheme="majorHAnsi" w:hAnsiTheme="majorHAnsi"/>
                <w:sz w:val="22"/>
                <w:szCs w:val="22"/>
              </w:rPr>
              <w:t xml:space="preserve">R&amp;D </w:t>
            </w:r>
            <w:r w:rsidR="003E3104" w:rsidRPr="00CE24AE">
              <w:rPr>
                <w:rFonts w:asciiTheme="majorHAnsi" w:hAnsiTheme="majorHAnsi"/>
                <w:sz w:val="22"/>
                <w:szCs w:val="22"/>
              </w:rPr>
              <w:t xml:space="preserve">(in % of GDP) </w:t>
            </w:r>
          </w:p>
        </w:tc>
        <w:tc>
          <w:tcPr>
            <w:tcW w:w="645" w:type="pct"/>
          </w:tcPr>
          <w:p w14:paraId="4E790597" w14:textId="77777777" w:rsidR="003E3104" w:rsidRPr="00CE24AE" w:rsidRDefault="003E3104" w:rsidP="00CE24AE">
            <w:pPr>
              <w:rPr>
                <w:rFonts w:asciiTheme="majorHAnsi" w:hAnsiTheme="majorHAnsi"/>
                <w:sz w:val="22"/>
                <w:szCs w:val="22"/>
              </w:rPr>
            </w:pPr>
            <w:r w:rsidRPr="00CE24AE">
              <w:rPr>
                <w:rFonts w:asciiTheme="majorHAnsi" w:hAnsiTheme="majorHAnsi"/>
                <w:sz w:val="22"/>
                <w:szCs w:val="22"/>
              </w:rPr>
              <w:t>3%</w:t>
            </w:r>
          </w:p>
        </w:tc>
        <w:tc>
          <w:tcPr>
            <w:tcW w:w="645" w:type="pct"/>
          </w:tcPr>
          <w:p w14:paraId="13D84926" w14:textId="77777777" w:rsidR="003E3104" w:rsidRPr="00CE24AE" w:rsidRDefault="003E3104" w:rsidP="00CE24AE">
            <w:pPr>
              <w:rPr>
                <w:rFonts w:asciiTheme="majorHAnsi" w:hAnsiTheme="majorHAnsi"/>
                <w:sz w:val="22"/>
                <w:szCs w:val="22"/>
              </w:rPr>
            </w:pPr>
            <w:r w:rsidRPr="00CE24AE">
              <w:rPr>
                <w:rFonts w:asciiTheme="majorHAnsi" w:hAnsiTheme="majorHAnsi"/>
                <w:sz w:val="22"/>
                <w:szCs w:val="22"/>
              </w:rPr>
              <w:t>2.23 %</w:t>
            </w:r>
          </w:p>
        </w:tc>
        <w:tc>
          <w:tcPr>
            <w:tcW w:w="645" w:type="pct"/>
          </w:tcPr>
          <w:p w14:paraId="6B7B01BB" w14:textId="77777777" w:rsidR="003E3104" w:rsidRPr="00CE24AE" w:rsidRDefault="003E3104" w:rsidP="00CE24AE">
            <w:pPr>
              <w:rPr>
                <w:rFonts w:asciiTheme="majorHAnsi" w:hAnsiTheme="majorHAnsi"/>
                <w:sz w:val="22"/>
                <w:szCs w:val="22"/>
              </w:rPr>
            </w:pPr>
            <w:r w:rsidRPr="00CE24AE">
              <w:rPr>
                <w:rFonts w:asciiTheme="majorHAnsi" w:hAnsiTheme="majorHAnsi"/>
                <w:sz w:val="22"/>
                <w:szCs w:val="22"/>
              </w:rPr>
              <w:t>3 %</w:t>
            </w:r>
          </w:p>
        </w:tc>
      </w:tr>
      <w:tr w:rsidR="003E3104" w:rsidRPr="00CF7D72" w14:paraId="25C0F808" w14:textId="77777777" w:rsidTr="00CE24AE">
        <w:trPr>
          <w:trHeight w:val="454"/>
        </w:trPr>
        <w:tc>
          <w:tcPr>
            <w:tcW w:w="3000" w:type="pct"/>
          </w:tcPr>
          <w:p w14:paraId="001D1F43" w14:textId="77777777" w:rsidR="003E3104" w:rsidRPr="00CE24AE" w:rsidRDefault="003E3104" w:rsidP="00CE24AE">
            <w:pPr>
              <w:pStyle w:val="NormalWeb"/>
              <w:spacing w:before="0" w:beforeAutospacing="0" w:after="0" w:afterAutospacing="0"/>
              <w:rPr>
                <w:rFonts w:asciiTheme="majorHAnsi" w:hAnsiTheme="majorHAnsi"/>
                <w:sz w:val="22"/>
                <w:szCs w:val="22"/>
              </w:rPr>
            </w:pPr>
            <w:r w:rsidRPr="00CE24AE">
              <w:rPr>
                <w:rFonts w:asciiTheme="majorHAnsi" w:hAnsiTheme="majorHAnsi"/>
                <w:sz w:val="22"/>
                <w:szCs w:val="22"/>
              </w:rPr>
              <w:t>Emissions reduction targets  (compared to 2005 lelvel)</w:t>
            </w:r>
          </w:p>
        </w:tc>
        <w:tc>
          <w:tcPr>
            <w:tcW w:w="645" w:type="pct"/>
          </w:tcPr>
          <w:p w14:paraId="7844FE57" w14:textId="77777777" w:rsidR="003E3104" w:rsidRPr="00CE24AE" w:rsidRDefault="003E3104" w:rsidP="00CE24AE">
            <w:pPr>
              <w:rPr>
                <w:rFonts w:asciiTheme="majorHAnsi" w:hAnsiTheme="majorHAnsi"/>
                <w:sz w:val="22"/>
                <w:szCs w:val="22"/>
              </w:rPr>
            </w:pPr>
            <w:r w:rsidRPr="00CE24AE">
              <w:rPr>
                <w:rFonts w:asciiTheme="majorHAnsi" w:hAnsiTheme="majorHAnsi"/>
                <w:sz w:val="22"/>
                <w:szCs w:val="22"/>
              </w:rPr>
              <w:t>20%</w:t>
            </w:r>
          </w:p>
        </w:tc>
        <w:tc>
          <w:tcPr>
            <w:tcW w:w="645" w:type="pct"/>
          </w:tcPr>
          <w:p w14:paraId="09DE47DF" w14:textId="77777777" w:rsidR="003E3104" w:rsidRPr="00CE24AE" w:rsidRDefault="003E3104" w:rsidP="00CE24AE">
            <w:pPr>
              <w:rPr>
                <w:rFonts w:asciiTheme="majorHAnsi" w:hAnsiTheme="majorHAnsi"/>
                <w:sz w:val="22"/>
                <w:szCs w:val="22"/>
              </w:rPr>
            </w:pPr>
            <w:r w:rsidRPr="00CE24AE">
              <w:rPr>
                <w:rFonts w:asciiTheme="majorHAnsi" w:hAnsiTheme="majorHAnsi"/>
                <w:sz w:val="22"/>
                <w:szCs w:val="22"/>
              </w:rPr>
              <w:t>8 %</w:t>
            </w:r>
          </w:p>
        </w:tc>
        <w:tc>
          <w:tcPr>
            <w:tcW w:w="645" w:type="pct"/>
          </w:tcPr>
          <w:p w14:paraId="2F77E60B" w14:textId="77777777" w:rsidR="003E3104" w:rsidRPr="00CE24AE" w:rsidRDefault="003E3104" w:rsidP="00CE24AE">
            <w:pPr>
              <w:rPr>
                <w:rFonts w:asciiTheme="majorHAnsi" w:hAnsiTheme="majorHAnsi"/>
                <w:sz w:val="22"/>
                <w:szCs w:val="22"/>
              </w:rPr>
            </w:pPr>
            <w:r w:rsidRPr="00CE24AE">
              <w:rPr>
                <w:rFonts w:asciiTheme="majorHAnsi" w:hAnsiTheme="majorHAnsi"/>
                <w:sz w:val="22"/>
                <w:szCs w:val="22"/>
              </w:rPr>
              <w:t>14 %</w:t>
            </w:r>
          </w:p>
        </w:tc>
      </w:tr>
      <w:tr w:rsidR="003E3104" w:rsidRPr="00CF7D72" w14:paraId="6501B221" w14:textId="77777777" w:rsidTr="00CE24AE">
        <w:trPr>
          <w:trHeight w:val="424"/>
        </w:trPr>
        <w:tc>
          <w:tcPr>
            <w:tcW w:w="3000" w:type="pct"/>
          </w:tcPr>
          <w:p w14:paraId="76F8220B" w14:textId="77777777" w:rsidR="003E3104" w:rsidRPr="00CE24AE" w:rsidRDefault="003E3104" w:rsidP="00CE24AE">
            <w:pPr>
              <w:pStyle w:val="NormalWeb"/>
              <w:spacing w:before="0" w:beforeAutospacing="0" w:after="0" w:afterAutospacing="0"/>
              <w:rPr>
                <w:rFonts w:asciiTheme="majorHAnsi" w:hAnsiTheme="majorHAnsi"/>
                <w:sz w:val="22"/>
                <w:szCs w:val="22"/>
              </w:rPr>
            </w:pPr>
            <w:r w:rsidRPr="00CE24AE">
              <w:rPr>
                <w:rFonts w:asciiTheme="majorHAnsi" w:hAnsiTheme="majorHAnsi"/>
                <w:sz w:val="22"/>
                <w:szCs w:val="22"/>
              </w:rPr>
              <w:t>Renewable energy (in % of gross final energy consumption)</w:t>
            </w:r>
          </w:p>
        </w:tc>
        <w:tc>
          <w:tcPr>
            <w:tcW w:w="645" w:type="pct"/>
          </w:tcPr>
          <w:p w14:paraId="283F09B7" w14:textId="77777777" w:rsidR="003E3104" w:rsidRPr="00CE24AE" w:rsidRDefault="003E3104" w:rsidP="00CE24AE">
            <w:pPr>
              <w:rPr>
                <w:rFonts w:asciiTheme="majorHAnsi" w:hAnsiTheme="majorHAnsi"/>
                <w:sz w:val="22"/>
                <w:szCs w:val="22"/>
              </w:rPr>
            </w:pPr>
            <w:r w:rsidRPr="00CE24AE">
              <w:rPr>
                <w:rFonts w:asciiTheme="majorHAnsi" w:hAnsiTheme="majorHAnsi"/>
                <w:sz w:val="22"/>
                <w:szCs w:val="22"/>
              </w:rPr>
              <w:t>20%</w:t>
            </w:r>
          </w:p>
        </w:tc>
        <w:tc>
          <w:tcPr>
            <w:tcW w:w="645" w:type="pct"/>
          </w:tcPr>
          <w:p w14:paraId="156485ED" w14:textId="77777777" w:rsidR="003E3104" w:rsidRPr="00CE24AE" w:rsidRDefault="003E3104" w:rsidP="00CE24AE">
            <w:pPr>
              <w:rPr>
                <w:rFonts w:asciiTheme="majorHAnsi" w:hAnsiTheme="majorHAnsi"/>
                <w:sz w:val="22"/>
                <w:szCs w:val="22"/>
              </w:rPr>
            </w:pPr>
            <w:r w:rsidRPr="00CE24AE">
              <w:rPr>
                <w:rFonts w:asciiTheme="majorHAnsi" w:hAnsiTheme="majorHAnsi"/>
                <w:sz w:val="22"/>
                <w:szCs w:val="22"/>
              </w:rPr>
              <w:t>14 %</w:t>
            </w:r>
          </w:p>
        </w:tc>
        <w:tc>
          <w:tcPr>
            <w:tcW w:w="645" w:type="pct"/>
          </w:tcPr>
          <w:p w14:paraId="4C72A3C6" w14:textId="77777777" w:rsidR="003E3104" w:rsidRPr="00CE24AE" w:rsidRDefault="003E3104" w:rsidP="00CE24AE">
            <w:pPr>
              <w:rPr>
                <w:rFonts w:asciiTheme="majorHAnsi" w:hAnsiTheme="majorHAnsi"/>
                <w:sz w:val="22"/>
                <w:szCs w:val="22"/>
              </w:rPr>
            </w:pPr>
            <w:r w:rsidRPr="00CE24AE">
              <w:rPr>
                <w:rFonts w:asciiTheme="majorHAnsi" w:hAnsiTheme="majorHAnsi"/>
                <w:sz w:val="22"/>
                <w:szCs w:val="22"/>
              </w:rPr>
              <w:t>23 %</w:t>
            </w:r>
          </w:p>
        </w:tc>
      </w:tr>
      <w:tr w:rsidR="003E3104" w:rsidRPr="00CF7D72" w14:paraId="50CB0669" w14:textId="77777777" w:rsidTr="00CE24AE">
        <w:trPr>
          <w:trHeight w:val="624"/>
        </w:trPr>
        <w:tc>
          <w:tcPr>
            <w:tcW w:w="3000" w:type="pct"/>
          </w:tcPr>
          <w:p w14:paraId="0D1B759B" w14:textId="77777777" w:rsidR="003E3104" w:rsidRPr="00CE24AE" w:rsidRDefault="003E3104" w:rsidP="00CE24AE">
            <w:pPr>
              <w:pStyle w:val="NormalWeb"/>
              <w:spacing w:before="0" w:beforeAutospacing="0" w:after="0" w:afterAutospacing="0"/>
              <w:rPr>
                <w:rFonts w:asciiTheme="majorHAnsi" w:hAnsiTheme="majorHAnsi"/>
                <w:sz w:val="22"/>
                <w:szCs w:val="22"/>
              </w:rPr>
            </w:pPr>
            <w:r w:rsidRPr="00CE24AE">
              <w:rPr>
                <w:rFonts w:asciiTheme="majorHAnsi" w:hAnsiTheme="majorHAnsi"/>
                <w:sz w:val="22"/>
                <w:szCs w:val="22"/>
              </w:rPr>
              <w:t xml:space="preserve">Energy efficiency </w:t>
            </w:r>
          </w:p>
        </w:tc>
        <w:tc>
          <w:tcPr>
            <w:tcW w:w="645" w:type="pct"/>
          </w:tcPr>
          <w:p w14:paraId="717B7813" w14:textId="77777777" w:rsidR="003E3104" w:rsidRPr="00CE24AE" w:rsidRDefault="003E3104" w:rsidP="00CE24AE">
            <w:pPr>
              <w:pStyle w:val="NormalWeb"/>
              <w:spacing w:before="0" w:beforeAutospacing="0" w:after="0" w:afterAutospacing="0"/>
              <w:rPr>
                <w:rFonts w:asciiTheme="majorHAnsi" w:hAnsiTheme="majorHAnsi"/>
                <w:sz w:val="22"/>
                <w:szCs w:val="22"/>
              </w:rPr>
            </w:pPr>
            <w:r w:rsidRPr="00CE24AE">
              <w:rPr>
                <w:rFonts w:asciiTheme="majorHAnsi" w:hAnsiTheme="majorHAnsi"/>
                <w:sz w:val="22"/>
                <w:szCs w:val="22"/>
              </w:rPr>
              <w:t>20%</w:t>
            </w:r>
            <w:r w:rsidRPr="00CE24AE">
              <w:rPr>
                <w:rStyle w:val="FootnoteReference"/>
                <w:rFonts w:asciiTheme="majorHAnsi" w:hAnsiTheme="majorHAnsi"/>
                <w:sz w:val="22"/>
                <w:szCs w:val="22"/>
              </w:rPr>
              <w:footnoteReference w:id="1"/>
            </w:r>
          </w:p>
        </w:tc>
        <w:tc>
          <w:tcPr>
            <w:tcW w:w="645" w:type="pct"/>
          </w:tcPr>
          <w:p w14:paraId="28BA56A8" w14:textId="77777777" w:rsidR="003E3104" w:rsidRPr="00CE24AE" w:rsidRDefault="003E3104" w:rsidP="00CE24AE">
            <w:pPr>
              <w:pStyle w:val="NormalWeb"/>
              <w:spacing w:before="0" w:beforeAutospacing="0" w:after="0" w:afterAutospacing="0"/>
              <w:rPr>
                <w:rFonts w:asciiTheme="majorHAnsi" w:hAnsiTheme="majorHAnsi"/>
                <w:sz w:val="22"/>
                <w:szCs w:val="22"/>
              </w:rPr>
            </w:pPr>
            <w:r w:rsidRPr="00CE24AE">
              <w:rPr>
                <w:rFonts w:asciiTheme="majorHAnsi" w:hAnsiTheme="majorHAnsi"/>
                <w:sz w:val="22"/>
                <w:szCs w:val="22"/>
              </w:rPr>
              <w:t>250 (primary)</w:t>
            </w:r>
          </w:p>
        </w:tc>
        <w:tc>
          <w:tcPr>
            <w:tcW w:w="645" w:type="pct"/>
          </w:tcPr>
          <w:p w14:paraId="0F9B3849" w14:textId="77777777" w:rsidR="003E3104" w:rsidRPr="00CE24AE" w:rsidRDefault="003E3104" w:rsidP="00CE24AE">
            <w:pPr>
              <w:pStyle w:val="NormalWeb"/>
              <w:spacing w:before="0" w:beforeAutospacing="0" w:after="0" w:afterAutospacing="0"/>
              <w:rPr>
                <w:rFonts w:asciiTheme="majorHAnsi" w:hAnsiTheme="majorHAnsi"/>
                <w:sz w:val="22"/>
                <w:szCs w:val="22"/>
              </w:rPr>
            </w:pPr>
            <w:r w:rsidRPr="00CE24AE">
              <w:rPr>
                <w:rFonts w:asciiTheme="majorHAnsi" w:hAnsiTheme="majorHAnsi"/>
                <w:sz w:val="22"/>
                <w:szCs w:val="22"/>
              </w:rPr>
              <w:t>236.3 (primary)</w:t>
            </w:r>
          </w:p>
        </w:tc>
      </w:tr>
      <w:tr w:rsidR="003E3104" w:rsidRPr="00CF7D72" w14:paraId="1031B806" w14:textId="77777777" w:rsidTr="00CE24AE">
        <w:trPr>
          <w:trHeight w:val="388"/>
        </w:trPr>
        <w:tc>
          <w:tcPr>
            <w:tcW w:w="3000" w:type="pct"/>
          </w:tcPr>
          <w:p w14:paraId="17C1C556" w14:textId="77777777" w:rsidR="003E3104" w:rsidRPr="00CE24AE" w:rsidRDefault="003E3104" w:rsidP="00CE24AE">
            <w:pPr>
              <w:pStyle w:val="NormalWeb"/>
              <w:spacing w:before="0" w:beforeAutospacing="0" w:after="0" w:afterAutospacing="0"/>
              <w:rPr>
                <w:rFonts w:asciiTheme="majorHAnsi" w:hAnsiTheme="majorHAnsi"/>
                <w:sz w:val="22"/>
                <w:szCs w:val="22"/>
              </w:rPr>
            </w:pPr>
            <w:r w:rsidRPr="00CE24AE">
              <w:rPr>
                <w:rFonts w:asciiTheme="majorHAnsi" w:hAnsiTheme="majorHAnsi"/>
                <w:sz w:val="22"/>
                <w:szCs w:val="22"/>
              </w:rPr>
              <w:t xml:space="preserve">Early school leaving in % </w:t>
            </w:r>
          </w:p>
        </w:tc>
        <w:tc>
          <w:tcPr>
            <w:tcW w:w="645" w:type="pct"/>
          </w:tcPr>
          <w:p w14:paraId="7FBC29E3" w14:textId="77777777" w:rsidR="003E3104" w:rsidRPr="00CE24AE" w:rsidRDefault="003E3104" w:rsidP="00CE24AE">
            <w:pPr>
              <w:pStyle w:val="NormalWeb"/>
              <w:spacing w:before="0" w:beforeAutospacing="0" w:after="0" w:afterAutospacing="0"/>
              <w:rPr>
                <w:rFonts w:asciiTheme="majorHAnsi" w:hAnsiTheme="majorHAnsi"/>
                <w:sz w:val="22"/>
                <w:szCs w:val="22"/>
              </w:rPr>
            </w:pPr>
            <w:r w:rsidRPr="00CE24AE">
              <w:rPr>
                <w:rFonts w:asciiTheme="majorHAnsi" w:hAnsiTheme="majorHAnsi"/>
                <w:sz w:val="22"/>
                <w:szCs w:val="22"/>
              </w:rPr>
              <w:t xml:space="preserve">&lt;10% </w:t>
            </w:r>
          </w:p>
        </w:tc>
        <w:tc>
          <w:tcPr>
            <w:tcW w:w="645" w:type="pct"/>
          </w:tcPr>
          <w:p w14:paraId="709FEBC3" w14:textId="77777777" w:rsidR="003E3104" w:rsidRPr="00CE24AE" w:rsidRDefault="003E3104" w:rsidP="00CE24AE">
            <w:pPr>
              <w:rPr>
                <w:rFonts w:asciiTheme="majorHAnsi" w:hAnsiTheme="majorHAnsi"/>
                <w:sz w:val="22"/>
                <w:szCs w:val="22"/>
              </w:rPr>
            </w:pPr>
            <w:r w:rsidRPr="00CE24AE">
              <w:rPr>
                <w:rFonts w:asciiTheme="majorHAnsi" w:hAnsiTheme="majorHAnsi"/>
                <w:sz w:val="22"/>
                <w:szCs w:val="22"/>
              </w:rPr>
              <w:t>9.7 %</w:t>
            </w:r>
          </w:p>
        </w:tc>
        <w:tc>
          <w:tcPr>
            <w:tcW w:w="645" w:type="pct"/>
          </w:tcPr>
          <w:p w14:paraId="4224933F" w14:textId="77777777" w:rsidR="003E3104" w:rsidRPr="00CE24AE" w:rsidRDefault="003E3104" w:rsidP="00CE24AE">
            <w:pPr>
              <w:rPr>
                <w:rFonts w:asciiTheme="majorHAnsi" w:hAnsiTheme="majorHAnsi"/>
                <w:sz w:val="22"/>
                <w:szCs w:val="22"/>
              </w:rPr>
            </w:pPr>
            <w:r w:rsidRPr="00CE24AE">
              <w:rPr>
                <w:rFonts w:asciiTheme="majorHAnsi" w:hAnsiTheme="majorHAnsi"/>
                <w:sz w:val="22"/>
                <w:szCs w:val="22"/>
              </w:rPr>
              <w:t>9.5 %</w:t>
            </w:r>
          </w:p>
        </w:tc>
      </w:tr>
      <w:tr w:rsidR="003E3104" w:rsidRPr="00CF7D72" w14:paraId="21DC0A58" w14:textId="77777777" w:rsidTr="00CE24AE">
        <w:trPr>
          <w:trHeight w:val="624"/>
        </w:trPr>
        <w:tc>
          <w:tcPr>
            <w:tcW w:w="3000" w:type="pct"/>
          </w:tcPr>
          <w:p w14:paraId="5E6D7361" w14:textId="77777777" w:rsidR="003E3104" w:rsidRPr="00CE24AE" w:rsidRDefault="003E3104" w:rsidP="00CE24AE">
            <w:pPr>
              <w:pStyle w:val="NormalWeb"/>
              <w:spacing w:before="0" w:beforeAutospacing="0" w:after="0" w:afterAutospacing="0"/>
              <w:rPr>
                <w:rFonts w:asciiTheme="majorHAnsi" w:hAnsiTheme="majorHAnsi"/>
                <w:sz w:val="22"/>
                <w:szCs w:val="22"/>
              </w:rPr>
            </w:pPr>
            <w:r w:rsidRPr="00CE24AE">
              <w:rPr>
                <w:rFonts w:asciiTheme="majorHAnsi" w:hAnsiTheme="majorHAnsi"/>
                <w:sz w:val="22"/>
                <w:szCs w:val="22"/>
              </w:rPr>
              <w:t xml:space="preserve">Tertiary education in % </w:t>
            </w:r>
          </w:p>
        </w:tc>
        <w:tc>
          <w:tcPr>
            <w:tcW w:w="645" w:type="pct"/>
          </w:tcPr>
          <w:p w14:paraId="27F028BB" w14:textId="77777777" w:rsidR="003E3104" w:rsidRPr="00CE24AE" w:rsidRDefault="003E3104" w:rsidP="00CE24AE">
            <w:pPr>
              <w:rPr>
                <w:rFonts w:asciiTheme="majorHAnsi" w:hAnsiTheme="majorHAnsi"/>
                <w:sz w:val="22"/>
                <w:szCs w:val="22"/>
              </w:rPr>
            </w:pPr>
            <w:r w:rsidRPr="00CE24AE">
              <w:rPr>
                <w:rFonts w:asciiTheme="majorHAnsi" w:hAnsiTheme="majorHAnsi"/>
                <w:sz w:val="22"/>
                <w:szCs w:val="22"/>
              </w:rPr>
              <w:t>40%</w:t>
            </w:r>
          </w:p>
        </w:tc>
        <w:tc>
          <w:tcPr>
            <w:tcW w:w="645" w:type="pct"/>
          </w:tcPr>
          <w:p w14:paraId="43575544" w14:textId="77777777" w:rsidR="003E3104" w:rsidRPr="00CE24AE" w:rsidRDefault="003E3104" w:rsidP="00CE24AE">
            <w:pPr>
              <w:pStyle w:val="NormalWeb"/>
              <w:spacing w:before="0" w:beforeAutospacing="0" w:after="0" w:afterAutospacing="0"/>
              <w:rPr>
                <w:rFonts w:asciiTheme="majorHAnsi" w:hAnsiTheme="majorHAnsi"/>
                <w:sz w:val="22"/>
                <w:szCs w:val="22"/>
              </w:rPr>
            </w:pPr>
            <w:r w:rsidRPr="00CE24AE">
              <w:rPr>
                <w:rFonts w:asciiTheme="majorHAnsi" w:hAnsiTheme="majorHAnsi"/>
                <w:color w:val="514F51"/>
                <w:sz w:val="22"/>
                <w:szCs w:val="22"/>
              </w:rPr>
              <w:t>44,1 %</w:t>
            </w:r>
            <w:r w:rsidRPr="00CE24AE">
              <w:rPr>
                <w:rFonts w:asciiTheme="majorHAnsi" w:hAnsiTheme="majorHAnsi"/>
                <w:color w:val="514F51"/>
                <w:sz w:val="22"/>
                <w:szCs w:val="22"/>
              </w:rPr>
              <w:br/>
            </w:r>
            <w:r w:rsidRPr="00CE24AE">
              <w:rPr>
                <w:rFonts w:asciiTheme="majorHAnsi" w:hAnsiTheme="majorHAnsi"/>
                <w:color w:val="514F51"/>
                <w:sz w:val="18"/>
                <w:szCs w:val="18"/>
              </w:rPr>
              <w:t>(46,8% of 17-33 years old)</w:t>
            </w:r>
          </w:p>
        </w:tc>
        <w:tc>
          <w:tcPr>
            <w:tcW w:w="645" w:type="pct"/>
          </w:tcPr>
          <w:p w14:paraId="086EE88C" w14:textId="77777777" w:rsidR="003E3104" w:rsidRPr="00CE24AE" w:rsidRDefault="003E3104" w:rsidP="00CE24AE">
            <w:pPr>
              <w:rPr>
                <w:rFonts w:asciiTheme="majorHAnsi" w:hAnsiTheme="majorHAnsi"/>
                <w:sz w:val="22"/>
                <w:szCs w:val="22"/>
              </w:rPr>
            </w:pPr>
            <w:r w:rsidRPr="00CE24AE">
              <w:rPr>
                <w:rFonts w:asciiTheme="majorHAnsi" w:hAnsiTheme="majorHAnsi"/>
                <w:sz w:val="22"/>
                <w:szCs w:val="22"/>
              </w:rPr>
              <w:t>50 % (17-33 years old)</w:t>
            </w:r>
          </w:p>
        </w:tc>
      </w:tr>
      <w:tr w:rsidR="003E3104" w:rsidRPr="00CF7D72" w14:paraId="0601F2A5" w14:textId="77777777" w:rsidTr="00CE24AE">
        <w:trPr>
          <w:trHeight w:val="624"/>
        </w:trPr>
        <w:tc>
          <w:tcPr>
            <w:tcW w:w="3000" w:type="pct"/>
          </w:tcPr>
          <w:p w14:paraId="11859063" w14:textId="77777777" w:rsidR="003E3104" w:rsidRPr="00CE24AE" w:rsidRDefault="003E3104" w:rsidP="003E3104">
            <w:pPr>
              <w:pStyle w:val="NormalWeb"/>
              <w:rPr>
                <w:rFonts w:asciiTheme="majorHAnsi" w:hAnsiTheme="majorHAnsi"/>
                <w:sz w:val="22"/>
                <w:szCs w:val="22"/>
              </w:rPr>
            </w:pPr>
            <w:r w:rsidRPr="00CE24AE">
              <w:rPr>
                <w:rFonts w:asciiTheme="majorHAnsi" w:hAnsiTheme="majorHAnsi"/>
                <w:sz w:val="22"/>
                <w:szCs w:val="22"/>
              </w:rPr>
              <w:t xml:space="preserve">Reduction of population at risk of poverty or social exclusion (in number of persons </w:t>
            </w:r>
          </w:p>
        </w:tc>
        <w:tc>
          <w:tcPr>
            <w:tcW w:w="645" w:type="pct"/>
          </w:tcPr>
          <w:p w14:paraId="4C00E534" w14:textId="77777777" w:rsidR="003E3104" w:rsidRPr="00CE24AE" w:rsidRDefault="003E3104" w:rsidP="003E3104">
            <w:pPr>
              <w:rPr>
                <w:rFonts w:asciiTheme="majorHAnsi" w:hAnsiTheme="majorHAnsi"/>
                <w:sz w:val="22"/>
                <w:szCs w:val="22"/>
              </w:rPr>
            </w:pPr>
            <w:r w:rsidRPr="00CE24AE">
              <w:rPr>
                <w:rFonts w:asciiTheme="majorHAnsi" w:hAnsiTheme="majorHAnsi"/>
                <w:sz w:val="22"/>
                <w:szCs w:val="22"/>
              </w:rPr>
              <w:t>20.000.000</w:t>
            </w:r>
          </w:p>
        </w:tc>
        <w:tc>
          <w:tcPr>
            <w:tcW w:w="645" w:type="pct"/>
          </w:tcPr>
          <w:p w14:paraId="5965E16B" w14:textId="77777777" w:rsidR="003E3104" w:rsidRPr="00CE24AE" w:rsidRDefault="003E3104" w:rsidP="003E3104">
            <w:pPr>
              <w:rPr>
                <w:rFonts w:asciiTheme="majorHAnsi" w:hAnsiTheme="majorHAnsi"/>
                <w:sz w:val="22"/>
                <w:szCs w:val="22"/>
              </w:rPr>
            </w:pPr>
            <w:r w:rsidRPr="00CE24AE">
              <w:rPr>
                <w:rFonts w:asciiTheme="majorHAnsi" w:hAnsiTheme="majorHAnsi"/>
                <w:sz w:val="22"/>
                <w:szCs w:val="22"/>
              </w:rPr>
              <w:t xml:space="preserve">18.1% </w:t>
            </w:r>
            <w:r w:rsidRPr="00CE24AE">
              <w:rPr>
                <w:rFonts w:asciiTheme="majorHAnsi" w:hAnsiTheme="majorHAnsi"/>
                <w:sz w:val="18"/>
                <w:szCs w:val="18"/>
              </w:rPr>
              <w:t>of the population (11.2 million persons)</w:t>
            </w:r>
          </w:p>
        </w:tc>
        <w:tc>
          <w:tcPr>
            <w:tcW w:w="645" w:type="pct"/>
          </w:tcPr>
          <w:p w14:paraId="3485A46E" w14:textId="77777777" w:rsidR="003E3104" w:rsidRPr="00CE24AE" w:rsidRDefault="003E3104" w:rsidP="003E3104">
            <w:pPr>
              <w:rPr>
                <w:rFonts w:asciiTheme="majorHAnsi" w:hAnsiTheme="majorHAnsi"/>
                <w:sz w:val="22"/>
                <w:szCs w:val="22"/>
              </w:rPr>
            </w:pPr>
            <w:r w:rsidRPr="00CE24AE">
              <w:rPr>
                <w:rFonts w:asciiTheme="majorHAnsi" w:hAnsiTheme="majorHAnsi"/>
                <w:sz w:val="22"/>
                <w:szCs w:val="22"/>
              </w:rPr>
              <w:t>1.900.000</w:t>
            </w:r>
          </w:p>
        </w:tc>
      </w:tr>
    </w:tbl>
    <w:p w14:paraId="13C65FE3" w14:textId="77777777" w:rsidR="00CE24AE" w:rsidRPr="00595350" w:rsidRDefault="003E3104" w:rsidP="00595350">
      <w:pPr>
        <w:pStyle w:val="NormalWeb"/>
        <w:spacing w:before="0" w:beforeAutospacing="0" w:after="0" w:afterAutospacing="0"/>
        <w:rPr>
          <w:rFonts w:asciiTheme="majorHAnsi" w:hAnsiTheme="majorHAnsi"/>
          <w:b/>
          <w:sz w:val="22"/>
          <w:szCs w:val="22"/>
        </w:rPr>
      </w:pPr>
      <w:r w:rsidRPr="00CE24AE">
        <w:rPr>
          <w:rFonts w:asciiTheme="majorHAnsi" w:hAnsiTheme="majorHAnsi"/>
          <w:b/>
          <w:sz w:val="22"/>
          <w:szCs w:val="22"/>
        </w:rPr>
        <w:t>SUMMARY OF STRATEGY 2020 OBJECTIVES</w:t>
      </w:r>
    </w:p>
    <w:p w14:paraId="3C5946EE" w14:textId="77777777" w:rsidR="00CE24AE" w:rsidRPr="00595350" w:rsidRDefault="00595350" w:rsidP="00595350">
      <w:pPr>
        <w:rPr>
          <w:rFonts w:asciiTheme="majorHAnsi" w:hAnsiTheme="majorHAnsi" w:cs="Times New Roman"/>
          <w:b/>
          <w:sz w:val="28"/>
          <w:szCs w:val="28"/>
          <w:lang w:val="en-AU"/>
        </w:rPr>
      </w:pPr>
      <w:r>
        <w:rPr>
          <w:rFonts w:asciiTheme="majorHAnsi" w:hAnsiTheme="majorHAnsi"/>
          <w:b/>
          <w:sz w:val="28"/>
          <w:szCs w:val="28"/>
          <w:lang w:val="en-AU"/>
        </w:rPr>
        <w:br w:type="page"/>
      </w:r>
    </w:p>
    <w:p w14:paraId="4802EC88" w14:textId="77777777" w:rsidR="003E3104" w:rsidRDefault="003E3104" w:rsidP="00595350">
      <w:pPr>
        <w:pStyle w:val="NormalWeb"/>
        <w:numPr>
          <w:ilvl w:val="0"/>
          <w:numId w:val="1"/>
        </w:numPr>
        <w:rPr>
          <w:rFonts w:asciiTheme="majorHAnsi" w:hAnsiTheme="majorHAnsi"/>
          <w:b/>
          <w:sz w:val="28"/>
          <w:szCs w:val="28"/>
          <w:lang w:val="en-AU"/>
        </w:rPr>
      </w:pPr>
      <w:r w:rsidRPr="00F91AFF">
        <w:rPr>
          <w:rFonts w:asciiTheme="majorHAnsi" w:hAnsiTheme="majorHAnsi"/>
          <w:b/>
          <w:sz w:val="28"/>
          <w:szCs w:val="28"/>
          <w:lang w:val="en-AU"/>
        </w:rPr>
        <w:t>LABOUR MARKET POLICIES</w:t>
      </w:r>
    </w:p>
    <w:p w14:paraId="3338EF9B" w14:textId="77777777" w:rsidR="00595350" w:rsidRPr="00595350" w:rsidRDefault="00595350" w:rsidP="00595350">
      <w:pPr>
        <w:pStyle w:val="NormalWeb"/>
        <w:ind w:left="360"/>
        <w:rPr>
          <w:rFonts w:asciiTheme="majorHAnsi" w:hAnsiTheme="majorHAnsi"/>
          <w:b/>
          <w:sz w:val="24"/>
          <w:szCs w:val="24"/>
          <w:lang w:val="en-AU"/>
        </w:rPr>
      </w:pPr>
      <w:r w:rsidRPr="00F91AFF">
        <w:rPr>
          <w:rFonts w:asciiTheme="majorHAnsi" w:hAnsiTheme="majorHAnsi"/>
          <w:b/>
          <w:sz w:val="24"/>
          <w:szCs w:val="24"/>
          <w:lang w:val="en-AU"/>
        </w:rPr>
        <w:t xml:space="preserve">2.1 IMPROVING THE FUNCTIONING OF THE LABOUR MARKET </w:t>
      </w:r>
    </w:p>
    <w:p w14:paraId="2A4CCAC0" w14:textId="77777777" w:rsidR="00586F8A" w:rsidRPr="00595350" w:rsidRDefault="00586F8A" w:rsidP="00595350">
      <w:pPr>
        <w:pStyle w:val="NormalWeb"/>
        <w:spacing w:before="0" w:beforeAutospacing="0" w:after="0" w:afterAutospacing="0"/>
        <w:rPr>
          <w:rFonts w:ascii="Helvetica Neue" w:hAnsi="Helvetica Neue"/>
          <w:lang w:val="en-AU"/>
        </w:rPr>
      </w:pPr>
      <w:r w:rsidRPr="00595350">
        <w:rPr>
          <w:rFonts w:ascii="Helvetica Neue" w:hAnsi="Helvetica Neue"/>
          <w:lang w:val="en-AU"/>
        </w:rPr>
        <w:t xml:space="preserve">Implementation of the European Council Recommendation to France dated 8 July 2014 </w:t>
      </w:r>
      <w:r w:rsidRPr="00595350">
        <w:rPr>
          <w:rFonts w:ascii="Helvetica Neue" w:hAnsi="Helvetica Neue"/>
          <w:sz w:val="16"/>
          <w:szCs w:val="16"/>
          <w:lang w:val="en-AU"/>
        </w:rPr>
        <w:t>(recommendation n.6)</w:t>
      </w:r>
      <w:r w:rsidRPr="00595350">
        <w:rPr>
          <w:rStyle w:val="FootnoteReference"/>
          <w:rFonts w:ascii="Helvetica Neue" w:hAnsi="Helvetica Neue"/>
          <w:sz w:val="16"/>
          <w:szCs w:val="16"/>
          <w:lang w:val="en-AU"/>
        </w:rPr>
        <w:footnoteReference w:id="2"/>
      </w:r>
    </w:p>
    <w:p w14:paraId="5F0AFF7D" w14:textId="77777777" w:rsidR="00586F8A" w:rsidRPr="0045280C" w:rsidRDefault="00586F8A" w:rsidP="00595350">
      <w:pPr>
        <w:pStyle w:val="NormalWeb"/>
        <w:spacing w:before="0" w:beforeAutospacing="0" w:after="0" w:afterAutospacing="0"/>
        <w:jc w:val="both"/>
        <w:rPr>
          <w:rFonts w:ascii="EUAlbertina" w:hAnsi="EUAlbertina" w:hint="eastAsia"/>
          <w:lang w:val="en-AU"/>
        </w:rPr>
      </w:pPr>
      <w:r w:rsidRPr="0045280C">
        <w:rPr>
          <w:rFonts w:ascii="Helvetica Neue" w:hAnsi="Helvetica Neue"/>
          <w:sz w:val="28"/>
          <w:szCs w:val="28"/>
          <w:lang w:val="en-AU"/>
        </w:rPr>
        <w:t>« </w:t>
      </w:r>
      <w:r w:rsidRPr="0045280C">
        <w:rPr>
          <w:rFonts w:asciiTheme="majorHAnsi" w:hAnsiTheme="majorHAnsi"/>
          <w:i/>
          <w:lang w:val="en-AU"/>
        </w:rPr>
        <w:t xml:space="preserve">Take further action to combat labour-market rigidity, in particular take measures to reform the conditions of the ‘accords de maintien de l'emploi’ to increase their take up by companies </w:t>
      </w:r>
      <w:r w:rsidR="004027E2">
        <w:rPr>
          <w:rFonts w:asciiTheme="majorHAnsi" w:hAnsiTheme="majorHAnsi"/>
          <w:i/>
          <w:lang w:val="en-AU"/>
        </w:rPr>
        <w:t>facing difficulties. Take addi</w:t>
      </w:r>
      <w:r w:rsidR="004027E2">
        <w:rPr>
          <w:rFonts w:asciiTheme="majorHAnsi" w:hAnsiTheme="majorHAnsi"/>
          <w:i/>
          <w:lang w:val="en-AU"/>
        </w:rPr>
        <w:softHyphen/>
      </w:r>
      <w:r w:rsidRPr="0045280C">
        <w:rPr>
          <w:rFonts w:asciiTheme="majorHAnsi" w:hAnsiTheme="majorHAnsi"/>
          <w:i/>
          <w:lang w:val="en-AU"/>
        </w:rPr>
        <w:t>tional measures to reform the unemployment benefit system in association with social partners, in order to guarantee its sustainability while ensuring that it provides adequate incentives to return to work. Ensure that older workers benefit from adequate counselling and training and re-assess the relevant specific unemploy</w:t>
      </w:r>
      <w:r w:rsidRPr="0045280C">
        <w:rPr>
          <w:rFonts w:asciiTheme="majorHAnsi" w:hAnsiTheme="majorHAnsi"/>
          <w:i/>
          <w:lang w:val="en-AU"/>
        </w:rPr>
        <w:softHyphen/>
        <w:t xml:space="preserve"> ment benefit arrangements with respect to their situation on the labour market.</w:t>
      </w:r>
      <w:r w:rsidRPr="0045280C">
        <w:rPr>
          <w:rFonts w:ascii="EUAlbertina" w:hAnsi="EUAlbertina"/>
          <w:lang w:val="en-AU"/>
        </w:rPr>
        <w:t xml:space="preserve"> </w:t>
      </w:r>
      <w:r w:rsidRPr="0045280C">
        <w:rPr>
          <w:rFonts w:ascii="EUAlbertina" w:hAnsi="EUAlbertina" w:hint="eastAsia"/>
          <w:lang w:val="en-AU"/>
        </w:rPr>
        <w:t>»</w:t>
      </w:r>
    </w:p>
    <w:p w14:paraId="43F85326" w14:textId="77777777" w:rsidR="0045280C" w:rsidRPr="0045280C" w:rsidRDefault="0045280C" w:rsidP="00595350">
      <w:pPr>
        <w:pStyle w:val="NormalWeb"/>
        <w:spacing w:before="60" w:beforeAutospacing="0" w:after="60" w:afterAutospacing="0"/>
        <w:jc w:val="both"/>
        <w:rPr>
          <w:rFonts w:asciiTheme="majorHAnsi" w:hAnsiTheme="majorHAnsi"/>
          <w:lang w:val="en-AU"/>
        </w:rPr>
      </w:pPr>
      <w:r w:rsidRPr="0045280C">
        <w:rPr>
          <w:rFonts w:asciiTheme="majorHAnsi" w:hAnsiTheme="majorHAnsi"/>
          <w:lang w:val="en-AU"/>
        </w:rPr>
        <w:t>(From French Prime Minister’s Office,  French National Programme 2015)</w:t>
      </w:r>
    </w:p>
    <w:p w14:paraId="289AB27F" w14:textId="77777777" w:rsidR="00586F8A" w:rsidRPr="0045280C" w:rsidRDefault="00586F8A" w:rsidP="00595350">
      <w:pPr>
        <w:pStyle w:val="NormalWeb"/>
        <w:spacing w:before="0" w:beforeAutospacing="0" w:after="0" w:afterAutospacing="0"/>
        <w:jc w:val="both"/>
        <w:rPr>
          <w:lang w:val="en-AU"/>
        </w:rPr>
      </w:pPr>
      <w:r w:rsidRPr="0045280C">
        <w:rPr>
          <w:rFonts w:ascii="Helvetica Neue" w:hAnsi="Helvetica Neue"/>
          <w:lang w:val="en-AU"/>
        </w:rPr>
        <w:t xml:space="preserve">France has faced persistently high unemployment for the past 30 years, which means it is necessary to re-think employment policy to make it more effective. Government action is structured around several complementary areas, with the overall aim of facilitating professional development and increasing effective security for employees. </w:t>
      </w:r>
    </w:p>
    <w:p w14:paraId="51BE75DF" w14:textId="77777777" w:rsidR="00586F8A" w:rsidRPr="00595350" w:rsidRDefault="00586F8A" w:rsidP="00595350">
      <w:pPr>
        <w:pStyle w:val="NormalWeb"/>
        <w:spacing w:before="0" w:beforeAutospacing="0" w:after="0" w:afterAutospacing="0"/>
        <w:jc w:val="both"/>
        <w:rPr>
          <w:b/>
          <w:lang w:val="en-AU"/>
        </w:rPr>
      </w:pPr>
      <w:r w:rsidRPr="00595350">
        <w:rPr>
          <w:rFonts w:ascii="Helvetica Neue" w:hAnsi="Helvetica Neue"/>
          <w:b/>
          <w:bCs/>
          <w:sz w:val="24"/>
          <w:szCs w:val="24"/>
          <w:lang w:val="en-AU"/>
        </w:rPr>
        <w:t xml:space="preserve">Enhancing and decentralizing social dialogue </w:t>
      </w:r>
    </w:p>
    <w:p w14:paraId="12BCCDA5" w14:textId="77777777" w:rsidR="00586F8A" w:rsidRPr="0045280C" w:rsidRDefault="00586F8A" w:rsidP="00595350">
      <w:pPr>
        <w:pStyle w:val="NormalWeb"/>
        <w:spacing w:before="0" w:beforeAutospacing="0" w:after="0" w:afterAutospacing="0"/>
        <w:jc w:val="both"/>
        <w:rPr>
          <w:lang w:val="en-AU"/>
        </w:rPr>
      </w:pPr>
      <w:r w:rsidRPr="0045280C">
        <w:rPr>
          <w:rFonts w:ascii="Helvetica Neue" w:hAnsi="Helvetica Neue"/>
          <w:lang w:val="en-AU"/>
        </w:rPr>
        <w:t xml:space="preserve">The job security act of 14 June 2013 was a breakthrough, as it introduced a French form of flexi-security. New rights for employees have been set up and companies’ capacity for adaptation was increased through an ambitious simplification of part-time activity, a reform of collective redundancy procedures and the possibility of adapting salaries and work hours by agreement in the event of economic difficulties. </w:t>
      </w:r>
      <w:r w:rsidR="004027E2">
        <w:rPr>
          <w:rFonts w:ascii="Helvetica Neue" w:hAnsi="Helvetica Neue"/>
          <w:lang w:val="en-AU"/>
        </w:rPr>
        <w:t>(…)</w:t>
      </w:r>
      <w:r w:rsidRPr="0045280C">
        <w:rPr>
          <w:rFonts w:ascii="Helvetica Neue" w:hAnsi="Helvetica Neue"/>
          <w:lang w:val="en-AU"/>
        </w:rPr>
        <w:t xml:space="preserve"> The government believes that improving the quality of social dialogue will help companies to become more competitive. </w:t>
      </w:r>
      <w:r w:rsidR="004027E2">
        <w:rPr>
          <w:rFonts w:ascii="Helvetica Neue" w:hAnsi="Helvetica Neue"/>
          <w:lang w:val="en-AU"/>
        </w:rPr>
        <w:t>(…)</w:t>
      </w:r>
      <w:r w:rsidRPr="0045280C">
        <w:rPr>
          <w:rFonts w:ascii="Helvetica Neue" w:hAnsi="Helvetica Neue"/>
          <w:lang w:val="en-AU"/>
        </w:rPr>
        <w:t xml:space="preserve"> As a whole, these reforms are part of a continuous process of profound transformation of the labour market and the nature of social dialogue, which must be enhanced at both sector and company level. </w:t>
      </w:r>
    </w:p>
    <w:p w14:paraId="702A006A" w14:textId="77777777" w:rsidR="00586F8A" w:rsidRPr="00595350" w:rsidRDefault="00586F8A" w:rsidP="00595350">
      <w:pPr>
        <w:pStyle w:val="NormalWeb"/>
        <w:spacing w:before="0" w:beforeAutospacing="0" w:after="0" w:afterAutospacing="0"/>
        <w:jc w:val="both"/>
        <w:rPr>
          <w:b/>
          <w:lang w:val="en-AU"/>
        </w:rPr>
      </w:pPr>
      <w:r w:rsidRPr="00595350">
        <w:rPr>
          <w:rFonts w:ascii="Helvetica Neue" w:hAnsi="Helvetica Neue"/>
          <w:b/>
          <w:bCs/>
          <w:sz w:val="24"/>
          <w:szCs w:val="24"/>
          <w:lang w:val="en-AU"/>
        </w:rPr>
        <w:t xml:space="preserve">Increasing career flexibility and security through individualized rights </w:t>
      </w:r>
    </w:p>
    <w:p w14:paraId="165EDBAB" w14:textId="77777777" w:rsidR="00586F8A" w:rsidRPr="0045280C" w:rsidRDefault="00586F8A" w:rsidP="00595350">
      <w:pPr>
        <w:pStyle w:val="NormalWeb"/>
        <w:spacing w:before="0" w:beforeAutospacing="0" w:after="0" w:afterAutospacing="0"/>
        <w:jc w:val="both"/>
        <w:rPr>
          <w:lang w:val="en-AU"/>
        </w:rPr>
      </w:pPr>
      <w:r w:rsidRPr="0045280C">
        <w:rPr>
          <w:rFonts w:ascii="Helvetica Neue" w:hAnsi="Helvetica Neue"/>
          <w:lang w:val="en-AU"/>
        </w:rPr>
        <w:t xml:space="preserve">Recent advances have simplified the legal framework (simplified dispute procedures, amicable termination of contracts, mass redundancy plans agreed jointly, out of court, within a strictly regulated time frame). The growth, economic activity and equal economic opportunity bill supplements these measures by simplifying certain obligations related to collective redundancy and by reforming the employment tribunals, which are responsible for handling individual disputes. This major reform will speed up judges’ decisions and make them more predictable and less costly to businesses. These measures are accompanied by efforts to increase career security by introducing individualized rechargeable entitlements to unemployment benefits and improving access to vocational training for those most in need of it. As of 1 January 2015, all workers have a personal training account allowing them to receive training throughout their career. </w:t>
      </w:r>
    </w:p>
    <w:p w14:paraId="501DFE05" w14:textId="77777777" w:rsidR="00586F8A" w:rsidRPr="0045280C" w:rsidRDefault="00586F8A" w:rsidP="00595350">
      <w:pPr>
        <w:pStyle w:val="NormalWeb"/>
        <w:spacing w:before="0" w:beforeAutospacing="0" w:after="0" w:afterAutospacing="0"/>
        <w:jc w:val="both"/>
        <w:rPr>
          <w:lang w:val="en-AU"/>
        </w:rPr>
      </w:pPr>
      <w:r w:rsidRPr="0045280C">
        <w:rPr>
          <w:rFonts w:ascii="Helvetica Neue" w:hAnsi="Helvetica Neue"/>
          <w:lang w:val="en-AU"/>
        </w:rPr>
        <w:t xml:space="preserve">The government aims to go further by setting up a personal activity account from 1 January 2017. This will bring together all the entitlements acquired by a worker (personal training account, occupational risk account, entitlements to unemployment benefits, etc.) in an account that the worker can use throughout his or her career. This account will offer greater career security, greater mobility, and better career development prospects. </w:t>
      </w:r>
    </w:p>
    <w:p w14:paraId="29A6E9EC" w14:textId="77777777" w:rsidR="00586F8A" w:rsidRPr="00595350" w:rsidRDefault="00586F8A" w:rsidP="00595350">
      <w:pPr>
        <w:pStyle w:val="NormalWeb"/>
        <w:spacing w:before="0" w:beforeAutospacing="0" w:after="0" w:afterAutospacing="0"/>
        <w:jc w:val="both"/>
        <w:rPr>
          <w:b/>
          <w:lang w:val="en-AU"/>
        </w:rPr>
      </w:pPr>
      <w:r w:rsidRPr="00595350">
        <w:rPr>
          <w:rFonts w:ascii="Helvetica Neue" w:hAnsi="Helvetica Neue"/>
          <w:b/>
          <w:bCs/>
          <w:sz w:val="24"/>
          <w:szCs w:val="24"/>
          <w:lang w:val="en-AU"/>
        </w:rPr>
        <w:t xml:space="preserve">Promoting the development of vocational skills </w:t>
      </w:r>
    </w:p>
    <w:p w14:paraId="0368CFFD" w14:textId="77777777" w:rsidR="00595350" w:rsidRPr="00E86CE7" w:rsidRDefault="00586F8A" w:rsidP="00595350">
      <w:pPr>
        <w:pStyle w:val="NormalWeb"/>
        <w:spacing w:before="0" w:beforeAutospacing="0" w:after="0" w:afterAutospacing="0"/>
        <w:jc w:val="both"/>
        <w:rPr>
          <w:rFonts w:ascii="Helvetica Neue" w:hAnsi="Helvetica Neue"/>
          <w:lang w:val="en-AU"/>
        </w:rPr>
      </w:pPr>
      <w:r w:rsidRPr="0045280C">
        <w:rPr>
          <w:rFonts w:ascii="Helvetica Neue" w:hAnsi="Helvetica Neue"/>
          <w:lang w:val="en-AU"/>
        </w:rPr>
        <w:t>The vocational training reform adopted on 5 March 2014 helped to reform training policy governance by strengthening the role of regional authorities and relaxing the legal framework that companies must respect with regard to employee training. It thus clarifies the training financing system and makes it more effective. This is also true of the government’s policy to promote apprenticeships: apprenticeship financing channels have been simplified and the government has set itself the target of reaching 500,000 apprentices by 2017 by offering greater assistance to businesses</w:t>
      </w:r>
    </w:p>
    <w:p w14:paraId="66FFDACD" w14:textId="77777777" w:rsidR="00586F8A" w:rsidRPr="00595350" w:rsidRDefault="00586F8A" w:rsidP="00595350">
      <w:pPr>
        <w:pStyle w:val="NormalWeb"/>
        <w:spacing w:before="0" w:beforeAutospacing="0" w:after="0" w:afterAutospacing="0"/>
        <w:jc w:val="both"/>
        <w:rPr>
          <w:b/>
          <w:lang w:val="en-AU"/>
        </w:rPr>
      </w:pPr>
      <w:r w:rsidRPr="00595350">
        <w:rPr>
          <w:rFonts w:ascii="Helvetica Neue" w:hAnsi="Helvetica Neue"/>
          <w:b/>
          <w:bCs/>
          <w:sz w:val="24"/>
          <w:szCs w:val="24"/>
          <w:lang w:val="en-AU"/>
        </w:rPr>
        <w:t xml:space="preserve">Improving incentives for returning to work and maintaining employment </w:t>
      </w:r>
    </w:p>
    <w:p w14:paraId="0079C5AA" w14:textId="77777777" w:rsidR="00586F8A" w:rsidRPr="0045280C" w:rsidRDefault="00586F8A" w:rsidP="00595350">
      <w:pPr>
        <w:pStyle w:val="NormalWeb"/>
        <w:spacing w:before="0" w:beforeAutospacing="0" w:after="0" w:afterAutospacing="0"/>
        <w:jc w:val="both"/>
        <w:rPr>
          <w:lang w:val="en-AU"/>
        </w:rPr>
      </w:pPr>
      <w:r w:rsidRPr="0045280C">
        <w:rPr>
          <w:rFonts w:ascii="Helvetica Neue" w:hAnsi="Helvetica Neue"/>
          <w:lang w:val="en-AU"/>
        </w:rPr>
        <w:t>Many measures have been taken to increase the employment rate and limit hysteresis effects, including the introduction of “rechargeable” entitlements under the 2014 unemployment convention and the merging on 1 January 2016 of the earned income supplement (</w:t>
      </w:r>
      <w:r w:rsidRPr="0045280C">
        <w:rPr>
          <w:rFonts w:ascii="Helvetica Neue" w:hAnsi="Helvetica Neue"/>
          <w:i/>
          <w:iCs/>
          <w:lang w:val="en-AU"/>
        </w:rPr>
        <w:t>RSA Activité</w:t>
      </w:r>
      <w:r w:rsidRPr="0045280C">
        <w:rPr>
          <w:rFonts w:ascii="Helvetica Neue" w:hAnsi="Helvetica Neue"/>
          <w:lang w:val="en-AU"/>
        </w:rPr>
        <w:t>) and the employment bonus (PPE) into an activity bonus, which is simpler and promotes activity more effectively (especially due to a monthly payment mechanism); this system is included in the social dialogue modernization bill presented on 22 April. In addition, from 2016, the new unemployment insurance convention will set compensation rules that incentivize people to return to work, boost career security and ensure that the system is financially sound (</w:t>
      </w:r>
      <w:r w:rsidRPr="0045280C">
        <w:rPr>
          <w:rFonts w:ascii="EuroSans" w:hAnsi="EuroSans"/>
          <w:sz w:val="22"/>
          <w:szCs w:val="22"/>
          <w:lang w:val="en-AU"/>
        </w:rPr>
        <w:t>€</w:t>
      </w:r>
      <w:r w:rsidRPr="0045280C">
        <w:rPr>
          <w:rFonts w:ascii="Helvetica Neue" w:hAnsi="Helvetica Neue"/>
          <w:lang w:val="en-AU"/>
        </w:rPr>
        <w:t xml:space="preserve">2 billion per year, taking into account the reforms launched since 2014). </w:t>
      </w:r>
    </w:p>
    <w:p w14:paraId="5AA0C068" w14:textId="77777777" w:rsidR="003E3104" w:rsidRPr="00F91AFF" w:rsidRDefault="0045280C" w:rsidP="0045280C">
      <w:pPr>
        <w:pStyle w:val="NormalWeb"/>
        <w:jc w:val="both"/>
        <w:rPr>
          <w:rFonts w:asciiTheme="majorHAnsi" w:hAnsiTheme="majorHAnsi"/>
          <w:b/>
          <w:sz w:val="24"/>
          <w:szCs w:val="24"/>
          <w:lang w:val="en-AU"/>
        </w:rPr>
      </w:pPr>
      <w:r w:rsidRPr="00F91AFF">
        <w:rPr>
          <w:rFonts w:asciiTheme="majorHAnsi" w:hAnsiTheme="majorHAnsi"/>
          <w:b/>
          <w:sz w:val="24"/>
          <w:szCs w:val="24"/>
          <w:lang w:val="en-AU"/>
        </w:rPr>
        <w:t>2.2 UNEMPLOYMENT INSURANCE</w:t>
      </w:r>
    </w:p>
    <w:p w14:paraId="640231B8" w14:textId="77777777" w:rsidR="0045280C" w:rsidRPr="0045280C" w:rsidRDefault="0045280C" w:rsidP="00E86CE7">
      <w:pPr>
        <w:pStyle w:val="NormalWeb"/>
        <w:rPr>
          <w:rFonts w:asciiTheme="majorHAnsi" w:hAnsiTheme="majorHAnsi"/>
          <w:sz w:val="22"/>
          <w:szCs w:val="22"/>
          <w:lang w:val="en-AU"/>
        </w:rPr>
      </w:pPr>
      <w:r w:rsidRPr="0045280C">
        <w:rPr>
          <w:rFonts w:asciiTheme="majorHAnsi" w:hAnsiTheme="majorHAnsi"/>
          <w:sz w:val="22"/>
          <w:szCs w:val="22"/>
          <w:lang w:val="en-AU"/>
        </w:rPr>
        <w:t xml:space="preserve">Source: CLEISS – Center Of European And International Liaison For Social Security </w:t>
      </w:r>
      <w:hyperlink r:id="rId11" w:history="1">
        <w:r w:rsidR="00031FDD" w:rsidRPr="00FA0B1A">
          <w:rPr>
            <w:rStyle w:val="Hyperlink"/>
            <w:rFonts w:asciiTheme="majorHAnsi" w:hAnsiTheme="majorHAnsi"/>
            <w:sz w:val="22"/>
            <w:szCs w:val="22"/>
            <w:lang w:val="en-AU"/>
          </w:rPr>
          <w:t>http://www.cleiss.fr/docs/regimes/regime_france/an_5.html</w:t>
        </w:r>
      </w:hyperlink>
      <w:r w:rsidR="00031FDD">
        <w:rPr>
          <w:rFonts w:asciiTheme="majorHAnsi" w:hAnsiTheme="majorHAnsi"/>
          <w:sz w:val="22"/>
          <w:szCs w:val="22"/>
          <w:lang w:val="en-AU"/>
        </w:rPr>
        <w:t xml:space="preserve"> </w:t>
      </w:r>
    </w:p>
    <w:p w14:paraId="433A4047" w14:textId="77777777" w:rsidR="0045280C" w:rsidRPr="0045280C" w:rsidRDefault="0045280C" w:rsidP="0045280C">
      <w:pPr>
        <w:widowControl w:val="0"/>
        <w:autoSpaceDE w:val="0"/>
        <w:autoSpaceDN w:val="0"/>
        <w:adjustRightInd w:val="0"/>
        <w:jc w:val="both"/>
        <w:rPr>
          <w:rFonts w:asciiTheme="majorHAnsi" w:hAnsiTheme="majorHAnsi" w:cs="Roboto-Regular"/>
          <w:color w:val="1D314B"/>
          <w:lang w:val="en-US"/>
        </w:rPr>
      </w:pPr>
      <w:r w:rsidRPr="0045280C">
        <w:rPr>
          <w:rFonts w:asciiTheme="majorHAnsi" w:hAnsiTheme="majorHAnsi" w:cs="Roboto-Regular"/>
          <w:color w:val="1D314B"/>
          <w:lang w:val="en-US"/>
        </w:rPr>
        <w:t>The unemployment insurance scheme is the product of a negotiated agreement between the two sides of industry (national and multi-industry employers' and employees' organizations).</w:t>
      </w:r>
    </w:p>
    <w:p w14:paraId="2CC0B4DE" w14:textId="77777777" w:rsidR="0045280C" w:rsidRPr="00031FDD" w:rsidRDefault="0045280C" w:rsidP="0045280C">
      <w:pPr>
        <w:widowControl w:val="0"/>
        <w:autoSpaceDE w:val="0"/>
        <w:autoSpaceDN w:val="0"/>
        <w:adjustRightInd w:val="0"/>
        <w:jc w:val="both"/>
        <w:rPr>
          <w:rFonts w:asciiTheme="majorHAnsi" w:hAnsiTheme="majorHAnsi" w:cs="Roboto-Bold"/>
          <w:b/>
          <w:bCs/>
          <w:lang w:val="en-US"/>
        </w:rPr>
      </w:pPr>
      <w:r w:rsidRPr="00031FDD">
        <w:rPr>
          <w:rFonts w:asciiTheme="majorHAnsi" w:hAnsiTheme="majorHAnsi" w:cs="Roboto-Bold"/>
          <w:b/>
          <w:bCs/>
          <w:lang w:val="en-US"/>
        </w:rPr>
        <w:t>Organizational structure</w:t>
      </w:r>
    </w:p>
    <w:p w14:paraId="77E770A7" w14:textId="77777777" w:rsidR="0045280C" w:rsidRPr="0045280C" w:rsidRDefault="0045280C" w:rsidP="0045280C">
      <w:pPr>
        <w:widowControl w:val="0"/>
        <w:autoSpaceDE w:val="0"/>
        <w:autoSpaceDN w:val="0"/>
        <w:adjustRightInd w:val="0"/>
        <w:jc w:val="both"/>
        <w:rPr>
          <w:rFonts w:asciiTheme="majorHAnsi" w:hAnsiTheme="majorHAnsi" w:cs="Roboto-Regular"/>
          <w:color w:val="1D314B"/>
          <w:lang w:val="en-US"/>
        </w:rPr>
      </w:pPr>
      <w:r w:rsidRPr="0045280C">
        <w:rPr>
          <w:rFonts w:asciiTheme="majorHAnsi" w:hAnsiTheme="majorHAnsi" w:cs="Roboto-Regular"/>
          <w:color w:val="1D314B"/>
          <w:lang w:val="en-US"/>
        </w:rPr>
        <w:t>The public employment service is organized around two bodies: the bipartite body UNEDIC (National Professional Union for Employment in Industry and Trade), which will continue to perform its task of administering the unemployment insurance scheme and organizing the benefits payment system, and the service for jobseekers ("Pôle emploi").</w:t>
      </w:r>
    </w:p>
    <w:p w14:paraId="04D9A5DE" w14:textId="77777777" w:rsidR="0045280C" w:rsidRPr="0045280C" w:rsidRDefault="0045280C" w:rsidP="0045280C">
      <w:pPr>
        <w:widowControl w:val="0"/>
        <w:autoSpaceDE w:val="0"/>
        <w:autoSpaceDN w:val="0"/>
        <w:adjustRightInd w:val="0"/>
        <w:jc w:val="both"/>
        <w:rPr>
          <w:rFonts w:asciiTheme="majorHAnsi" w:hAnsiTheme="majorHAnsi" w:cs="Roboto-Regular"/>
          <w:color w:val="1D314B"/>
          <w:lang w:val="en-US"/>
        </w:rPr>
      </w:pPr>
      <w:r w:rsidRPr="0045280C">
        <w:rPr>
          <w:rFonts w:asciiTheme="majorHAnsi" w:hAnsiTheme="majorHAnsi" w:cs="Roboto-Regular"/>
          <w:color w:val="1D314B"/>
          <w:lang w:val="en-US"/>
        </w:rPr>
        <w:t>Pôle emploi brings all employment services under a single body, with a single point of contact for registering, counseling, training, placing and paying benefits to jobseekers.</w:t>
      </w:r>
    </w:p>
    <w:p w14:paraId="2CBCD80B" w14:textId="77777777" w:rsidR="0045280C" w:rsidRPr="00031FDD" w:rsidRDefault="0045280C" w:rsidP="0045280C">
      <w:pPr>
        <w:widowControl w:val="0"/>
        <w:autoSpaceDE w:val="0"/>
        <w:autoSpaceDN w:val="0"/>
        <w:adjustRightInd w:val="0"/>
        <w:jc w:val="both"/>
        <w:rPr>
          <w:rFonts w:asciiTheme="majorHAnsi" w:hAnsiTheme="majorHAnsi" w:cs="Roboto-Bold"/>
          <w:b/>
          <w:bCs/>
          <w:lang w:val="en-US"/>
        </w:rPr>
      </w:pPr>
      <w:r w:rsidRPr="00031FDD">
        <w:rPr>
          <w:rFonts w:asciiTheme="majorHAnsi" w:hAnsiTheme="majorHAnsi" w:cs="Roboto-Bold"/>
          <w:b/>
          <w:bCs/>
          <w:lang w:val="en-US"/>
        </w:rPr>
        <w:t>Financing</w:t>
      </w:r>
    </w:p>
    <w:p w14:paraId="63B8DFC8" w14:textId="77777777" w:rsidR="0045280C" w:rsidRPr="0045280C" w:rsidRDefault="0045280C" w:rsidP="0045280C">
      <w:pPr>
        <w:widowControl w:val="0"/>
        <w:autoSpaceDE w:val="0"/>
        <w:autoSpaceDN w:val="0"/>
        <w:adjustRightInd w:val="0"/>
        <w:jc w:val="both"/>
        <w:rPr>
          <w:rFonts w:asciiTheme="majorHAnsi" w:hAnsiTheme="majorHAnsi" w:cs="Roboto-Regular"/>
          <w:color w:val="1D314B"/>
          <w:lang w:val="en-US"/>
        </w:rPr>
      </w:pPr>
      <w:r w:rsidRPr="0045280C">
        <w:rPr>
          <w:rFonts w:asciiTheme="majorHAnsi" w:hAnsiTheme="majorHAnsi" w:cs="Roboto-Regular"/>
          <w:color w:val="1D314B"/>
          <w:lang w:val="en-US"/>
        </w:rPr>
        <w:t>The unemployment insurance scheme is financed through contributions paid on earnings: subject to the limit of 4 times the monthly social security ceiling (€12,872 in 2016).</w:t>
      </w:r>
    </w:p>
    <w:p w14:paraId="466DE7ED" w14:textId="77777777" w:rsidR="0045280C" w:rsidRPr="00031FDD" w:rsidRDefault="0045280C" w:rsidP="0045280C">
      <w:pPr>
        <w:widowControl w:val="0"/>
        <w:autoSpaceDE w:val="0"/>
        <w:autoSpaceDN w:val="0"/>
        <w:adjustRightInd w:val="0"/>
        <w:jc w:val="both"/>
        <w:rPr>
          <w:rFonts w:asciiTheme="majorHAnsi" w:hAnsiTheme="majorHAnsi" w:cs="Roboto-Bold"/>
          <w:b/>
          <w:bCs/>
          <w:lang w:val="en-US"/>
        </w:rPr>
      </w:pPr>
      <w:r w:rsidRPr="00031FDD">
        <w:rPr>
          <w:rFonts w:asciiTheme="majorHAnsi" w:hAnsiTheme="majorHAnsi" w:cs="Roboto-Bold"/>
          <w:b/>
          <w:bCs/>
          <w:lang w:val="en-US"/>
        </w:rPr>
        <w:t>Benefits</w:t>
      </w:r>
    </w:p>
    <w:p w14:paraId="01675B00" w14:textId="77777777" w:rsidR="0045280C" w:rsidRPr="0045280C" w:rsidRDefault="0045280C" w:rsidP="0045280C">
      <w:pPr>
        <w:widowControl w:val="0"/>
        <w:autoSpaceDE w:val="0"/>
        <w:autoSpaceDN w:val="0"/>
        <w:adjustRightInd w:val="0"/>
        <w:jc w:val="both"/>
        <w:rPr>
          <w:rFonts w:asciiTheme="majorHAnsi" w:hAnsiTheme="majorHAnsi" w:cs="Roboto-Regular"/>
          <w:color w:val="1D314B"/>
          <w:lang w:val="en-US"/>
        </w:rPr>
      </w:pPr>
      <w:r w:rsidRPr="0045280C">
        <w:rPr>
          <w:rFonts w:asciiTheme="majorHAnsi" w:hAnsiTheme="majorHAnsi" w:cs="Roboto-Regular"/>
          <w:color w:val="1D314B"/>
          <w:lang w:val="en-US"/>
        </w:rPr>
        <w:t>The amount and duration of benefit payments depend upon the period during which the claimant has contributed to the scheme and total contributions paid.</w:t>
      </w:r>
    </w:p>
    <w:p w14:paraId="751AB1B0" w14:textId="77777777" w:rsidR="0045280C" w:rsidRPr="0045280C" w:rsidRDefault="0045280C" w:rsidP="0045280C">
      <w:pPr>
        <w:widowControl w:val="0"/>
        <w:autoSpaceDE w:val="0"/>
        <w:autoSpaceDN w:val="0"/>
        <w:adjustRightInd w:val="0"/>
        <w:jc w:val="both"/>
        <w:rPr>
          <w:rFonts w:asciiTheme="majorHAnsi" w:hAnsiTheme="majorHAnsi" w:cs="Roboto-Regular"/>
          <w:color w:val="1D314B"/>
          <w:lang w:val="en-US"/>
        </w:rPr>
      </w:pPr>
      <w:r w:rsidRPr="0045280C">
        <w:rPr>
          <w:rFonts w:asciiTheme="majorHAnsi" w:hAnsiTheme="majorHAnsi" w:cs="Roboto-Regular"/>
          <w:color w:val="1D314B"/>
          <w:lang w:val="en-US"/>
        </w:rPr>
        <w:t>To qualify for unemployment benefit (Return to employment benefit or ARE), the claimant must satisfy the following conditions:</w:t>
      </w:r>
    </w:p>
    <w:p w14:paraId="1C1FB0F7" w14:textId="77777777" w:rsidR="0045280C" w:rsidRPr="0045280C" w:rsidRDefault="0045280C" w:rsidP="00031FDD">
      <w:pPr>
        <w:widowControl w:val="0"/>
        <w:numPr>
          <w:ilvl w:val="0"/>
          <w:numId w:val="10"/>
        </w:numPr>
        <w:tabs>
          <w:tab w:val="left" w:pos="220"/>
          <w:tab w:val="left" w:pos="720"/>
        </w:tabs>
        <w:autoSpaceDE w:val="0"/>
        <w:autoSpaceDN w:val="0"/>
        <w:adjustRightInd w:val="0"/>
        <w:jc w:val="both"/>
        <w:rPr>
          <w:rFonts w:asciiTheme="majorHAnsi" w:hAnsiTheme="majorHAnsi" w:cs="Roboto-Regular"/>
          <w:color w:val="1D314B"/>
          <w:lang w:val="en-US"/>
        </w:rPr>
      </w:pPr>
      <w:r w:rsidRPr="0045280C">
        <w:rPr>
          <w:rFonts w:asciiTheme="majorHAnsi" w:hAnsiTheme="majorHAnsi" w:cs="Roboto-Regular"/>
          <w:color w:val="1D314B"/>
          <w:lang w:val="en-US"/>
        </w:rPr>
        <w:t>have involuntarily lost their job (termination by the employer, the end of a fixed-term employment contract or an assignment contract, termination by mutual agreement or resignation for a valid reason),</w:t>
      </w:r>
    </w:p>
    <w:p w14:paraId="06D4B4B2" w14:textId="77777777" w:rsidR="0045280C" w:rsidRPr="0045280C" w:rsidRDefault="0045280C" w:rsidP="00031FDD">
      <w:pPr>
        <w:widowControl w:val="0"/>
        <w:numPr>
          <w:ilvl w:val="0"/>
          <w:numId w:val="10"/>
        </w:numPr>
        <w:tabs>
          <w:tab w:val="left" w:pos="220"/>
          <w:tab w:val="left" w:pos="720"/>
        </w:tabs>
        <w:autoSpaceDE w:val="0"/>
        <w:autoSpaceDN w:val="0"/>
        <w:adjustRightInd w:val="0"/>
        <w:jc w:val="both"/>
        <w:rPr>
          <w:rFonts w:asciiTheme="majorHAnsi" w:hAnsiTheme="majorHAnsi" w:cs="Roboto-Regular"/>
          <w:color w:val="1D314B"/>
          <w:lang w:val="en-US"/>
        </w:rPr>
      </w:pPr>
      <w:r w:rsidRPr="0045280C">
        <w:rPr>
          <w:rFonts w:asciiTheme="majorHAnsi" w:hAnsiTheme="majorHAnsi" w:cs="Roboto-Regular"/>
          <w:color w:val="1D314B"/>
          <w:lang w:val="en-US"/>
        </w:rPr>
        <w:t>be physically fit for work,</w:t>
      </w:r>
    </w:p>
    <w:p w14:paraId="2924D6A6" w14:textId="77777777" w:rsidR="0045280C" w:rsidRPr="0045280C" w:rsidRDefault="0045280C" w:rsidP="00031FDD">
      <w:pPr>
        <w:widowControl w:val="0"/>
        <w:numPr>
          <w:ilvl w:val="0"/>
          <w:numId w:val="10"/>
        </w:numPr>
        <w:tabs>
          <w:tab w:val="left" w:pos="220"/>
          <w:tab w:val="left" w:pos="720"/>
        </w:tabs>
        <w:autoSpaceDE w:val="0"/>
        <w:autoSpaceDN w:val="0"/>
        <w:adjustRightInd w:val="0"/>
        <w:jc w:val="both"/>
        <w:rPr>
          <w:rFonts w:asciiTheme="majorHAnsi" w:hAnsiTheme="majorHAnsi" w:cs="Roboto-Regular"/>
          <w:color w:val="1D314B"/>
          <w:lang w:val="en-US"/>
        </w:rPr>
      </w:pPr>
      <w:r w:rsidRPr="0045280C">
        <w:rPr>
          <w:rFonts w:asciiTheme="majorHAnsi" w:hAnsiTheme="majorHAnsi" w:cs="Roboto-Regular"/>
          <w:color w:val="1D314B"/>
          <w:lang w:val="en-US"/>
        </w:rPr>
        <w:t>be registered as a jobseeker with "Pôle emploi" and comply with a personal return-to-work plan,</w:t>
      </w:r>
    </w:p>
    <w:p w14:paraId="054B6ACF" w14:textId="77777777" w:rsidR="0045280C" w:rsidRPr="0045280C" w:rsidRDefault="0045280C" w:rsidP="00031FDD">
      <w:pPr>
        <w:widowControl w:val="0"/>
        <w:numPr>
          <w:ilvl w:val="0"/>
          <w:numId w:val="10"/>
        </w:numPr>
        <w:tabs>
          <w:tab w:val="left" w:pos="220"/>
          <w:tab w:val="left" w:pos="720"/>
        </w:tabs>
        <w:autoSpaceDE w:val="0"/>
        <w:autoSpaceDN w:val="0"/>
        <w:adjustRightInd w:val="0"/>
        <w:jc w:val="both"/>
        <w:rPr>
          <w:rFonts w:asciiTheme="majorHAnsi" w:hAnsiTheme="majorHAnsi" w:cs="Roboto-Regular"/>
          <w:color w:val="1D314B"/>
          <w:lang w:val="en-US"/>
        </w:rPr>
      </w:pPr>
      <w:r w:rsidRPr="0045280C">
        <w:rPr>
          <w:rFonts w:asciiTheme="majorHAnsi" w:hAnsiTheme="majorHAnsi" w:cs="Roboto-Regular"/>
          <w:color w:val="1D314B"/>
          <w:lang w:val="en-US"/>
        </w:rPr>
        <w:t>be actively seeking employment,</w:t>
      </w:r>
    </w:p>
    <w:p w14:paraId="394D4C22" w14:textId="77777777" w:rsidR="0045280C" w:rsidRPr="0045280C" w:rsidRDefault="0045280C" w:rsidP="00031FDD">
      <w:pPr>
        <w:widowControl w:val="0"/>
        <w:numPr>
          <w:ilvl w:val="0"/>
          <w:numId w:val="10"/>
        </w:numPr>
        <w:tabs>
          <w:tab w:val="left" w:pos="220"/>
          <w:tab w:val="left" w:pos="720"/>
        </w:tabs>
        <w:autoSpaceDE w:val="0"/>
        <w:autoSpaceDN w:val="0"/>
        <w:adjustRightInd w:val="0"/>
        <w:jc w:val="both"/>
        <w:rPr>
          <w:rFonts w:asciiTheme="majorHAnsi" w:hAnsiTheme="majorHAnsi" w:cs="Roboto-Regular"/>
          <w:color w:val="1D314B"/>
          <w:lang w:val="en-US"/>
        </w:rPr>
      </w:pPr>
      <w:r w:rsidRPr="0045280C">
        <w:rPr>
          <w:rFonts w:asciiTheme="majorHAnsi" w:hAnsiTheme="majorHAnsi" w:cs="Roboto-Regular"/>
          <w:color w:val="1D314B"/>
          <w:lang w:val="en-US"/>
        </w:rPr>
        <w:t>have worked at least 122 days or 610 hours (4 months) in the last 28 months, or in the last 36 months for jobseekers aged 50 and over) before becoming unemployed,</w:t>
      </w:r>
    </w:p>
    <w:p w14:paraId="656E9262" w14:textId="77777777" w:rsidR="0045280C" w:rsidRPr="0045280C" w:rsidRDefault="0045280C" w:rsidP="00031FDD">
      <w:pPr>
        <w:widowControl w:val="0"/>
        <w:numPr>
          <w:ilvl w:val="0"/>
          <w:numId w:val="10"/>
        </w:numPr>
        <w:tabs>
          <w:tab w:val="left" w:pos="220"/>
          <w:tab w:val="left" w:pos="720"/>
        </w:tabs>
        <w:autoSpaceDE w:val="0"/>
        <w:autoSpaceDN w:val="0"/>
        <w:adjustRightInd w:val="0"/>
        <w:jc w:val="both"/>
        <w:rPr>
          <w:rFonts w:asciiTheme="majorHAnsi" w:hAnsiTheme="majorHAnsi" w:cs="Roboto-Regular"/>
          <w:color w:val="1D314B"/>
          <w:lang w:val="en-US"/>
        </w:rPr>
      </w:pPr>
      <w:r w:rsidRPr="0045280C">
        <w:rPr>
          <w:rFonts w:asciiTheme="majorHAnsi" w:hAnsiTheme="majorHAnsi" w:cs="Roboto-Regular"/>
          <w:color w:val="1D314B"/>
          <w:lang w:val="en-US"/>
        </w:rPr>
        <w:t>be below the legal minimum retirement age (60 or 62 depending on year of birth) or the qualifying age for a full pension(between 65 and 67 depending on year of birth),</w:t>
      </w:r>
    </w:p>
    <w:p w14:paraId="5DF2B83B" w14:textId="77777777" w:rsidR="0045280C" w:rsidRPr="0045280C" w:rsidRDefault="0045280C" w:rsidP="00031FDD">
      <w:pPr>
        <w:widowControl w:val="0"/>
        <w:numPr>
          <w:ilvl w:val="0"/>
          <w:numId w:val="10"/>
        </w:numPr>
        <w:tabs>
          <w:tab w:val="left" w:pos="220"/>
          <w:tab w:val="left" w:pos="720"/>
        </w:tabs>
        <w:autoSpaceDE w:val="0"/>
        <w:autoSpaceDN w:val="0"/>
        <w:adjustRightInd w:val="0"/>
        <w:jc w:val="both"/>
        <w:rPr>
          <w:rFonts w:asciiTheme="majorHAnsi" w:hAnsiTheme="majorHAnsi" w:cs="Roboto-Regular"/>
          <w:color w:val="1D314B"/>
          <w:lang w:val="en-US"/>
        </w:rPr>
      </w:pPr>
      <w:r w:rsidRPr="0045280C">
        <w:rPr>
          <w:rFonts w:asciiTheme="majorHAnsi" w:hAnsiTheme="majorHAnsi" w:cs="Roboto-Regular"/>
          <w:color w:val="1D314B"/>
          <w:lang w:val="en-US"/>
        </w:rPr>
        <w:t>accept "reasonable" job offers (sanctions apply if a jobseeker refuses more than two such offers).</w:t>
      </w:r>
    </w:p>
    <w:p w14:paraId="43928839" w14:textId="77777777" w:rsidR="0045280C" w:rsidRPr="00595350" w:rsidRDefault="0045280C" w:rsidP="0045280C">
      <w:pPr>
        <w:widowControl w:val="0"/>
        <w:autoSpaceDE w:val="0"/>
        <w:autoSpaceDN w:val="0"/>
        <w:adjustRightInd w:val="0"/>
        <w:jc w:val="both"/>
        <w:rPr>
          <w:rFonts w:asciiTheme="majorHAnsi" w:hAnsiTheme="majorHAnsi" w:cs="Roboto-Regular"/>
          <w:b/>
          <w:lang w:val="en-US"/>
        </w:rPr>
      </w:pPr>
      <w:r w:rsidRPr="00595350">
        <w:rPr>
          <w:rFonts w:asciiTheme="majorHAnsi" w:hAnsiTheme="majorHAnsi" w:cs="Roboto-Regular"/>
          <w:b/>
          <w:lang w:val="en-US"/>
        </w:rPr>
        <w:t>Replacement income</w:t>
      </w:r>
    </w:p>
    <w:p w14:paraId="6780D5E9" w14:textId="77777777" w:rsidR="0045280C" w:rsidRPr="0045280C" w:rsidRDefault="0045280C" w:rsidP="0045280C">
      <w:pPr>
        <w:widowControl w:val="0"/>
        <w:autoSpaceDE w:val="0"/>
        <w:autoSpaceDN w:val="0"/>
        <w:adjustRightInd w:val="0"/>
        <w:jc w:val="both"/>
        <w:rPr>
          <w:rFonts w:asciiTheme="majorHAnsi" w:hAnsiTheme="majorHAnsi" w:cs="Roboto-Regular"/>
          <w:color w:val="1D314B"/>
          <w:lang w:val="en-US"/>
        </w:rPr>
      </w:pPr>
      <w:r w:rsidRPr="0045280C">
        <w:rPr>
          <w:rFonts w:asciiTheme="majorHAnsi" w:hAnsiTheme="majorHAnsi" w:cs="Roboto-Regular"/>
          <w:color w:val="1D314B"/>
          <w:lang w:val="en-US"/>
        </w:rPr>
        <w:t>The daily return-to-work allowance ("Aide au retour à l'emploi"/ ARE) is calculated partly on the basis of a daily reference wage (SJR). The reference wage is based on earnings subject to contributions during the 12 calendar months prior to the last day of paid work, up to a limit of 4 times the social security ceiling (€12,872 per month). It is calculated as follows:</w:t>
      </w:r>
    </w:p>
    <w:p w14:paraId="549B385D" w14:textId="77777777" w:rsidR="0045280C" w:rsidRDefault="0045280C" w:rsidP="0045280C">
      <w:pPr>
        <w:widowControl w:val="0"/>
        <w:autoSpaceDE w:val="0"/>
        <w:autoSpaceDN w:val="0"/>
        <w:adjustRightInd w:val="0"/>
        <w:ind w:left="499" w:right="499" w:hanging="499"/>
        <w:jc w:val="both"/>
        <w:rPr>
          <w:rFonts w:asciiTheme="majorHAnsi" w:hAnsiTheme="majorHAnsi" w:cs="Roboto-Regular"/>
          <w:color w:val="1D314B"/>
          <w:lang w:val="en-US"/>
        </w:rPr>
      </w:pPr>
      <w:r w:rsidRPr="0045280C">
        <w:rPr>
          <w:rFonts w:asciiTheme="majorHAnsi" w:hAnsiTheme="majorHAnsi" w:cs="Roboto-Bold"/>
          <w:b/>
          <w:bCs/>
          <w:color w:val="1D314B"/>
          <w:lang w:val="en-US"/>
        </w:rPr>
        <w:t>SJR</w:t>
      </w:r>
      <w:r w:rsidRPr="0045280C">
        <w:rPr>
          <w:rFonts w:asciiTheme="majorHAnsi" w:hAnsiTheme="majorHAnsi" w:cs="Roboto-Regular"/>
          <w:color w:val="1D314B"/>
          <w:lang w:val="en-US"/>
        </w:rPr>
        <w:t xml:space="preserve"> = Reference salary/ Number of days of membership in the scheme (up to 365 days)</w:t>
      </w:r>
    </w:p>
    <w:p w14:paraId="61CE3720" w14:textId="77777777" w:rsidR="0045280C" w:rsidRPr="0045280C" w:rsidRDefault="0045280C" w:rsidP="0045280C">
      <w:pPr>
        <w:widowControl w:val="0"/>
        <w:autoSpaceDE w:val="0"/>
        <w:autoSpaceDN w:val="0"/>
        <w:adjustRightInd w:val="0"/>
        <w:ind w:left="499" w:right="499" w:hanging="499"/>
        <w:jc w:val="both"/>
        <w:rPr>
          <w:rFonts w:asciiTheme="majorHAnsi" w:hAnsiTheme="majorHAnsi" w:cs="Roboto-Regular"/>
          <w:color w:val="1D314B"/>
          <w:lang w:val="en-US"/>
        </w:rPr>
      </w:pPr>
      <w:r w:rsidRPr="0045280C">
        <w:rPr>
          <w:rFonts w:asciiTheme="majorHAnsi" w:hAnsiTheme="majorHAnsi" w:cs="Roboto-Regular"/>
          <w:color w:val="1D314B"/>
          <w:lang w:val="en-US"/>
        </w:rPr>
        <w:t>The daily ARE rate is equal to the highest of the following amounts:</w:t>
      </w:r>
    </w:p>
    <w:p w14:paraId="3F25C3AE" w14:textId="77777777" w:rsidR="0045280C" w:rsidRPr="0045280C" w:rsidRDefault="0045280C" w:rsidP="0045280C">
      <w:pPr>
        <w:widowControl w:val="0"/>
        <w:numPr>
          <w:ilvl w:val="0"/>
          <w:numId w:val="5"/>
        </w:numPr>
        <w:tabs>
          <w:tab w:val="left" w:pos="220"/>
          <w:tab w:val="left" w:pos="720"/>
        </w:tabs>
        <w:autoSpaceDE w:val="0"/>
        <w:autoSpaceDN w:val="0"/>
        <w:adjustRightInd w:val="0"/>
        <w:ind w:hanging="720"/>
        <w:jc w:val="both"/>
        <w:rPr>
          <w:rFonts w:asciiTheme="majorHAnsi" w:hAnsiTheme="majorHAnsi" w:cs="Roboto-Regular"/>
          <w:color w:val="1D314B"/>
          <w:lang w:val="en-US"/>
        </w:rPr>
      </w:pPr>
      <w:r w:rsidRPr="0045280C">
        <w:rPr>
          <w:rFonts w:asciiTheme="majorHAnsi" w:hAnsiTheme="majorHAnsi" w:cs="Roboto-Regular"/>
          <w:color w:val="1D314B"/>
          <w:lang w:val="en-US"/>
        </w:rPr>
        <w:t>40.4% of the SJR + a set amount (11.76 €)</w:t>
      </w:r>
    </w:p>
    <w:p w14:paraId="26D0CA1F" w14:textId="77777777" w:rsidR="0045280C" w:rsidRPr="0045280C" w:rsidRDefault="0045280C" w:rsidP="0045280C">
      <w:pPr>
        <w:widowControl w:val="0"/>
        <w:numPr>
          <w:ilvl w:val="0"/>
          <w:numId w:val="5"/>
        </w:numPr>
        <w:tabs>
          <w:tab w:val="left" w:pos="220"/>
          <w:tab w:val="left" w:pos="720"/>
        </w:tabs>
        <w:autoSpaceDE w:val="0"/>
        <w:autoSpaceDN w:val="0"/>
        <w:adjustRightInd w:val="0"/>
        <w:ind w:hanging="720"/>
        <w:jc w:val="both"/>
        <w:rPr>
          <w:rFonts w:asciiTheme="majorHAnsi" w:hAnsiTheme="majorHAnsi" w:cs="Roboto-Regular"/>
          <w:color w:val="1D314B"/>
          <w:lang w:val="en-US"/>
        </w:rPr>
      </w:pPr>
      <w:r w:rsidRPr="0045280C">
        <w:rPr>
          <w:rFonts w:asciiTheme="majorHAnsi" w:hAnsiTheme="majorHAnsi" w:cs="Roboto-Regular"/>
          <w:color w:val="1D314B"/>
          <w:lang w:val="en-US"/>
        </w:rPr>
        <w:t>57% of the SJR</w:t>
      </w:r>
    </w:p>
    <w:p w14:paraId="32E6CDEC" w14:textId="77777777" w:rsidR="0045280C" w:rsidRPr="0045280C" w:rsidRDefault="0045280C" w:rsidP="0045280C">
      <w:pPr>
        <w:widowControl w:val="0"/>
        <w:autoSpaceDE w:val="0"/>
        <w:autoSpaceDN w:val="0"/>
        <w:adjustRightInd w:val="0"/>
        <w:jc w:val="both"/>
        <w:rPr>
          <w:rFonts w:asciiTheme="majorHAnsi" w:hAnsiTheme="majorHAnsi" w:cs="Roboto-Regular"/>
          <w:color w:val="1D314B"/>
          <w:lang w:val="en-US"/>
        </w:rPr>
      </w:pPr>
      <w:r w:rsidRPr="0045280C">
        <w:rPr>
          <w:rFonts w:asciiTheme="majorHAnsi" w:hAnsiTheme="majorHAnsi" w:cs="Roboto-Regular"/>
          <w:color w:val="1D314B"/>
          <w:lang w:val="en-US"/>
        </w:rPr>
        <w:t>This amount cannot be below 28.67 € or exceed 75% of the SJR.</w:t>
      </w:r>
    </w:p>
    <w:p w14:paraId="5B769539" w14:textId="77777777" w:rsidR="0045280C" w:rsidRPr="00595350" w:rsidRDefault="0045280C" w:rsidP="0045280C">
      <w:pPr>
        <w:widowControl w:val="0"/>
        <w:autoSpaceDE w:val="0"/>
        <w:autoSpaceDN w:val="0"/>
        <w:adjustRightInd w:val="0"/>
        <w:jc w:val="both"/>
        <w:rPr>
          <w:rFonts w:asciiTheme="majorHAnsi" w:hAnsiTheme="majorHAnsi" w:cs="Roboto-Regular"/>
          <w:b/>
          <w:color w:val="1D314B"/>
          <w:lang w:val="en-US"/>
        </w:rPr>
      </w:pPr>
      <w:r w:rsidRPr="00595350">
        <w:rPr>
          <w:rFonts w:asciiTheme="majorHAnsi" w:hAnsiTheme="majorHAnsi" w:cs="Roboto-Regular"/>
          <w:b/>
          <w:color w:val="1D314B"/>
          <w:lang w:val="en-US"/>
        </w:rPr>
        <w:t>Effective date and length of award.</w:t>
      </w:r>
    </w:p>
    <w:p w14:paraId="6F479847" w14:textId="77777777" w:rsidR="0045280C" w:rsidRPr="0045280C" w:rsidRDefault="0045280C" w:rsidP="0045280C">
      <w:pPr>
        <w:widowControl w:val="0"/>
        <w:autoSpaceDE w:val="0"/>
        <w:autoSpaceDN w:val="0"/>
        <w:adjustRightInd w:val="0"/>
        <w:jc w:val="both"/>
        <w:rPr>
          <w:rFonts w:asciiTheme="majorHAnsi" w:hAnsiTheme="majorHAnsi" w:cs="Roboto-Regular"/>
          <w:color w:val="1D314B"/>
          <w:lang w:val="en-US"/>
        </w:rPr>
      </w:pPr>
      <w:r w:rsidRPr="0045280C">
        <w:rPr>
          <w:rFonts w:asciiTheme="majorHAnsi" w:hAnsiTheme="majorHAnsi" w:cs="Roboto-Regular"/>
          <w:color w:val="1D314B"/>
          <w:lang w:val="en-US"/>
        </w:rPr>
        <w:t>Payment begins on the day following the waiting period and any deferred compensation period(s).</w:t>
      </w:r>
    </w:p>
    <w:p w14:paraId="28A9BD34" w14:textId="77777777" w:rsidR="0045280C" w:rsidRPr="0045280C" w:rsidRDefault="0045280C" w:rsidP="0045280C">
      <w:pPr>
        <w:widowControl w:val="0"/>
        <w:numPr>
          <w:ilvl w:val="0"/>
          <w:numId w:val="6"/>
        </w:numPr>
        <w:tabs>
          <w:tab w:val="left" w:pos="220"/>
          <w:tab w:val="left" w:pos="720"/>
        </w:tabs>
        <w:autoSpaceDE w:val="0"/>
        <w:autoSpaceDN w:val="0"/>
        <w:adjustRightInd w:val="0"/>
        <w:ind w:hanging="720"/>
        <w:jc w:val="both"/>
        <w:rPr>
          <w:rFonts w:asciiTheme="majorHAnsi" w:hAnsiTheme="majorHAnsi" w:cs="Roboto-Regular"/>
          <w:color w:val="1D314B"/>
          <w:lang w:val="en-US"/>
        </w:rPr>
      </w:pPr>
      <w:r w:rsidRPr="0045280C">
        <w:rPr>
          <w:rFonts w:asciiTheme="majorHAnsi" w:hAnsiTheme="majorHAnsi" w:cs="Roboto-Regular"/>
          <w:color w:val="1D314B"/>
          <w:lang w:val="en-US"/>
        </w:rPr>
        <w:t>The waiting period is 7 days long. It applies to all unemployment insurance compensation and is in addition to any:</w:t>
      </w:r>
    </w:p>
    <w:p w14:paraId="12CC2C77" w14:textId="77777777" w:rsidR="0045280C" w:rsidRPr="0045280C" w:rsidRDefault="0045280C" w:rsidP="0045280C">
      <w:pPr>
        <w:widowControl w:val="0"/>
        <w:numPr>
          <w:ilvl w:val="0"/>
          <w:numId w:val="6"/>
        </w:numPr>
        <w:tabs>
          <w:tab w:val="left" w:pos="220"/>
          <w:tab w:val="left" w:pos="720"/>
        </w:tabs>
        <w:autoSpaceDE w:val="0"/>
        <w:autoSpaceDN w:val="0"/>
        <w:adjustRightInd w:val="0"/>
        <w:ind w:hanging="720"/>
        <w:jc w:val="both"/>
        <w:rPr>
          <w:rFonts w:asciiTheme="majorHAnsi" w:hAnsiTheme="majorHAnsi" w:cs="Roboto-Regular"/>
          <w:color w:val="1D314B"/>
          <w:lang w:val="en-US"/>
        </w:rPr>
      </w:pPr>
      <w:r w:rsidRPr="0045280C">
        <w:rPr>
          <w:rFonts w:asciiTheme="majorHAnsi" w:hAnsiTheme="majorHAnsi" w:cs="Roboto-Regular"/>
          <w:color w:val="1D314B"/>
          <w:lang w:val="en-US"/>
        </w:rPr>
        <w:t>Deferral for "paid vacation," calculated based on the "paid leave" compensation that is paid at the end of the employment contract,</w:t>
      </w:r>
    </w:p>
    <w:p w14:paraId="3DD28A07" w14:textId="77777777" w:rsidR="0045280C" w:rsidRPr="0045280C" w:rsidRDefault="0045280C" w:rsidP="0045280C">
      <w:pPr>
        <w:widowControl w:val="0"/>
        <w:numPr>
          <w:ilvl w:val="0"/>
          <w:numId w:val="6"/>
        </w:numPr>
        <w:tabs>
          <w:tab w:val="left" w:pos="220"/>
          <w:tab w:val="left" w:pos="720"/>
        </w:tabs>
        <w:autoSpaceDE w:val="0"/>
        <w:autoSpaceDN w:val="0"/>
        <w:adjustRightInd w:val="0"/>
        <w:ind w:hanging="720"/>
        <w:jc w:val="both"/>
        <w:rPr>
          <w:rFonts w:asciiTheme="majorHAnsi" w:hAnsiTheme="majorHAnsi" w:cs="Roboto-Regular"/>
          <w:color w:val="1D314B"/>
          <w:lang w:val="en-US"/>
        </w:rPr>
      </w:pPr>
      <w:r w:rsidRPr="0045280C">
        <w:rPr>
          <w:rFonts w:asciiTheme="majorHAnsi" w:hAnsiTheme="majorHAnsi" w:cs="Roboto-Regular"/>
          <w:color w:val="1D314B"/>
          <w:lang w:val="en-US"/>
        </w:rPr>
        <w:t xml:space="preserve">"Specific" deferral, calculated based on "non-statutory" (higher than the legal minimum) termination </w:t>
      </w:r>
      <w:r w:rsidR="00A22C38" w:rsidRPr="0045280C">
        <w:rPr>
          <w:rFonts w:asciiTheme="majorHAnsi" w:hAnsiTheme="majorHAnsi" w:cs="Roboto-Regular"/>
          <w:color w:val="1D314B"/>
          <w:lang w:val="en-US"/>
        </w:rPr>
        <w:t>compensation that</w:t>
      </w:r>
      <w:r w:rsidRPr="0045280C">
        <w:rPr>
          <w:rFonts w:asciiTheme="majorHAnsi" w:hAnsiTheme="majorHAnsi" w:cs="Roboto-Regular"/>
          <w:color w:val="1D314B"/>
          <w:lang w:val="en-US"/>
        </w:rPr>
        <w:t xml:space="preserve"> is paid when an employment contract is terminated (the upper limit is generally 180 days, 75 days when the employee has been laid off for economic reasons).</w:t>
      </w:r>
    </w:p>
    <w:p w14:paraId="5105FC3E" w14:textId="77777777" w:rsidR="0045280C" w:rsidRPr="0045280C" w:rsidRDefault="0045280C" w:rsidP="0045280C">
      <w:pPr>
        <w:widowControl w:val="0"/>
        <w:autoSpaceDE w:val="0"/>
        <w:autoSpaceDN w:val="0"/>
        <w:adjustRightInd w:val="0"/>
        <w:jc w:val="both"/>
        <w:rPr>
          <w:rFonts w:asciiTheme="majorHAnsi" w:hAnsiTheme="majorHAnsi" w:cs="Roboto-Regular"/>
          <w:color w:val="1D314B"/>
          <w:lang w:val="en-US"/>
        </w:rPr>
      </w:pPr>
      <w:r w:rsidRPr="0045280C">
        <w:rPr>
          <w:rFonts w:asciiTheme="majorHAnsi" w:hAnsiTheme="majorHAnsi" w:cs="Roboto-Regular"/>
          <w:color w:val="1D314B"/>
          <w:lang w:val="en-US"/>
        </w:rPr>
        <w:t>The duration of benefit payments is based on the principle of "a day of work equals a day of compensation." Benefits are paid for a minimum period of 122 days (4 months) and a maximum period of 730 days (24 months) for private-sector employees aged under 50, and 1,095 days (36 months) for employees aged over 50.</w:t>
      </w:r>
    </w:p>
    <w:p w14:paraId="6DAABE39" w14:textId="77777777" w:rsidR="0045280C" w:rsidRPr="0045280C" w:rsidRDefault="0045280C" w:rsidP="0045280C">
      <w:pPr>
        <w:widowControl w:val="0"/>
        <w:autoSpaceDE w:val="0"/>
        <w:autoSpaceDN w:val="0"/>
        <w:adjustRightInd w:val="0"/>
        <w:jc w:val="both"/>
        <w:rPr>
          <w:rFonts w:asciiTheme="majorHAnsi" w:hAnsiTheme="majorHAnsi" w:cs="Roboto-Regular"/>
          <w:color w:val="043181"/>
          <w:lang w:val="en-US"/>
        </w:rPr>
      </w:pPr>
      <w:r w:rsidRPr="0045280C">
        <w:rPr>
          <w:rFonts w:asciiTheme="majorHAnsi" w:hAnsiTheme="majorHAnsi" w:cs="Roboto-Regular"/>
          <w:color w:val="043181"/>
          <w:lang w:val="en-US"/>
        </w:rPr>
        <w:t>Return-to-work incentive measures</w:t>
      </w:r>
    </w:p>
    <w:p w14:paraId="4A507988" w14:textId="77777777" w:rsidR="0045280C" w:rsidRPr="0045280C" w:rsidRDefault="0045280C" w:rsidP="0045280C">
      <w:pPr>
        <w:widowControl w:val="0"/>
        <w:autoSpaceDE w:val="0"/>
        <w:autoSpaceDN w:val="0"/>
        <w:adjustRightInd w:val="0"/>
        <w:jc w:val="both"/>
        <w:rPr>
          <w:rFonts w:asciiTheme="majorHAnsi" w:hAnsiTheme="majorHAnsi" w:cs="Roboto-Regular"/>
          <w:color w:val="1D314B"/>
          <w:lang w:val="en-US"/>
        </w:rPr>
      </w:pPr>
      <w:r w:rsidRPr="0045280C">
        <w:rPr>
          <w:rFonts w:asciiTheme="majorHAnsi" w:hAnsiTheme="majorHAnsi" w:cs="Roboto-Regular"/>
          <w:color w:val="1D314B"/>
          <w:lang w:val="en-US"/>
        </w:rPr>
        <w:t>The May 14, 2014, agreement on unemployment compensation set forth measures that encourage jobseekers to return to work, even on a short-term contract. They are applicable from October 1st 2014.</w:t>
      </w:r>
    </w:p>
    <w:p w14:paraId="0C5334BF" w14:textId="77777777" w:rsidR="003E3104" w:rsidRDefault="00F91AFF" w:rsidP="00E86CE7">
      <w:pPr>
        <w:pStyle w:val="NormalWeb"/>
        <w:spacing w:after="0" w:afterAutospacing="0"/>
        <w:rPr>
          <w:rFonts w:asciiTheme="majorHAnsi" w:hAnsiTheme="majorHAnsi"/>
          <w:b/>
          <w:sz w:val="24"/>
          <w:szCs w:val="24"/>
          <w:lang w:val="en-AU"/>
        </w:rPr>
      </w:pPr>
      <w:r w:rsidRPr="00F91AFF">
        <w:rPr>
          <w:rFonts w:asciiTheme="majorHAnsi" w:hAnsiTheme="majorHAnsi"/>
          <w:b/>
          <w:sz w:val="24"/>
          <w:szCs w:val="24"/>
          <w:lang w:val="en-AU"/>
        </w:rPr>
        <w:t xml:space="preserve">2.3 </w:t>
      </w:r>
      <w:r>
        <w:rPr>
          <w:rFonts w:asciiTheme="majorHAnsi" w:hAnsiTheme="majorHAnsi"/>
          <w:b/>
          <w:sz w:val="24"/>
          <w:szCs w:val="24"/>
          <w:lang w:val="en-AU"/>
        </w:rPr>
        <w:t>MIGRANT WORKERS</w:t>
      </w:r>
    </w:p>
    <w:p w14:paraId="6F1B2ACC" w14:textId="77777777" w:rsidR="0068411B" w:rsidRPr="00B17732" w:rsidRDefault="0068411B" w:rsidP="00595350">
      <w:pPr>
        <w:pStyle w:val="NormalWeb"/>
        <w:spacing w:before="0" w:beforeAutospacing="0" w:after="0" w:afterAutospacing="0"/>
        <w:jc w:val="both"/>
        <w:rPr>
          <w:rFonts w:asciiTheme="majorHAnsi" w:hAnsiTheme="majorHAnsi"/>
          <w:sz w:val="22"/>
          <w:szCs w:val="22"/>
          <w:lang w:val="en-GB"/>
        </w:rPr>
      </w:pPr>
      <w:r w:rsidRPr="00B17732">
        <w:rPr>
          <w:rFonts w:asciiTheme="majorHAnsi" w:hAnsiTheme="majorHAnsi"/>
          <w:sz w:val="22"/>
          <w:szCs w:val="22"/>
          <w:lang w:val="en-GB"/>
        </w:rPr>
        <w:t xml:space="preserve">Migrant access to social security and healthcare in France is closely linked to the socio-economic context, with the initial objective being to facilitate immigration of foreign workers in France to fill workforce needs. Introduced in the 1980s for family benefits, the condition of legal residence was generalised by the law of 24 August 1993. In accordance with Article L.115-6 of the Social Security Code,  the residence permit is the determining factor for access to social security for a third- country national who has come to live in France. Subject to being declared to the authorities for work and being legally resident, third-country nationals broadly benefit from the same rights to social security as French citizens. </w:t>
      </w:r>
    </w:p>
    <w:p w14:paraId="0045C2C8" w14:textId="77777777" w:rsidR="0068411B" w:rsidRPr="00B17732" w:rsidRDefault="0068411B" w:rsidP="00595350">
      <w:pPr>
        <w:jc w:val="both"/>
        <w:rPr>
          <w:rFonts w:asciiTheme="majorHAnsi" w:hAnsiTheme="majorHAnsi" w:cs="Times New Roman"/>
          <w:sz w:val="22"/>
          <w:szCs w:val="22"/>
          <w:lang w:val="en-GB"/>
        </w:rPr>
      </w:pPr>
      <w:r w:rsidRPr="00B17732">
        <w:rPr>
          <w:rFonts w:asciiTheme="majorHAnsi" w:hAnsiTheme="majorHAnsi" w:cs="Times New Roman"/>
          <w:sz w:val="22"/>
          <w:szCs w:val="22"/>
          <w:lang w:val="en-GB"/>
        </w:rPr>
        <w:t xml:space="preserve">In accordance with the principles of freedom of movement and equality of treatment, European nationals affiliated to the social security system in France benefit from the same rights as French nationals </w:t>
      </w:r>
    </w:p>
    <w:p w14:paraId="0F4E3113" w14:textId="77777777" w:rsidR="0068411B" w:rsidRPr="00B17732" w:rsidRDefault="0068411B" w:rsidP="00595350">
      <w:pPr>
        <w:pStyle w:val="NormalWeb"/>
        <w:spacing w:before="0" w:beforeAutospacing="0" w:after="0" w:afterAutospacing="0"/>
        <w:jc w:val="both"/>
        <w:rPr>
          <w:rFonts w:asciiTheme="majorHAnsi" w:hAnsiTheme="majorHAnsi"/>
          <w:sz w:val="22"/>
          <w:szCs w:val="22"/>
          <w:lang w:val="en-GB"/>
        </w:rPr>
      </w:pPr>
      <w:r w:rsidRPr="00B17732">
        <w:rPr>
          <w:rFonts w:asciiTheme="majorHAnsi" w:hAnsiTheme="majorHAnsi"/>
          <w:sz w:val="22"/>
          <w:szCs w:val="22"/>
          <w:lang w:val="en-GB"/>
        </w:rPr>
        <w:t xml:space="preserve">In </w:t>
      </w:r>
      <w:r w:rsidR="00A22C38" w:rsidRPr="00B17732">
        <w:rPr>
          <w:rFonts w:asciiTheme="majorHAnsi" w:hAnsiTheme="majorHAnsi"/>
          <w:sz w:val="22"/>
          <w:szCs w:val="22"/>
          <w:lang w:val="en-GB"/>
        </w:rPr>
        <w:t>addition</w:t>
      </w:r>
      <w:r w:rsidRPr="00B17732">
        <w:rPr>
          <w:rFonts w:asciiTheme="majorHAnsi" w:hAnsiTheme="majorHAnsi"/>
          <w:sz w:val="22"/>
          <w:szCs w:val="22"/>
          <w:lang w:val="en-GB"/>
        </w:rPr>
        <w:t xml:space="preserve"> to European </w:t>
      </w:r>
      <w:r w:rsidR="00A22C38" w:rsidRPr="00B17732">
        <w:rPr>
          <w:rFonts w:asciiTheme="majorHAnsi" w:hAnsiTheme="majorHAnsi"/>
          <w:sz w:val="22"/>
          <w:szCs w:val="22"/>
          <w:lang w:val="en-GB"/>
        </w:rPr>
        <w:t>instruments</w:t>
      </w:r>
      <w:r w:rsidRPr="00B17732">
        <w:rPr>
          <w:rFonts w:asciiTheme="majorHAnsi" w:hAnsiTheme="majorHAnsi"/>
          <w:sz w:val="22"/>
          <w:szCs w:val="22"/>
          <w:lang w:val="en-GB"/>
        </w:rPr>
        <w:t xml:space="preserve"> for the coordination of social security legislation, France has signed bilateral agreements for social security coordination with the aim to facilitate worker mobility and guarantee continuity of social security rights (both for foreign workers in France and French workers abroad). Nearly 40 agreements of this type have been signed between France and third countries, as part of economic </w:t>
      </w:r>
      <w:r w:rsidR="00A22C38" w:rsidRPr="00B17732">
        <w:rPr>
          <w:rFonts w:asciiTheme="majorHAnsi" w:hAnsiTheme="majorHAnsi"/>
          <w:sz w:val="22"/>
          <w:szCs w:val="22"/>
          <w:lang w:val="en-GB"/>
        </w:rPr>
        <w:t>relations that</w:t>
      </w:r>
      <w:r w:rsidRPr="00B17732">
        <w:rPr>
          <w:rFonts w:asciiTheme="majorHAnsi" w:hAnsiTheme="majorHAnsi"/>
          <w:sz w:val="22"/>
          <w:szCs w:val="22"/>
          <w:lang w:val="en-GB"/>
        </w:rPr>
        <w:t xml:space="preserve"> have varied over time. The first agreements, signed mainly with former colonies, aimed to facilitate the immigration of a foreign workforce to France and ensure that those workers received certain benefits, notably old-age pensions, when they returned to their home country. A new series of agreements was signed in the 2000s to accompany the growth in exchanges with OECD countries and encourage mobility of managers in large companies.</w:t>
      </w:r>
    </w:p>
    <w:p w14:paraId="45BD6525" w14:textId="77777777" w:rsidR="0068411B" w:rsidRDefault="00E12496" w:rsidP="00595350">
      <w:pPr>
        <w:pStyle w:val="NormalWeb"/>
        <w:spacing w:before="0" w:beforeAutospacing="0" w:after="0" w:afterAutospacing="0"/>
        <w:jc w:val="both"/>
        <w:rPr>
          <w:rFonts w:asciiTheme="majorHAnsi" w:hAnsiTheme="majorHAnsi"/>
          <w:sz w:val="22"/>
          <w:szCs w:val="22"/>
          <w:lang w:val="en-AU"/>
        </w:rPr>
      </w:pPr>
      <w:r w:rsidRPr="00E12496">
        <w:rPr>
          <w:rFonts w:asciiTheme="majorHAnsi" w:hAnsiTheme="majorHAnsi"/>
          <w:sz w:val="22"/>
          <w:szCs w:val="22"/>
          <w:lang w:val="en-AU"/>
        </w:rPr>
        <w:t>Social security payments abroad made by France represented in 2014 some 7 billion euros (50 billion yuan RMB) out of which 48% were paid outside EU member States. Payments concerned pensions up to 90% and health care for some 8%.</w:t>
      </w:r>
    </w:p>
    <w:p w14:paraId="0DDE09FA" w14:textId="77777777" w:rsidR="009A2A34" w:rsidRDefault="009A2A34" w:rsidP="003E3104">
      <w:pPr>
        <w:pStyle w:val="NormalWeb"/>
        <w:rPr>
          <w:rFonts w:asciiTheme="majorHAnsi" w:hAnsiTheme="majorHAnsi"/>
          <w:b/>
          <w:sz w:val="28"/>
          <w:szCs w:val="28"/>
          <w:lang w:val="en-AU"/>
        </w:rPr>
      </w:pPr>
      <w:r>
        <w:rPr>
          <w:rFonts w:asciiTheme="majorHAnsi" w:hAnsiTheme="majorHAnsi"/>
          <w:b/>
          <w:sz w:val="28"/>
          <w:szCs w:val="28"/>
          <w:lang w:val="en-AU"/>
        </w:rPr>
        <w:t>3. UNIVERSAL COVERAGE AND ADAPTATION TO MOBILITY</w:t>
      </w:r>
    </w:p>
    <w:p w14:paraId="1A317717" w14:textId="77777777" w:rsidR="009A2A34" w:rsidRDefault="009A2A34" w:rsidP="00E86CE7">
      <w:pPr>
        <w:pStyle w:val="NormalWeb"/>
        <w:spacing w:after="0" w:afterAutospacing="0"/>
        <w:rPr>
          <w:rFonts w:asciiTheme="majorHAnsi" w:hAnsiTheme="majorHAnsi"/>
          <w:b/>
          <w:sz w:val="24"/>
          <w:szCs w:val="24"/>
          <w:lang w:val="en-AU"/>
        </w:rPr>
      </w:pPr>
      <w:r w:rsidRPr="009A2A34">
        <w:rPr>
          <w:rFonts w:asciiTheme="majorHAnsi" w:hAnsiTheme="majorHAnsi"/>
          <w:b/>
          <w:sz w:val="24"/>
          <w:szCs w:val="24"/>
          <w:lang w:val="en-AU"/>
        </w:rPr>
        <w:t xml:space="preserve">3.1 </w:t>
      </w:r>
      <w:r>
        <w:rPr>
          <w:rFonts w:asciiTheme="majorHAnsi" w:hAnsiTheme="majorHAnsi"/>
          <w:b/>
          <w:sz w:val="24"/>
          <w:szCs w:val="24"/>
          <w:lang w:val="en-AU"/>
        </w:rPr>
        <w:t>RELATIONS BETWEEN SOCIAL SECURITY AND EMPLOYMENT POLICIES</w:t>
      </w:r>
    </w:p>
    <w:p w14:paraId="76B27AD4" w14:textId="77777777" w:rsidR="00202E15" w:rsidRDefault="00202E15" w:rsidP="00595350">
      <w:pPr>
        <w:jc w:val="both"/>
        <w:rPr>
          <w:rFonts w:asciiTheme="majorHAnsi" w:hAnsiTheme="majorHAnsi"/>
          <w:sz w:val="22"/>
          <w:szCs w:val="22"/>
          <w:lang w:val="en-GB"/>
        </w:rPr>
      </w:pPr>
      <w:r w:rsidRPr="00202E15">
        <w:rPr>
          <w:rFonts w:asciiTheme="majorHAnsi" w:hAnsiTheme="majorHAnsi"/>
          <w:sz w:val="22"/>
          <w:szCs w:val="22"/>
          <w:lang w:val="en-AU"/>
        </w:rPr>
        <w:t xml:space="preserve">The French social security system is </w:t>
      </w:r>
      <w:r>
        <w:rPr>
          <w:rFonts w:asciiTheme="majorHAnsi" w:hAnsiTheme="majorHAnsi"/>
          <w:sz w:val="22"/>
          <w:szCs w:val="22"/>
          <w:lang w:val="en-AU"/>
        </w:rPr>
        <w:t xml:space="preserve">of </w:t>
      </w:r>
      <w:r w:rsidRPr="00202E15">
        <w:rPr>
          <w:rFonts w:asciiTheme="majorHAnsi" w:hAnsiTheme="majorHAnsi"/>
          <w:sz w:val="22"/>
          <w:szCs w:val="22"/>
          <w:lang w:val="en-GB"/>
        </w:rPr>
        <w:t xml:space="preserve">Bismarckian </w:t>
      </w:r>
      <w:r>
        <w:rPr>
          <w:rFonts w:asciiTheme="majorHAnsi" w:hAnsiTheme="majorHAnsi"/>
          <w:sz w:val="22"/>
          <w:szCs w:val="22"/>
          <w:lang w:val="en-GB"/>
        </w:rPr>
        <w:t>type</w:t>
      </w:r>
      <w:r w:rsidRPr="00202E15">
        <w:rPr>
          <w:rFonts w:asciiTheme="majorHAnsi" w:hAnsiTheme="majorHAnsi"/>
          <w:sz w:val="22"/>
          <w:szCs w:val="22"/>
          <w:lang w:val="en-GB"/>
        </w:rPr>
        <w:t xml:space="preserve">, </w:t>
      </w:r>
      <w:r w:rsidR="004027E2">
        <w:rPr>
          <w:rFonts w:asciiTheme="majorHAnsi" w:hAnsiTheme="majorHAnsi"/>
          <w:sz w:val="22"/>
          <w:szCs w:val="22"/>
          <w:lang w:val="en-GB"/>
        </w:rPr>
        <w:t>where</w:t>
      </w:r>
      <w:r w:rsidRPr="00202E15">
        <w:rPr>
          <w:rFonts w:asciiTheme="majorHAnsi" w:hAnsiTheme="majorHAnsi"/>
          <w:sz w:val="22"/>
          <w:szCs w:val="22"/>
          <w:lang w:val="en-GB"/>
        </w:rPr>
        <w:t xml:space="preserve"> social risks are covered mainly by social insurances based on an employment and principally funded by social contributions.</w:t>
      </w:r>
      <w:r>
        <w:rPr>
          <w:rFonts w:asciiTheme="majorHAnsi" w:hAnsiTheme="majorHAnsi"/>
          <w:sz w:val="22"/>
          <w:szCs w:val="22"/>
          <w:lang w:val="en-GB"/>
        </w:rPr>
        <w:t xml:space="preserve"> This creates a very strong link between social security and employment policies.</w:t>
      </w:r>
    </w:p>
    <w:p w14:paraId="381F102D" w14:textId="77777777" w:rsidR="00F8681C" w:rsidRDefault="00F8681C" w:rsidP="00595350">
      <w:pPr>
        <w:jc w:val="both"/>
        <w:rPr>
          <w:rFonts w:asciiTheme="majorHAnsi" w:hAnsiTheme="majorHAnsi"/>
          <w:sz w:val="22"/>
          <w:szCs w:val="22"/>
          <w:lang w:val="en-GB"/>
        </w:rPr>
      </w:pPr>
      <w:r>
        <w:rPr>
          <w:rFonts w:asciiTheme="majorHAnsi" w:hAnsiTheme="majorHAnsi"/>
          <w:sz w:val="22"/>
          <w:szCs w:val="22"/>
          <w:lang w:val="en-GB"/>
        </w:rPr>
        <w:t>French social protection expenditure expressed in percentage of GDP are in Europe second only to Denmark (33.6%). Social protection financing relies predominantly on contributions based on salaries (63.3% i.e. 7 percentage points higher than on average in Europe). Among contributions, so-called employers’ contributions represent roughly 70% of the total as against some 45% in Germany (where social security financing relies on contributions to a similar extent).</w:t>
      </w:r>
    </w:p>
    <w:p w14:paraId="1ABC5D40" w14:textId="77777777" w:rsidR="008811F7" w:rsidRDefault="00F8681C" w:rsidP="00595350">
      <w:pPr>
        <w:jc w:val="both"/>
        <w:rPr>
          <w:rFonts w:asciiTheme="majorHAnsi" w:hAnsiTheme="majorHAnsi"/>
          <w:sz w:val="22"/>
          <w:szCs w:val="22"/>
          <w:lang w:val="en-GB"/>
        </w:rPr>
      </w:pPr>
      <w:r>
        <w:rPr>
          <w:rFonts w:asciiTheme="majorHAnsi" w:hAnsiTheme="majorHAnsi"/>
          <w:sz w:val="22"/>
          <w:szCs w:val="22"/>
          <w:lang w:val="en-GB"/>
        </w:rPr>
        <w:t xml:space="preserve">Notwithstanding the above, there is no clear evidence that the alleged cost of </w:t>
      </w:r>
      <w:r w:rsidR="008811F7">
        <w:rPr>
          <w:rFonts w:asciiTheme="majorHAnsi" w:hAnsiTheme="majorHAnsi"/>
          <w:sz w:val="22"/>
          <w:szCs w:val="22"/>
          <w:lang w:val="en-GB"/>
        </w:rPr>
        <w:t>social security</w:t>
      </w:r>
      <w:r>
        <w:rPr>
          <w:rFonts w:asciiTheme="majorHAnsi" w:hAnsiTheme="majorHAnsi"/>
          <w:sz w:val="22"/>
          <w:szCs w:val="22"/>
          <w:lang w:val="en-GB"/>
        </w:rPr>
        <w:t xml:space="preserve"> would have an adverse impact of French employment levels which are comparable tp those found </w:t>
      </w:r>
      <w:r w:rsidR="008811F7">
        <w:rPr>
          <w:rFonts w:asciiTheme="majorHAnsi" w:hAnsiTheme="majorHAnsi"/>
          <w:sz w:val="22"/>
          <w:szCs w:val="22"/>
          <w:lang w:val="en-GB"/>
        </w:rPr>
        <w:t xml:space="preserve">on average </w:t>
      </w:r>
      <w:r>
        <w:rPr>
          <w:rFonts w:asciiTheme="majorHAnsi" w:hAnsiTheme="majorHAnsi"/>
          <w:sz w:val="22"/>
          <w:szCs w:val="22"/>
          <w:lang w:val="en-GB"/>
        </w:rPr>
        <w:t>in other countries of Europe, while work productivity is consistently higher in France than in a nu</w:t>
      </w:r>
      <w:r w:rsidR="002C2607">
        <w:rPr>
          <w:rFonts w:asciiTheme="majorHAnsi" w:hAnsiTheme="majorHAnsi"/>
          <w:sz w:val="22"/>
          <w:szCs w:val="22"/>
          <w:lang w:val="en-GB"/>
        </w:rPr>
        <w:t>mber of its European competitors</w:t>
      </w:r>
      <w:r w:rsidR="008811F7">
        <w:rPr>
          <w:rFonts w:asciiTheme="majorHAnsi" w:hAnsiTheme="majorHAnsi"/>
          <w:sz w:val="22"/>
          <w:szCs w:val="22"/>
          <w:lang w:val="en-GB"/>
        </w:rPr>
        <w:t>. French unemployment rates are however higher than those registered in other European most developed countries, while atypical forms of employment including very part time and lower paid employment is less frequent.</w:t>
      </w:r>
    </w:p>
    <w:p w14:paraId="47521DFE" w14:textId="77777777" w:rsidR="002C2607" w:rsidRDefault="008811F7" w:rsidP="00595350">
      <w:pPr>
        <w:jc w:val="both"/>
        <w:rPr>
          <w:rFonts w:asciiTheme="majorHAnsi" w:hAnsiTheme="majorHAnsi"/>
          <w:sz w:val="22"/>
          <w:szCs w:val="22"/>
          <w:lang w:val="en-GB"/>
        </w:rPr>
      </w:pPr>
      <w:r>
        <w:rPr>
          <w:rFonts w:asciiTheme="majorHAnsi" w:hAnsiTheme="majorHAnsi"/>
          <w:sz w:val="22"/>
          <w:szCs w:val="22"/>
          <w:lang w:val="en-GB"/>
        </w:rPr>
        <w:t>The Government has over the years constantly transferred the burden of some employers’ contributions to general or specific taxation mechanisms – notably for low paid employment – which might have contributed to the creation or preservation of 400 to 600.000 jobs over the last 15 years</w:t>
      </w:r>
      <w:r>
        <w:rPr>
          <w:rStyle w:val="FootnoteReference"/>
          <w:rFonts w:asciiTheme="majorHAnsi" w:hAnsiTheme="majorHAnsi"/>
          <w:sz w:val="22"/>
          <w:szCs w:val="22"/>
          <w:lang w:val="en-GB"/>
        </w:rPr>
        <w:footnoteReference w:id="3"/>
      </w:r>
      <w:r>
        <w:rPr>
          <w:rFonts w:asciiTheme="majorHAnsi" w:hAnsiTheme="majorHAnsi"/>
          <w:sz w:val="22"/>
          <w:szCs w:val="22"/>
          <w:lang w:val="en-GB"/>
        </w:rPr>
        <w:t>. The Government is also keen to control the overall level of social security expenditure, through a number of means of action related to benefit levels, eligibility conditions, indexation rules, benefit formulae.</w:t>
      </w:r>
      <w:r w:rsidR="002C2607">
        <w:rPr>
          <w:rFonts w:asciiTheme="majorHAnsi" w:hAnsiTheme="majorHAnsi"/>
          <w:sz w:val="22"/>
          <w:szCs w:val="22"/>
          <w:lang w:val="en-GB"/>
        </w:rPr>
        <w:t xml:space="preserve"> Most recent developments affected legal retirement age, pension formula, access to early retirement including for arduous occupations.</w:t>
      </w:r>
    </w:p>
    <w:p w14:paraId="34556687" w14:textId="77777777" w:rsidR="002C2607" w:rsidRDefault="002C2607" w:rsidP="00595350">
      <w:pPr>
        <w:jc w:val="both"/>
        <w:rPr>
          <w:rFonts w:asciiTheme="majorHAnsi" w:hAnsiTheme="majorHAnsi"/>
          <w:sz w:val="22"/>
          <w:szCs w:val="22"/>
          <w:lang w:val="en-GB"/>
        </w:rPr>
      </w:pPr>
      <w:r>
        <w:rPr>
          <w:rFonts w:asciiTheme="majorHAnsi" w:hAnsiTheme="majorHAnsi"/>
          <w:sz w:val="22"/>
          <w:szCs w:val="22"/>
          <w:lang w:val="en-GB"/>
        </w:rPr>
        <w:t>Within social security provisions and benefits, unemployment insurance plays a significant role in promoting and facilitating return to occupation by the unemployed, or access to the labour market by first-job seekers. Support to enterprise creation and vocational rehabilitations also play an important role in the overall social security system. Finally, specific rules allowing for the accumulation within certain limits of unemployment or social welfare benefits with income derived from salaried occupation aim at creating a favourable environment for progressive return to work of social security beneficiaries.</w:t>
      </w:r>
    </w:p>
    <w:p w14:paraId="4B4B06EF" w14:textId="77777777" w:rsidR="002C2607" w:rsidRDefault="002C2607" w:rsidP="00202E15">
      <w:pPr>
        <w:spacing w:line="276" w:lineRule="auto"/>
        <w:jc w:val="both"/>
        <w:rPr>
          <w:rFonts w:asciiTheme="majorHAnsi" w:hAnsiTheme="majorHAnsi"/>
          <w:sz w:val="22"/>
          <w:szCs w:val="22"/>
          <w:lang w:val="en-GB"/>
        </w:rPr>
      </w:pPr>
    </w:p>
    <w:p w14:paraId="1855DA04" w14:textId="77777777" w:rsidR="002C2607" w:rsidRDefault="002C2607" w:rsidP="00202E15">
      <w:pPr>
        <w:spacing w:line="276" w:lineRule="auto"/>
        <w:jc w:val="both"/>
        <w:rPr>
          <w:rFonts w:asciiTheme="majorHAnsi" w:hAnsiTheme="majorHAnsi"/>
          <w:b/>
          <w:lang w:val="en-GB"/>
        </w:rPr>
      </w:pPr>
      <w:r>
        <w:rPr>
          <w:rFonts w:asciiTheme="majorHAnsi" w:hAnsiTheme="majorHAnsi"/>
          <w:b/>
          <w:lang w:val="en-GB"/>
        </w:rPr>
        <w:t>3.2 UNIVERSAL COVERAGE</w:t>
      </w:r>
    </w:p>
    <w:p w14:paraId="3099811A" w14:textId="77777777" w:rsidR="001E0FBD" w:rsidRDefault="002C2607" w:rsidP="00595350">
      <w:pPr>
        <w:jc w:val="both"/>
        <w:rPr>
          <w:rFonts w:asciiTheme="majorHAnsi" w:hAnsiTheme="majorHAnsi"/>
          <w:sz w:val="22"/>
          <w:szCs w:val="22"/>
          <w:lang w:val="en-GB"/>
        </w:rPr>
      </w:pPr>
      <w:r>
        <w:rPr>
          <w:rFonts w:asciiTheme="majorHAnsi" w:hAnsiTheme="majorHAnsi"/>
          <w:sz w:val="22"/>
          <w:szCs w:val="22"/>
          <w:lang w:val="en-GB"/>
        </w:rPr>
        <w:t>Des</w:t>
      </w:r>
      <w:r w:rsidR="001E0FBD">
        <w:rPr>
          <w:rFonts w:asciiTheme="majorHAnsi" w:hAnsiTheme="majorHAnsi"/>
          <w:sz w:val="22"/>
          <w:szCs w:val="22"/>
          <w:lang w:val="en-GB"/>
        </w:rPr>
        <w:t>p</w:t>
      </w:r>
      <w:r>
        <w:rPr>
          <w:rFonts w:asciiTheme="majorHAnsi" w:hAnsiTheme="majorHAnsi"/>
          <w:sz w:val="22"/>
          <w:szCs w:val="22"/>
          <w:lang w:val="en-GB"/>
        </w:rPr>
        <w:t>ite its Bismarckian fundamental features, the French social security system also embodies characteristics of universal social protection</w:t>
      </w:r>
      <w:r w:rsidR="001E0FBD">
        <w:rPr>
          <w:rFonts w:asciiTheme="majorHAnsi" w:hAnsiTheme="majorHAnsi"/>
          <w:sz w:val="22"/>
          <w:szCs w:val="22"/>
          <w:lang w:val="en-GB"/>
        </w:rPr>
        <w:t>. Universal coverage was indeed one of the advocated goals of the social security system created at the end of WW II by the French Resistance National Council.</w:t>
      </w:r>
    </w:p>
    <w:p w14:paraId="0BFA9E63" w14:textId="77777777" w:rsidR="001E0FBD" w:rsidRDefault="001E0FBD" w:rsidP="00595350">
      <w:pPr>
        <w:jc w:val="both"/>
        <w:rPr>
          <w:rFonts w:asciiTheme="majorHAnsi" w:hAnsiTheme="majorHAnsi"/>
          <w:sz w:val="22"/>
          <w:szCs w:val="22"/>
          <w:lang w:val="en-GB"/>
        </w:rPr>
      </w:pPr>
      <w:r>
        <w:rPr>
          <w:rFonts w:asciiTheme="majorHAnsi" w:hAnsiTheme="majorHAnsi"/>
          <w:sz w:val="22"/>
          <w:szCs w:val="22"/>
          <w:lang w:val="en-GB"/>
        </w:rPr>
        <w:t xml:space="preserve">It took some time however to progress towards this goal of universality. While all elderly having or not contributed to social security were since the beginning of the system entitled to a minimum pension, the generalisation of compulsory membership in contributory schemes was progressively introduced, to be completed in 1972 for old-age, invalidity and survivors benefits. Also in 1972, the membership in supplementary pension schemes was made compulsory for all salaried workers (with retroactive effect concerning free validation of periods of work). </w:t>
      </w:r>
    </w:p>
    <w:p w14:paraId="289AEA92" w14:textId="77777777" w:rsidR="007A777D" w:rsidRDefault="004E6DFE" w:rsidP="00595350">
      <w:pPr>
        <w:jc w:val="both"/>
        <w:rPr>
          <w:rFonts w:asciiTheme="majorHAnsi" w:hAnsiTheme="majorHAnsi"/>
          <w:sz w:val="22"/>
          <w:szCs w:val="22"/>
          <w:lang w:val="en-GB"/>
        </w:rPr>
      </w:pPr>
      <w:r>
        <w:rPr>
          <w:rFonts w:asciiTheme="majorHAnsi" w:hAnsiTheme="majorHAnsi"/>
          <w:sz w:val="22"/>
          <w:szCs w:val="22"/>
          <w:lang w:val="en-GB"/>
        </w:rPr>
        <w:t xml:space="preserve">Since 1975, practically all persons meeting age qualifying conditions are entitled to an old-age pension, since contributions during one quarter are enough to access to a pension benefit – which, beyond the amount of pension, of course extremely low for very short contributory periods, opened access to health care. Generalisation of health insurance to all residents intervened in 2000. </w:t>
      </w:r>
      <w:r w:rsidR="007A777D">
        <w:rPr>
          <w:rFonts w:asciiTheme="majorHAnsi" w:hAnsiTheme="majorHAnsi"/>
          <w:sz w:val="22"/>
          <w:szCs w:val="22"/>
          <w:lang w:val="en-GB"/>
        </w:rPr>
        <w:t xml:space="preserve"> Universal coverage had been instituted on 1 January 1978 for family benefits (subject to means testing for some benefits).</w:t>
      </w:r>
    </w:p>
    <w:p w14:paraId="5A25BC21" w14:textId="77777777" w:rsidR="007A777D" w:rsidRDefault="007A777D" w:rsidP="00595350">
      <w:pPr>
        <w:jc w:val="both"/>
        <w:rPr>
          <w:rFonts w:asciiTheme="majorHAnsi" w:hAnsiTheme="majorHAnsi"/>
          <w:sz w:val="22"/>
          <w:szCs w:val="22"/>
          <w:lang w:val="en-GB"/>
        </w:rPr>
      </w:pPr>
      <w:r>
        <w:rPr>
          <w:rFonts w:asciiTheme="majorHAnsi" w:hAnsiTheme="majorHAnsi"/>
          <w:sz w:val="22"/>
          <w:szCs w:val="22"/>
          <w:lang w:val="en-GB"/>
        </w:rPr>
        <w:t>The evolution of the system toward universal coverage was accompanied by some changes in its financing principles. While special taxes earmarked for the financing of specific non contributory benefits existed for a long time (eg. 1956, tax on cars to finance minimum non contributory old age pensions), the most important development was the introduction in 1991 of a general tax for social security financing based on all income of all persons subject to taxation. Already in 1983 a contribution levied on public officials treatment was earmarked as a solidarity contribution towards the financing of unemployment insurance.</w:t>
      </w:r>
    </w:p>
    <w:p w14:paraId="74AF16B3" w14:textId="77777777" w:rsidR="00E86CE7" w:rsidRDefault="00E86CE7">
      <w:pPr>
        <w:rPr>
          <w:rFonts w:asciiTheme="majorHAnsi" w:hAnsiTheme="majorHAnsi"/>
          <w:sz w:val="22"/>
          <w:szCs w:val="22"/>
          <w:lang w:val="en-GB"/>
        </w:rPr>
      </w:pPr>
      <w:r>
        <w:rPr>
          <w:rFonts w:asciiTheme="majorHAnsi" w:hAnsiTheme="majorHAnsi"/>
          <w:sz w:val="22"/>
          <w:szCs w:val="22"/>
          <w:lang w:val="en-GB"/>
        </w:rPr>
        <w:br w:type="page"/>
      </w:r>
    </w:p>
    <w:p w14:paraId="7C06D3A0" w14:textId="77777777" w:rsidR="005A525A" w:rsidRDefault="005A525A" w:rsidP="00202E15">
      <w:pPr>
        <w:spacing w:line="276" w:lineRule="auto"/>
        <w:jc w:val="both"/>
        <w:rPr>
          <w:rFonts w:asciiTheme="majorHAnsi" w:hAnsiTheme="majorHAnsi"/>
          <w:sz w:val="22"/>
          <w:szCs w:val="22"/>
          <w:lang w:val="en-GB"/>
        </w:rPr>
      </w:pPr>
    </w:p>
    <w:p w14:paraId="2CF1920B" w14:textId="77777777" w:rsidR="00202E15" w:rsidRPr="00595350" w:rsidRDefault="005A525A" w:rsidP="00202E15">
      <w:pPr>
        <w:spacing w:line="276" w:lineRule="auto"/>
        <w:jc w:val="both"/>
        <w:rPr>
          <w:rFonts w:asciiTheme="majorHAnsi" w:hAnsiTheme="majorHAnsi"/>
          <w:b/>
          <w:sz w:val="28"/>
          <w:szCs w:val="28"/>
          <w:lang w:val="en-GB"/>
        </w:rPr>
      </w:pPr>
      <w:r w:rsidRPr="005A525A">
        <w:rPr>
          <w:rFonts w:asciiTheme="majorHAnsi" w:hAnsiTheme="majorHAnsi"/>
          <w:b/>
          <w:sz w:val="28"/>
          <w:szCs w:val="28"/>
          <w:lang w:val="en-GB"/>
        </w:rPr>
        <w:t>4. SOCIAL EFFICIENCY AND INCLUSIVE GROWTH</w:t>
      </w:r>
    </w:p>
    <w:p w14:paraId="4A7C7FA5" w14:textId="77777777" w:rsidR="00202E15" w:rsidRPr="00E86CE7" w:rsidRDefault="00202E15" w:rsidP="00202E15">
      <w:pPr>
        <w:spacing w:line="276" w:lineRule="auto"/>
        <w:jc w:val="both"/>
        <w:rPr>
          <w:rFonts w:asciiTheme="majorHAnsi" w:hAnsiTheme="majorHAnsi"/>
          <w:sz w:val="16"/>
          <w:szCs w:val="16"/>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3713"/>
        <w:gridCol w:w="390"/>
        <w:gridCol w:w="470"/>
        <w:gridCol w:w="470"/>
        <w:gridCol w:w="470"/>
        <w:gridCol w:w="470"/>
        <w:gridCol w:w="470"/>
        <w:gridCol w:w="470"/>
        <w:gridCol w:w="470"/>
        <w:gridCol w:w="470"/>
        <w:gridCol w:w="470"/>
        <w:gridCol w:w="510"/>
      </w:tblGrid>
      <w:tr w:rsidR="00B40017" w:rsidRPr="00ED78C4" w14:paraId="50525B3D" w14:textId="77777777" w:rsidTr="00B40017">
        <w:tc>
          <w:tcPr>
            <w:tcW w:w="0" w:type="auto"/>
            <w:tcBorders>
              <w:top w:val="double" w:sz="4" w:space="0" w:color="auto"/>
              <w:left w:val="single" w:sz="36" w:space="0" w:color="000000"/>
              <w:bottom w:val="double" w:sz="4" w:space="0" w:color="auto"/>
              <w:right w:val="double" w:sz="4" w:space="0" w:color="auto"/>
            </w:tcBorders>
            <w:vAlign w:val="center"/>
          </w:tcPr>
          <w:p w14:paraId="2539BA01" w14:textId="77777777" w:rsidR="00B40017" w:rsidRDefault="00B40017" w:rsidP="00B40017">
            <w:pPr>
              <w:spacing w:before="100" w:beforeAutospacing="1" w:after="100" w:afterAutospacing="1"/>
              <w:rPr>
                <w:rFonts w:ascii="ArialNarrow,Bold" w:hAnsi="ArialNarrow,Bold" w:cs="Times New Roman" w:hint="eastAsia"/>
                <w:sz w:val="16"/>
                <w:szCs w:val="16"/>
              </w:rPr>
            </w:pPr>
            <w:r>
              <w:rPr>
                <w:rFonts w:ascii="ArialNarrow,Bold" w:hAnsi="ArialNarrow,Bold" w:cs="Times New Roman"/>
                <w:sz w:val="16"/>
                <w:szCs w:val="16"/>
              </w:rPr>
              <w:t>Decile</w:t>
            </w:r>
          </w:p>
        </w:tc>
        <w:tc>
          <w:tcPr>
            <w:tcW w:w="0" w:type="auto"/>
            <w:tcBorders>
              <w:top w:val="double" w:sz="4" w:space="0" w:color="auto"/>
              <w:left w:val="double" w:sz="4" w:space="0" w:color="auto"/>
              <w:bottom w:val="double" w:sz="4" w:space="0" w:color="auto"/>
              <w:right w:val="double" w:sz="4" w:space="0" w:color="auto"/>
            </w:tcBorders>
            <w:vAlign w:val="center"/>
          </w:tcPr>
          <w:p w14:paraId="32A182C5" w14:textId="77777777" w:rsidR="00B40017" w:rsidRPr="00ED78C4" w:rsidRDefault="00B40017" w:rsidP="00B40017">
            <w:pPr>
              <w:spacing w:before="100" w:beforeAutospacing="1" w:after="100" w:afterAutospacing="1"/>
              <w:rPr>
                <w:rFonts w:ascii="ArialNarrow,Bold" w:hAnsi="ArialNarrow,Bold" w:cs="Times New Roman" w:hint="eastAsia"/>
                <w:sz w:val="16"/>
                <w:szCs w:val="16"/>
              </w:rPr>
            </w:pPr>
            <w:r>
              <w:rPr>
                <w:rFonts w:ascii="ArialNarrow,Bold" w:hAnsi="ArialNarrow,Bold" w:cs="Times New Roman"/>
                <w:sz w:val="16"/>
                <w:szCs w:val="16"/>
              </w:rPr>
              <w:t>1</w:t>
            </w:r>
          </w:p>
        </w:tc>
        <w:tc>
          <w:tcPr>
            <w:tcW w:w="0" w:type="auto"/>
            <w:tcBorders>
              <w:top w:val="double" w:sz="4" w:space="0" w:color="auto"/>
              <w:left w:val="double" w:sz="4" w:space="0" w:color="auto"/>
              <w:bottom w:val="double" w:sz="4" w:space="0" w:color="auto"/>
              <w:right w:val="double" w:sz="4" w:space="0" w:color="auto"/>
            </w:tcBorders>
            <w:vAlign w:val="center"/>
          </w:tcPr>
          <w:p w14:paraId="79228133" w14:textId="77777777" w:rsidR="00B40017" w:rsidRPr="00ED78C4" w:rsidRDefault="00B40017" w:rsidP="00B40017">
            <w:pPr>
              <w:spacing w:before="100" w:beforeAutospacing="1" w:after="100" w:afterAutospacing="1"/>
              <w:rPr>
                <w:rFonts w:ascii="ArialNarrow,Bold" w:hAnsi="ArialNarrow,Bold" w:cs="Times New Roman" w:hint="eastAsia"/>
                <w:sz w:val="16"/>
                <w:szCs w:val="16"/>
              </w:rPr>
            </w:pPr>
            <w:r>
              <w:rPr>
                <w:rFonts w:ascii="ArialNarrow,Bold" w:hAnsi="ArialNarrow,Bold" w:cs="Times New Roman"/>
                <w:sz w:val="16"/>
                <w:szCs w:val="16"/>
              </w:rPr>
              <w:t>2</w:t>
            </w:r>
          </w:p>
        </w:tc>
        <w:tc>
          <w:tcPr>
            <w:tcW w:w="0" w:type="auto"/>
            <w:tcBorders>
              <w:top w:val="double" w:sz="4" w:space="0" w:color="auto"/>
              <w:left w:val="double" w:sz="4" w:space="0" w:color="auto"/>
              <w:bottom w:val="double" w:sz="4" w:space="0" w:color="auto"/>
              <w:right w:val="double" w:sz="4" w:space="0" w:color="auto"/>
            </w:tcBorders>
            <w:vAlign w:val="center"/>
          </w:tcPr>
          <w:p w14:paraId="3BC3863A" w14:textId="77777777" w:rsidR="00B40017" w:rsidRPr="00ED78C4" w:rsidRDefault="00B40017" w:rsidP="00B40017">
            <w:pPr>
              <w:spacing w:before="100" w:beforeAutospacing="1" w:after="100" w:afterAutospacing="1"/>
              <w:rPr>
                <w:rFonts w:ascii="ArialNarrow,Bold" w:hAnsi="ArialNarrow,Bold" w:cs="Times New Roman" w:hint="eastAsia"/>
                <w:sz w:val="16"/>
                <w:szCs w:val="16"/>
              </w:rPr>
            </w:pPr>
            <w:r>
              <w:rPr>
                <w:rFonts w:ascii="ArialNarrow,Bold" w:hAnsi="ArialNarrow,Bold" w:cs="Times New Roman"/>
                <w:sz w:val="16"/>
                <w:szCs w:val="16"/>
              </w:rPr>
              <w:t>3</w:t>
            </w:r>
          </w:p>
        </w:tc>
        <w:tc>
          <w:tcPr>
            <w:tcW w:w="0" w:type="auto"/>
            <w:tcBorders>
              <w:top w:val="double" w:sz="4" w:space="0" w:color="auto"/>
              <w:left w:val="double" w:sz="4" w:space="0" w:color="auto"/>
              <w:bottom w:val="double" w:sz="4" w:space="0" w:color="auto"/>
              <w:right w:val="double" w:sz="4" w:space="0" w:color="auto"/>
            </w:tcBorders>
            <w:vAlign w:val="center"/>
          </w:tcPr>
          <w:p w14:paraId="57012CEB" w14:textId="77777777" w:rsidR="00B40017" w:rsidRPr="00ED78C4" w:rsidRDefault="00B40017" w:rsidP="00B40017">
            <w:pPr>
              <w:spacing w:before="100" w:beforeAutospacing="1" w:after="100" w:afterAutospacing="1"/>
              <w:rPr>
                <w:rFonts w:ascii="ArialNarrow,Bold" w:hAnsi="ArialNarrow,Bold" w:cs="Times New Roman" w:hint="eastAsia"/>
                <w:sz w:val="16"/>
                <w:szCs w:val="16"/>
              </w:rPr>
            </w:pPr>
            <w:r>
              <w:rPr>
                <w:rFonts w:ascii="ArialNarrow,Bold" w:hAnsi="ArialNarrow,Bold" w:cs="Times New Roman"/>
                <w:sz w:val="16"/>
                <w:szCs w:val="16"/>
              </w:rPr>
              <w:t>4</w:t>
            </w:r>
          </w:p>
        </w:tc>
        <w:tc>
          <w:tcPr>
            <w:tcW w:w="0" w:type="auto"/>
            <w:tcBorders>
              <w:top w:val="double" w:sz="4" w:space="0" w:color="auto"/>
              <w:left w:val="double" w:sz="4" w:space="0" w:color="auto"/>
              <w:bottom w:val="double" w:sz="4" w:space="0" w:color="auto"/>
              <w:right w:val="double" w:sz="4" w:space="0" w:color="auto"/>
            </w:tcBorders>
            <w:vAlign w:val="center"/>
          </w:tcPr>
          <w:p w14:paraId="63252902" w14:textId="77777777" w:rsidR="00B40017" w:rsidRPr="00ED78C4" w:rsidRDefault="00B40017" w:rsidP="00B40017">
            <w:pPr>
              <w:spacing w:before="100" w:beforeAutospacing="1" w:after="100" w:afterAutospacing="1"/>
              <w:rPr>
                <w:rFonts w:ascii="ArialNarrow,Bold" w:hAnsi="ArialNarrow,Bold" w:cs="Times New Roman" w:hint="eastAsia"/>
                <w:sz w:val="16"/>
                <w:szCs w:val="16"/>
              </w:rPr>
            </w:pPr>
            <w:r>
              <w:rPr>
                <w:rFonts w:ascii="ArialNarrow,Bold" w:hAnsi="ArialNarrow,Bold" w:cs="Times New Roman"/>
                <w:sz w:val="16"/>
                <w:szCs w:val="16"/>
              </w:rPr>
              <w:t>5</w:t>
            </w:r>
          </w:p>
        </w:tc>
        <w:tc>
          <w:tcPr>
            <w:tcW w:w="0" w:type="auto"/>
            <w:tcBorders>
              <w:top w:val="double" w:sz="4" w:space="0" w:color="auto"/>
              <w:left w:val="double" w:sz="4" w:space="0" w:color="auto"/>
              <w:bottom w:val="double" w:sz="4" w:space="0" w:color="auto"/>
              <w:right w:val="double" w:sz="4" w:space="0" w:color="auto"/>
            </w:tcBorders>
            <w:vAlign w:val="center"/>
          </w:tcPr>
          <w:p w14:paraId="23A31250" w14:textId="77777777" w:rsidR="00B40017" w:rsidRPr="00ED78C4" w:rsidRDefault="00B40017" w:rsidP="00B40017">
            <w:pPr>
              <w:spacing w:before="100" w:beforeAutospacing="1" w:after="100" w:afterAutospacing="1"/>
              <w:rPr>
                <w:rFonts w:ascii="ArialNarrow,Bold" w:hAnsi="ArialNarrow,Bold" w:cs="Times New Roman" w:hint="eastAsia"/>
                <w:sz w:val="16"/>
                <w:szCs w:val="16"/>
              </w:rPr>
            </w:pPr>
            <w:r>
              <w:rPr>
                <w:rFonts w:ascii="ArialNarrow,Bold" w:hAnsi="ArialNarrow,Bold" w:cs="Times New Roman"/>
                <w:sz w:val="16"/>
                <w:szCs w:val="16"/>
              </w:rPr>
              <w:t>6</w:t>
            </w:r>
          </w:p>
        </w:tc>
        <w:tc>
          <w:tcPr>
            <w:tcW w:w="0" w:type="auto"/>
            <w:tcBorders>
              <w:top w:val="double" w:sz="4" w:space="0" w:color="auto"/>
              <w:left w:val="double" w:sz="4" w:space="0" w:color="auto"/>
              <w:bottom w:val="double" w:sz="4" w:space="0" w:color="auto"/>
              <w:right w:val="double" w:sz="4" w:space="0" w:color="auto"/>
            </w:tcBorders>
            <w:vAlign w:val="center"/>
          </w:tcPr>
          <w:p w14:paraId="42023FB5" w14:textId="77777777" w:rsidR="00B40017" w:rsidRPr="00ED78C4" w:rsidRDefault="00B40017" w:rsidP="00B40017">
            <w:pPr>
              <w:spacing w:before="100" w:beforeAutospacing="1" w:after="100" w:afterAutospacing="1"/>
              <w:rPr>
                <w:rFonts w:ascii="ArialNarrow,Bold" w:hAnsi="ArialNarrow,Bold" w:cs="Times New Roman" w:hint="eastAsia"/>
                <w:sz w:val="16"/>
                <w:szCs w:val="16"/>
              </w:rPr>
            </w:pPr>
            <w:r>
              <w:rPr>
                <w:rFonts w:ascii="ArialNarrow,Bold" w:hAnsi="ArialNarrow,Bold" w:cs="Times New Roman"/>
                <w:sz w:val="16"/>
                <w:szCs w:val="16"/>
              </w:rPr>
              <w:t>7</w:t>
            </w:r>
          </w:p>
        </w:tc>
        <w:tc>
          <w:tcPr>
            <w:tcW w:w="0" w:type="auto"/>
            <w:tcBorders>
              <w:top w:val="double" w:sz="4" w:space="0" w:color="auto"/>
              <w:left w:val="double" w:sz="4" w:space="0" w:color="auto"/>
              <w:bottom w:val="double" w:sz="4" w:space="0" w:color="auto"/>
              <w:right w:val="double" w:sz="4" w:space="0" w:color="auto"/>
            </w:tcBorders>
            <w:vAlign w:val="center"/>
          </w:tcPr>
          <w:p w14:paraId="6B52E8E1" w14:textId="77777777" w:rsidR="00B40017" w:rsidRPr="00ED78C4" w:rsidRDefault="00B40017" w:rsidP="00B40017">
            <w:pPr>
              <w:spacing w:before="100" w:beforeAutospacing="1" w:after="100" w:afterAutospacing="1"/>
              <w:rPr>
                <w:rFonts w:ascii="ArialNarrow,Bold" w:hAnsi="ArialNarrow,Bold" w:cs="Times New Roman" w:hint="eastAsia"/>
                <w:sz w:val="16"/>
                <w:szCs w:val="16"/>
              </w:rPr>
            </w:pPr>
            <w:r>
              <w:rPr>
                <w:rFonts w:ascii="ArialNarrow,Bold" w:hAnsi="ArialNarrow,Bold" w:cs="Times New Roman"/>
                <w:sz w:val="16"/>
                <w:szCs w:val="16"/>
              </w:rPr>
              <w:t>8</w:t>
            </w:r>
          </w:p>
        </w:tc>
        <w:tc>
          <w:tcPr>
            <w:tcW w:w="0" w:type="auto"/>
            <w:tcBorders>
              <w:top w:val="double" w:sz="4" w:space="0" w:color="auto"/>
              <w:left w:val="double" w:sz="4" w:space="0" w:color="auto"/>
              <w:bottom w:val="double" w:sz="4" w:space="0" w:color="auto"/>
              <w:right w:val="double" w:sz="4" w:space="0" w:color="auto"/>
            </w:tcBorders>
            <w:vAlign w:val="center"/>
          </w:tcPr>
          <w:p w14:paraId="66BCEFAE" w14:textId="77777777" w:rsidR="00B40017" w:rsidRPr="00ED78C4" w:rsidRDefault="00B40017" w:rsidP="00B40017">
            <w:pPr>
              <w:spacing w:before="100" w:beforeAutospacing="1" w:after="100" w:afterAutospacing="1"/>
              <w:rPr>
                <w:rFonts w:ascii="ArialNarrow,Bold" w:hAnsi="ArialNarrow,Bold" w:cs="Times New Roman" w:hint="eastAsia"/>
                <w:sz w:val="16"/>
                <w:szCs w:val="16"/>
              </w:rPr>
            </w:pPr>
            <w:r>
              <w:rPr>
                <w:rFonts w:ascii="ArialNarrow,Bold" w:hAnsi="ArialNarrow,Bold" w:cs="Times New Roman"/>
                <w:sz w:val="16"/>
                <w:szCs w:val="16"/>
              </w:rPr>
              <w:t>9</w:t>
            </w:r>
          </w:p>
        </w:tc>
        <w:tc>
          <w:tcPr>
            <w:tcW w:w="0" w:type="auto"/>
            <w:tcBorders>
              <w:top w:val="double" w:sz="4" w:space="0" w:color="auto"/>
              <w:left w:val="double" w:sz="4" w:space="0" w:color="auto"/>
              <w:bottom w:val="double" w:sz="4" w:space="0" w:color="auto"/>
              <w:right w:val="double" w:sz="4" w:space="0" w:color="auto"/>
            </w:tcBorders>
            <w:vAlign w:val="center"/>
          </w:tcPr>
          <w:p w14:paraId="7943CE6F" w14:textId="77777777" w:rsidR="00B40017" w:rsidRPr="00ED78C4" w:rsidRDefault="00B40017" w:rsidP="00B40017">
            <w:pPr>
              <w:spacing w:before="100" w:beforeAutospacing="1" w:after="100" w:afterAutospacing="1"/>
              <w:rPr>
                <w:rFonts w:ascii="ArialNarrow,Bold" w:hAnsi="ArialNarrow,Bold" w:cs="Times New Roman" w:hint="eastAsia"/>
                <w:sz w:val="16"/>
                <w:szCs w:val="16"/>
              </w:rPr>
            </w:pPr>
            <w:r>
              <w:rPr>
                <w:rFonts w:ascii="ArialNarrow,Bold" w:hAnsi="ArialNarrow,Bold" w:cs="Times New Roman"/>
                <w:sz w:val="16"/>
                <w:szCs w:val="16"/>
              </w:rPr>
              <w:t>10</w:t>
            </w:r>
          </w:p>
        </w:tc>
        <w:tc>
          <w:tcPr>
            <w:tcW w:w="0" w:type="auto"/>
            <w:tcBorders>
              <w:top w:val="double" w:sz="4" w:space="0" w:color="auto"/>
              <w:left w:val="double" w:sz="4" w:space="0" w:color="auto"/>
              <w:bottom w:val="double" w:sz="4" w:space="0" w:color="auto"/>
              <w:right w:val="single" w:sz="12" w:space="0" w:color="000000"/>
            </w:tcBorders>
            <w:vAlign w:val="center"/>
          </w:tcPr>
          <w:p w14:paraId="39536B91" w14:textId="77777777" w:rsidR="00B40017" w:rsidRPr="00ED78C4" w:rsidRDefault="00B40017" w:rsidP="00B40017">
            <w:pPr>
              <w:spacing w:before="100" w:beforeAutospacing="1" w:after="100" w:afterAutospacing="1"/>
              <w:rPr>
                <w:rFonts w:ascii="ArialNarrow,Bold" w:hAnsi="ArialNarrow,Bold" w:cs="Times New Roman" w:hint="eastAsia"/>
                <w:sz w:val="16"/>
                <w:szCs w:val="16"/>
              </w:rPr>
            </w:pPr>
            <w:r>
              <w:rPr>
                <w:rFonts w:ascii="ArialNarrow,Bold" w:hAnsi="ArialNarrow,Bold" w:cs="Times New Roman"/>
                <w:sz w:val="16"/>
                <w:szCs w:val="16"/>
              </w:rPr>
              <w:t>Overall</w:t>
            </w:r>
          </w:p>
        </w:tc>
      </w:tr>
      <w:tr w:rsidR="00B40017" w:rsidRPr="00ED78C4" w14:paraId="6C84BECF" w14:textId="77777777" w:rsidTr="00B40017">
        <w:tc>
          <w:tcPr>
            <w:tcW w:w="0" w:type="auto"/>
            <w:tcBorders>
              <w:top w:val="double" w:sz="4" w:space="0" w:color="auto"/>
              <w:left w:val="single" w:sz="36" w:space="0" w:color="000000"/>
              <w:bottom w:val="single" w:sz="2" w:space="0" w:color="auto"/>
              <w:right w:val="single" w:sz="12" w:space="0" w:color="FFFFFF"/>
            </w:tcBorders>
            <w:vAlign w:val="center"/>
            <w:hideMark/>
          </w:tcPr>
          <w:p w14:paraId="02830A88" w14:textId="77777777" w:rsidR="00B40017" w:rsidRPr="00ED78C4" w:rsidRDefault="00B40017" w:rsidP="00B40017">
            <w:pPr>
              <w:spacing w:before="100" w:beforeAutospacing="1" w:after="100" w:afterAutospacing="1"/>
              <w:rPr>
                <w:rFonts w:ascii="Times" w:hAnsi="Times" w:cs="Times New Roman"/>
                <w:sz w:val="20"/>
                <w:szCs w:val="20"/>
              </w:rPr>
            </w:pPr>
            <w:r>
              <w:rPr>
                <w:rFonts w:ascii="ArialNarrow,Bold" w:hAnsi="ArialNarrow,Bold" w:cs="Times New Roman"/>
                <w:sz w:val="16"/>
                <w:szCs w:val="16"/>
              </w:rPr>
              <w:t>Average living standard</w:t>
            </w:r>
            <w:r w:rsidRPr="00ED78C4">
              <w:rPr>
                <w:rFonts w:ascii="ArialNarrow,Bold" w:hAnsi="ArialNarrow,Bold" w:cs="Times New Roman"/>
                <w:sz w:val="16"/>
                <w:szCs w:val="16"/>
              </w:rPr>
              <w:t xml:space="preserve"> </w:t>
            </w:r>
          </w:p>
        </w:tc>
        <w:tc>
          <w:tcPr>
            <w:tcW w:w="0" w:type="auto"/>
            <w:tcBorders>
              <w:top w:val="double" w:sz="4" w:space="0" w:color="auto"/>
              <w:left w:val="single" w:sz="12" w:space="0" w:color="FFFFFF"/>
              <w:bottom w:val="single" w:sz="2" w:space="0" w:color="auto"/>
              <w:right w:val="single" w:sz="12" w:space="0" w:color="FFFFFF"/>
            </w:tcBorders>
            <w:vAlign w:val="center"/>
            <w:hideMark/>
          </w:tcPr>
          <w:p w14:paraId="7837AEF0"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Narrow,Bold" w:hAnsi="ArialNarrow,Bold" w:cs="Times New Roman"/>
                <w:sz w:val="16"/>
                <w:szCs w:val="16"/>
              </w:rPr>
              <w:t xml:space="preserve">8 917 </w:t>
            </w:r>
          </w:p>
        </w:tc>
        <w:tc>
          <w:tcPr>
            <w:tcW w:w="0" w:type="auto"/>
            <w:tcBorders>
              <w:top w:val="double" w:sz="4" w:space="0" w:color="auto"/>
              <w:left w:val="single" w:sz="12" w:space="0" w:color="FFFFFF"/>
              <w:bottom w:val="single" w:sz="2" w:space="0" w:color="auto"/>
              <w:right w:val="single" w:sz="12" w:space="0" w:color="FFFFFF"/>
            </w:tcBorders>
            <w:vAlign w:val="center"/>
            <w:hideMark/>
          </w:tcPr>
          <w:p w14:paraId="0B3F1B7D"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Narrow,Bold" w:hAnsi="ArialNarrow,Bold" w:cs="Times New Roman"/>
                <w:sz w:val="16"/>
                <w:szCs w:val="16"/>
              </w:rPr>
              <w:t xml:space="preserve">12 796 </w:t>
            </w:r>
          </w:p>
        </w:tc>
        <w:tc>
          <w:tcPr>
            <w:tcW w:w="0" w:type="auto"/>
            <w:tcBorders>
              <w:top w:val="double" w:sz="4" w:space="0" w:color="auto"/>
              <w:left w:val="single" w:sz="12" w:space="0" w:color="FFFFFF"/>
              <w:bottom w:val="single" w:sz="2" w:space="0" w:color="auto"/>
              <w:right w:val="single" w:sz="12" w:space="0" w:color="FFFFFF"/>
            </w:tcBorders>
            <w:vAlign w:val="center"/>
            <w:hideMark/>
          </w:tcPr>
          <w:p w14:paraId="0F0E3CFD"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Narrow,Bold" w:hAnsi="ArialNarrow,Bold" w:cs="Times New Roman"/>
                <w:sz w:val="16"/>
                <w:szCs w:val="16"/>
              </w:rPr>
              <w:t xml:space="preserve">15 188 </w:t>
            </w:r>
          </w:p>
        </w:tc>
        <w:tc>
          <w:tcPr>
            <w:tcW w:w="0" w:type="auto"/>
            <w:tcBorders>
              <w:top w:val="double" w:sz="4" w:space="0" w:color="auto"/>
              <w:left w:val="single" w:sz="12" w:space="0" w:color="FFFFFF"/>
              <w:bottom w:val="single" w:sz="2" w:space="0" w:color="auto"/>
              <w:right w:val="single" w:sz="12" w:space="0" w:color="FFFFFF"/>
            </w:tcBorders>
            <w:vAlign w:val="center"/>
            <w:hideMark/>
          </w:tcPr>
          <w:p w14:paraId="304680B1"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Narrow,Bold" w:hAnsi="ArialNarrow,Bold" w:cs="Times New Roman"/>
                <w:sz w:val="16"/>
                <w:szCs w:val="16"/>
              </w:rPr>
              <w:t xml:space="preserve">17 405 </w:t>
            </w:r>
          </w:p>
        </w:tc>
        <w:tc>
          <w:tcPr>
            <w:tcW w:w="0" w:type="auto"/>
            <w:tcBorders>
              <w:top w:val="double" w:sz="4" w:space="0" w:color="auto"/>
              <w:left w:val="single" w:sz="12" w:space="0" w:color="FFFFFF"/>
              <w:bottom w:val="single" w:sz="2" w:space="0" w:color="auto"/>
              <w:right w:val="single" w:sz="12" w:space="0" w:color="FFFFFF"/>
            </w:tcBorders>
            <w:vAlign w:val="center"/>
            <w:hideMark/>
          </w:tcPr>
          <w:p w14:paraId="1BC3C46B"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Narrow,Bold" w:hAnsi="ArialNarrow,Bold" w:cs="Times New Roman"/>
                <w:sz w:val="16"/>
                <w:szCs w:val="16"/>
              </w:rPr>
              <w:t xml:space="preserve">19 628 </w:t>
            </w:r>
          </w:p>
        </w:tc>
        <w:tc>
          <w:tcPr>
            <w:tcW w:w="0" w:type="auto"/>
            <w:tcBorders>
              <w:top w:val="double" w:sz="4" w:space="0" w:color="auto"/>
              <w:left w:val="single" w:sz="12" w:space="0" w:color="FFFFFF"/>
              <w:bottom w:val="single" w:sz="2" w:space="0" w:color="auto"/>
              <w:right w:val="single" w:sz="12" w:space="0" w:color="FFFFFF"/>
            </w:tcBorders>
            <w:vAlign w:val="center"/>
            <w:hideMark/>
          </w:tcPr>
          <w:p w14:paraId="4053069A"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Narrow,Bold" w:hAnsi="ArialNarrow,Bold" w:cs="Times New Roman"/>
                <w:sz w:val="16"/>
                <w:szCs w:val="16"/>
              </w:rPr>
              <w:t xml:space="preserve">21 938 </w:t>
            </w:r>
          </w:p>
        </w:tc>
        <w:tc>
          <w:tcPr>
            <w:tcW w:w="0" w:type="auto"/>
            <w:tcBorders>
              <w:top w:val="double" w:sz="4" w:space="0" w:color="auto"/>
              <w:left w:val="single" w:sz="12" w:space="0" w:color="FFFFFF"/>
              <w:bottom w:val="single" w:sz="2" w:space="0" w:color="auto"/>
              <w:right w:val="single" w:sz="12" w:space="0" w:color="FFFFFF"/>
            </w:tcBorders>
            <w:vAlign w:val="center"/>
            <w:hideMark/>
          </w:tcPr>
          <w:p w14:paraId="4C311198"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Narrow,Bold" w:hAnsi="ArialNarrow,Bold" w:cs="Times New Roman"/>
                <w:sz w:val="16"/>
                <w:szCs w:val="16"/>
              </w:rPr>
              <w:t xml:space="preserve">24 672 </w:t>
            </w:r>
          </w:p>
        </w:tc>
        <w:tc>
          <w:tcPr>
            <w:tcW w:w="0" w:type="auto"/>
            <w:tcBorders>
              <w:top w:val="double" w:sz="4" w:space="0" w:color="auto"/>
              <w:left w:val="single" w:sz="12" w:space="0" w:color="FFFFFF"/>
              <w:bottom w:val="single" w:sz="2" w:space="0" w:color="auto"/>
              <w:right w:val="single" w:sz="12" w:space="0" w:color="FFFFFF"/>
            </w:tcBorders>
            <w:vAlign w:val="center"/>
            <w:hideMark/>
          </w:tcPr>
          <w:p w14:paraId="117CD148"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Narrow,Bold" w:hAnsi="ArialNarrow,Bold" w:cs="Times New Roman"/>
                <w:sz w:val="16"/>
                <w:szCs w:val="16"/>
              </w:rPr>
              <w:t xml:space="preserve">28 193 </w:t>
            </w:r>
          </w:p>
        </w:tc>
        <w:tc>
          <w:tcPr>
            <w:tcW w:w="0" w:type="auto"/>
            <w:tcBorders>
              <w:top w:val="double" w:sz="4" w:space="0" w:color="auto"/>
              <w:left w:val="single" w:sz="12" w:space="0" w:color="FFFFFF"/>
              <w:bottom w:val="single" w:sz="2" w:space="0" w:color="auto"/>
              <w:right w:val="single" w:sz="12" w:space="0" w:color="FFFFFF"/>
            </w:tcBorders>
            <w:vAlign w:val="center"/>
            <w:hideMark/>
          </w:tcPr>
          <w:p w14:paraId="7C75818F"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Narrow,Bold" w:hAnsi="ArialNarrow,Bold" w:cs="Times New Roman"/>
                <w:sz w:val="16"/>
                <w:szCs w:val="16"/>
              </w:rPr>
              <w:t xml:space="preserve">33 812 </w:t>
            </w:r>
          </w:p>
        </w:tc>
        <w:tc>
          <w:tcPr>
            <w:tcW w:w="0" w:type="auto"/>
            <w:tcBorders>
              <w:top w:val="double" w:sz="4" w:space="0" w:color="auto"/>
              <w:left w:val="single" w:sz="12" w:space="0" w:color="FFFFFF"/>
              <w:bottom w:val="single" w:sz="2" w:space="0" w:color="auto"/>
              <w:right w:val="single" w:sz="12" w:space="0" w:color="FFFFFF"/>
            </w:tcBorders>
            <w:vAlign w:val="center"/>
            <w:hideMark/>
          </w:tcPr>
          <w:p w14:paraId="42F832F3"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Narrow,Bold" w:hAnsi="ArialNarrow,Bold" w:cs="Times New Roman"/>
                <w:sz w:val="16"/>
                <w:szCs w:val="16"/>
              </w:rPr>
              <w:t xml:space="preserve">57 859 </w:t>
            </w:r>
          </w:p>
        </w:tc>
        <w:tc>
          <w:tcPr>
            <w:tcW w:w="0" w:type="auto"/>
            <w:tcBorders>
              <w:top w:val="double" w:sz="4" w:space="0" w:color="auto"/>
              <w:left w:val="single" w:sz="12" w:space="0" w:color="FFFFFF"/>
              <w:bottom w:val="single" w:sz="2" w:space="0" w:color="auto"/>
              <w:right w:val="single" w:sz="12" w:space="0" w:color="000000"/>
            </w:tcBorders>
            <w:vAlign w:val="center"/>
            <w:hideMark/>
          </w:tcPr>
          <w:p w14:paraId="46C7729D"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Narrow,Bold" w:hAnsi="ArialNarrow,Bold" w:cs="Times New Roman"/>
                <w:sz w:val="16"/>
                <w:szCs w:val="16"/>
              </w:rPr>
              <w:t xml:space="preserve">24 041 </w:t>
            </w:r>
          </w:p>
        </w:tc>
      </w:tr>
      <w:tr w:rsidR="00B40017" w:rsidRPr="00ED78C4" w14:paraId="1E9A27D3" w14:textId="77777777" w:rsidTr="00B40017">
        <w:tc>
          <w:tcPr>
            <w:tcW w:w="0" w:type="auto"/>
            <w:tcBorders>
              <w:top w:val="single" w:sz="2" w:space="0" w:color="auto"/>
              <w:left w:val="single" w:sz="36" w:space="0" w:color="000000"/>
              <w:bottom w:val="single" w:sz="2" w:space="0" w:color="auto"/>
              <w:right w:val="single" w:sz="12" w:space="0" w:color="FFFFFF"/>
            </w:tcBorders>
            <w:vAlign w:val="center"/>
            <w:hideMark/>
          </w:tcPr>
          <w:p w14:paraId="3B98F9DE" w14:textId="77777777" w:rsidR="00B40017" w:rsidRPr="00ED78C4" w:rsidRDefault="00B40017" w:rsidP="00B40017">
            <w:pPr>
              <w:spacing w:before="100" w:beforeAutospacing="1" w:after="100" w:afterAutospacing="1"/>
              <w:rPr>
                <w:rFonts w:ascii="Times" w:hAnsi="Times" w:cs="Times New Roman"/>
                <w:sz w:val="20"/>
                <w:szCs w:val="20"/>
              </w:rPr>
            </w:pPr>
            <w:r>
              <w:rPr>
                <w:rFonts w:ascii="Arial Narrow" w:hAnsi="Arial Narrow" w:cs="Times New Roman"/>
                <w:sz w:val="16"/>
                <w:szCs w:val="16"/>
              </w:rPr>
              <w:t>Unemployment and pre-retirement</w:t>
            </w:r>
            <w:r w:rsidRPr="00ED78C4">
              <w:rPr>
                <w:rFonts w:ascii="Arial Narrow" w:hAnsi="Arial Narrow" w:cs="Times New Roman"/>
                <w:sz w:val="16"/>
                <w:szCs w:val="16"/>
              </w:rPr>
              <w:t xml:space="preserve"> (%)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76B69E6D"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9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56E8A133"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7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357D070E"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6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188482A6"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5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2E94D6A0"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4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1EFA7412"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4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09439602"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3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00DE7870"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2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71BF0C85"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2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49502E1F"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2 </w:t>
            </w:r>
          </w:p>
        </w:tc>
        <w:tc>
          <w:tcPr>
            <w:tcW w:w="0" w:type="auto"/>
            <w:tcBorders>
              <w:top w:val="single" w:sz="2" w:space="0" w:color="auto"/>
              <w:left w:val="single" w:sz="12" w:space="0" w:color="FFFFFF"/>
              <w:bottom w:val="single" w:sz="2" w:space="0" w:color="auto"/>
              <w:right w:val="single" w:sz="12" w:space="0" w:color="000000"/>
            </w:tcBorders>
            <w:vAlign w:val="center"/>
            <w:hideMark/>
          </w:tcPr>
          <w:p w14:paraId="24063E8B"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4 </w:t>
            </w:r>
          </w:p>
        </w:tc>
      </w:tr>
      <w:tr w:rsidR="00B40017" w:rsidRPr="00ED78C4" w14:paraId="0BFE53C9" w14:textId="77777777" w:rsidTr="00B40017">
        <w:tc>
          <w:tcPr>
            <w:tcW w:w="0" w:type="auto"/>
            <w:tcBorders>
              <w:top w:val="single" w:sz="2" w:space="0" w:color="auto"/>
              <w:left w:val="single" w:sz="36" w:space="0" w:color="000000"/>
              <w:bottom w:val="single" w:sz="2" w:space="0" w:color="auto"/>
              <w:right w:val="single" w:sz="12" w:space="0" w:color="FFFFFF"/>
            </w:tcBorders>
            <w:vAlign w:val="center"/>
            <w:hideMark/>
          </w:tcPr>
          <w:p w14:paraId="1AF68E84" w14:textId="77777777" w:rsidR="00B40017" w:rsidRPr="00ED78C4" w:rsidRDefault="00B40017" w:rsidP="00B40017">
            <w:pPr>
              <w:spacing w:before="100" w:beforeAutospacing="1" w:after="100" w:afterAutospacing="1"/>
              <w:rPr>
                <w:rFonts w:ascii="Times" w:hAnsi="Times" w:cs="Times New Roman"/>
                <w:sz w:val="20"/>
                <w:szCs w:val="20"/>
              </w:rPr>
            </w:pPr>
            <w:r>
              <w:rPr>
                <w:rFonts w:ascii="Arial Narrow" w:hAnsi="Arial Narrow" w:cs="Times New Roman"/>
                <w:sz w:val="16"/>
                <w:szCs w:val="16"/>
              </w:rPr>
              <w:t>Retirement pensions</w:t>
            </w:r>
            <w:r w:rsidRPr="00ED78C4">
              <w:rPr>
                <w:rFonts w:ascii="Arial Narrow" w:hAnsi="Arial Narrow" w:cs="Times New Roman"/>
                <w:sz w:val="16"/>
                <w:szCs w:val="16"/>
              </w:rPr>
              <w:t xml:space="preserve"> %)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7FC60EA7"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15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6C2D1F6A"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23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1A1B245D"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26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1E4ECB32"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27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4FD5F49C"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27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5E15EE65"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24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0A677DD9"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23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3F53A98D"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22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079C5726"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24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13C806E1"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21 </w:t>
            </w:r>
          </w:p>
        </w:tc>
        <w:tc>
          <w:tcPr>
            <w:tcW w:w="0" w:type="auto"/>
            <w:tcBorders>
              <w:top w:val="single" w:sz="2" w:space="0" w:color="auto"/>
              <w:left w:val="single" w:sz="12" w:space="0" w:color="FFFFFF"/>
              <w:bottom w:val="single" w:sz="2" w:space="0" w:color="auto"/>
              <w:right w:val="single" w:sz="12" w:space="0" w:color="000000"/>
            </w:tcBorders>
            <w:vAlign w:val="center"/>
            <w:hideMark/>
          </w:tcPr>
          <w:p w14:paraId="7BBC9072"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23 </w:t>
            </w:r>
          </w:p>
        </w:tc>
      </w:tr>
      <w:tr w:rsidR="00B40017" w:rsidRPr="00ED78C4" w14:paraId="30C8E99B" w14:textId="77777777" w:rsidTr="00B40017">
        <w:tc>
          <w:tcPr>
            <w:tcW w:w="0" w:type="auto"/>
            <w:tcBorders>
              <w:top w:val="single" w:sz="2" w:space="0" w:color="auto"/>
              <w:left w:val="single" w:sz="36" w:space="0" w:color="000000"/>
              <w:bottom w:val="single" w:sz="2" w:space="0" w:color="auto"/>
              <w:right w:val="single" w:sz="12" w:space="0" w:color="FFFFFF"/>
            </w:tcBorders>
            <w:vAlign w:val="center"/>
            <w:hideMark/>
          </w:tcPr>
          <w:p w14:paraId="36E10EED" w14:textId="77777777" w:rsidR="00B40017" w:rsidRPr="00ED78C4" w:rsidRDefault="00B40017" w:rsidP="00B40017">
            <w:pPr>
              <w:spacing w:before="100" w:beforeAutospacing="1" w:after="100" w:afterAutospacing="1"/>
              <w:rPr>
                <w:rFonts w:ascii="Times" w:hAnsi="Times" w:cs="Times New Roman"/>
                <w:sz w:val="20"/>
                <w:szCs w:val="20"/>
              </w:rPr>
            </w:pPr>
            <w:r>
              <w:rPr>
                <w:rFonts w:ascii="Arial Narrow" w:hAnsi="Arial Narrow" w:cs="Times New Roman"/>
                <w:sz w:val="16"/>
                <w:szCs w:val="16"/>
              </w:rPr>
              <w:t>Family benefits</w:t>
            </w:r>
            <w:r w:rsidRPr="00ED78C4">
              <w:rPr>
                <w:rFonts w:ascii="Arial Narrow" w:hAnsi="Arial Narrow" w:cs="Times New Roman"/>
                <w:sz w:val="16"/>
                <w:szCs w:val="16"/>
              </w:rPr>
              <w:t xml:space="preserve"> (%)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730669D2"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17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58168151"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10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726BED25"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7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317593C9"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5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06B35CDE"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4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29FE51C5"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4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1C93B0FC"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3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68F972C9"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3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44B56E8C"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2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7F5ECF6A"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1 </w:t>
            </w:r>
          </w:p>
        </w:tc>
        <w:tc>
          <w:tcPr>
            <w:tcW w:w="0" w:type="auto"/>
            <w:tcBorders>
              <w:top w:val="single" w:sz="2" w:space="0" w:color="auto"/>
              <w:left w:val="single" w:sz="12" w:space="0" w:color="FFFFFF"/>
              <w:bottom w:val="single" w:sz="2" w:space="0" w:color="auto"/>
              <w:right w:val="single" w:sz="12" w:space="0" w:color="000000"/>
            </w:tcBorders>
            <w:vAlign w:val="center"/>
            <w:hideMark/>
          </w:tcPr>
          <w:p w14:paraId="73481E8D"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6 </w:t>
            </w:r>
          </w:p>
        </w:tc>
      </w:tr>
      <w:tr w:rsidR="00B40017" w:rsidRPr="00ED78C4" w14:paraId="35EF079E" w14:textId="77777777" w:rsidTr="00B40017">
        <w:tc>
          <w:tcPr>
            <w:tcW w:w="0" w:type="auto"/>
            <w:tcBorders>
              <w:top w:val="single" w:sz="2" w:space="0" w:color="auto"/>
              <w:left w:val="single" w:sz="36" w:space="0" w:color="000000"/>
              <w:bottom w:val="single" w:sz="2" w:space="0" w:color="auto"/>
              <w:right w:val="single" w:sz="12" w:space="0" w:color="FFFFFF"/>
            </w:tcBorders>
            <w:vAlign w:val="center"/>
            <w:hideMark/>
          </w:tcPr>
          <w:p w14:paraId="26B6A5D1" w14:textId="77777777" w:rsidR="00B40017" w:rsidRPr="00ED78C4" w:rsidRDefault="00B40017" w:rsidP="00A62BEB">
            <w:pPr>
              <w:spacing w:before="100" w:beforeAutospacing="1" w:after="100" w:afterAutospacing="1"/>
              <w:rPr>
                <w:rFonts w:ascii="Times" w:hAnsi="Times" w:cs="Times New Roman"/>
                <w:sz w:val="20"/>
                <w:szCs w:val="20"/>
              </w:rPr>
            </w:pPr>
            <w:r>
              <w:rPr>
                <w:rFonts w:ascii="Arial Narrow" w:hAnsi="Arial Narrow" w:cs="Times New Roman"/>
                <w:sz w:val="16"/>
                <w:szCs w:val="16"/>
              </w:rPr>
              <w:t xml:space="preserve">Housing </w:t>
            </w:r>
            <w:r w:rsidR="00A62BEB">
              <w:rPr>
                <w:rFonts w:ascii="Arial Narrow" w:hAnsi="Arial Narrow" w:cs="Times New Roman"/>
                <w:sz w:val="16"/>
                <w:szCs w:val="16"/>
              </w:rPr>
              <w:t>be</w:t>
            </w:r>
            <w:r>
              <w:rPr>
                <w:rFonts w:ascii="Arial Narrow" w:hAnsi="Arial Narrow" w:cs="Times New Roman"/>
                <w:sz w:val="16"/>
                <w:szCs w:val="16"/>
              </w:rPr>
              <w:t>nefits</w:t>
            </w:r>
            <w:r w:rsidRPr="00ED78C4">
              <w:rPr>
                <w:rFonts w:ascii="Arial Narrow" w:hAnsi="Arial Narrow" w:cs="Times New Roman"/>
                <w:sz w:val="16"/>
                <w:szCs w:val="16"/>
              </w:rPr>
              <w:t xml:space="preserve"> (%)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480419D8"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18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606041EB"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8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67CDB507"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3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59A6B385"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1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6B41D752"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1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57EE551B"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0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6D43D16F"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0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5DC68D5A"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0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2529A39E"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0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4976A9C8"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0 </w:t>
            </w:r>
          </w:p>
        </w:tc>
        <w:tc>
          <w:tcPr>
            <w:tcW w:w="0" w:type="auto"/>
            <w:tcBorders>
              <w:top w:val="single" w:sz="2" w:space="0" w:color="auto"/>
              <w:left w:val="single" w:sz="12" w:space="0" w:color="FFFFFF"/>
              <w:bottom w:val="single" w:sz="2" w:space="0" w:color="auto"/>
              <w:right w:val="single" w:sz="12" w:space="0" w:color="000000"/>
            </w:tcBorders>
            <w:vAlign w:val="center"/>
            <w:hideMark/>
          </w:tcPr>
          <w:p w14:paraId="685C3F23"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3 </w:t>
            </w:r>
          </w:p>
        </w:tc>
      </w:tr>
      <w:tr w:rsidR="00B40017" w:rsidRPr="00ED78C4" w14:paraId="2954F687" w14:textId="77777777" w:rsidTr="00B40017">
        <w:tc>
          <w:tcPr>
            <w:tcW w:w="0" w:type="auto"/>
            <w:tcBorders>
              <w:top w:val="single" w:sz="2" w:space="0" w:color="auto"/>
              <w:left w:val="single" w:sz="36" w:space="0" w:color="000000"/>
              <w:bottom w:val="single" w:sz="2" w:space="0" w:color="auto"/>
              <w:right w:val="single" w:sz="12" w:space="0" w:color="FFFFFF"/>
            </w:tcBorders>
            <w:vAlign w:val="center"/>
            <w:hideMark/>
          </w:tcPr>
          <w:p w14:paraId="2E041370" w14:textId="77777777" w:rsidR="00B40017" w:rsidRPr="00ED78C4" w:rsidRDefault="00B40017" w:rsidP="00B40017">
            <w:pPr>
              <w:spacing w:before="100" w:beforeAutospacing="1" w:after="100" w:afterAutospacing="1"/>
              <w:rPr>
                <w:rFonts w:ascii="Times" w:hAnsi="Times" w:cs="Times New Roman"/>
                <w:sz w:val="20"/>
                <w:szCs w:val="20"/>
              </w:rPr>
            </w:pPr>
            <w:r>
              <w:rPr>
                <w:rFonts w:ascii="Arial Narrow" w:hAnsi="Arial Narrow" w:cs="Times New Roman"/>
                <w:sz w:val="16"/>
                <w:szCs w:val="16"/>
              </w:rPr>
              <w:t>Social welfare ben</w:t>
            </w:r>
            <w:r w:rsidR="00A62BEB">
              <w:rPr>
                <w:rFonts w:ascii="Arial Narrow" w:hAnsi="Arial Narrow" w:cs="Times New Roman"/>
                <w:sz w:val="16"/>
                <w:szCs w:val="16"/>
              </w:rPr>
              <w:t>e</w:t>
            </w:r>
            <w:r>
              <w:rPr>
                <w:rFonts w:ascii="Arial Narrow" w:hAnsi="Arial Narrow" w:cs="Times New Roman"/>
                <w:sz w:val="16"/>
                <w:szCs w:val="16"/>
              </w:rPr>
              <w:t>fits</w:t>
            </w:r>
            <w:r w:rsidRPr="00ED78C4">
              <w:rPr>
                <w:rFonts w:ascii="Arial Narrow" w:hAnsi="Arial Narrow" w:cs="Times New Roman"/>
                <w:sz w:val="16"/>
                <w:szCs w:val="16"/>
              </w:rPr>
              <w:t xml:space="preserve"> (%)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6D6A7DC3"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13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29678605"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5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038D421D"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3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5D2E1346"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2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4BA63BDF"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1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4353B2E0"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1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7D02258C"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0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56675475"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0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551FFC39"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0 </w:t>
            </w:r>
          </w:p>
        </w:tc>
        <w:tc>
          <w:tcPr>
            <w:tcW w:w="0" w:type="auto"/>
            <w:tcBorders>
              <w:top w:val="single" w:sz="2" w:space="0" w:color="auto"/>
              <w:left w:val="single" w:sz="12" w:space="0" w:color="FFFFFF"/>
              <w:bottom w:val="single" w:sz="2" w:space="0" w:color="auto"/>
              <w:right w:val="single" w:sz="12" w:space="0" w:color="FFFFFF"/>
            </w:tcBorders>
            <w:vAlign w:val="center"/>
            <w:hideMark/>
          </w:tcPr>
          <w:p w14:paraId="471BE9E1"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0 </w:t>
            </w:r>
          </w:p>
        </w:tc>
        <w:tc>
          <w:tcPr>
            <w:tcW w:w="0" w:type="auto"/>
            <w:tcBorders>
              <w:top w:val="single" w:sz="2" w:space="0" w:color="auto"/>
              <w:left w:val="single" w:sz="12" w:space="0" w:color="FFFFFF"/>
              <w:bottom w:val="single" w:sz="2" w:space="0" w:color="auto"/>
              <w:right w:val="single" w:sz="12" w:space="0" w:color="000000"/>
            </w:tcBorders>
            <w:vAlign w:val="center"/>
            <w:hideMark/>
          </w:tcPr>
          <w:p w14:paraId="14E8280B"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 Narrow" w:hAnsi="Arial Narrow" w:cs="Times New Roman"/>
                <w:sz w:val="16"/>
                <w:szCs w:val="16"/>
              </w:rPr>
              <w:t xml:space="preserve">3 </w:t>
            </w:r>
          </w:p>
        </w:tc>
      </w:tr>
      <w:tr w:rsidR="00B40017" w:rsidRPr="00ED78C4" w14:paraId="49E4200B" w14:textId="77777777" w:rsidTr="00B40017">
        <w:tc>
          <w:tcPr>
            <w:tcW w:w="0" w:type="auto"/>
            <w:tcBorders>
              <w:top w:val="single" w:sz="2" w:space="0" w:color="auto"/>
              <w:left w:val="single" w:sz="36" w:space="0" w:color="000000"/>
              <w:bottom w:val="single" w:sz="2" w:space="0" w:color="000000"/>
              <w:right w:val="single" w:sz="12" w:space="0" w:color="FFFFFF"/>
            </w:tcBorders>
            <w:vAlign w:val="center"/>
            <w:hideMark/>
          </w:tcPr>
          <w:p w14:paraId="3B826C4A" w14:textId="77777777" w:rsidR="00B40017" w:rsidRPr="00ED78C4" w:rsidRDefault="00B40017" w:rsidP="00B40017">
            <w:pPr>
              <w:spacing w:before="100" w:beforeAutospacing="1" w:after="100" w:afterAutospacing="1"/>
              <w:rPr>
                <w:rFonts w:ascii="Times" w:hAnsi="Times" w:cs="Times New Roman"/>
                <w:sz w:val="20"/>
                <w:szCs w:val="20"/>
              </w:rPr>
            </w:pPr>
            <w:r>
              <w:rPr>
                <w:rFonts w:ascii="ArialNarrow,Bold" w:hAnsi="ArialNarrow,Bold" w:cs="Times New Roman"/>
                <w:sz w:val="16"/>
                <w:szCs w:val="16"/>
              </w:rPr>
              <w:t>Total social protection benefits com</w:t>
            </w:r>
            <w:r w:rsidR="00AC2B6D">
              <w:rPr>
                <w:rFonts w:ascii="ArialNarrow,Bold" w:hAnsi="ArialNarrow,Bold" w:cs="Times New Roman"/>
                <w:sz w:val="16"/>
                <w:szCs w:val="16"/>
              </w:rPr>
              <w:t>p</w:t>
            </w:r>
            <w:r>
              <w:rPr>
                <w:rFonts w:ascii="ArialNarrow,Bold" w:hAnsi="ArialNarrow,Bold" w:cs="Times New Roman"/>
                <w:sz w:val="16"/>
                <w:szCs w:val="16"/>
              </w:rPr>
              <w:t>ared to income (</w:t>
            </w:r>
            <w:r w:rsidRPr="00ED78C4">
              <w:rPr>
                <w:rFonts w:ascii="ArialNarrow,Bold" w:hAnsi="ArialNarrow,Bold" w:cs="Times New Roman"/>
                <w:sz w:val="16"/>
                <w:szCs w:val="16"/>
              </w:rPr>
              <w:t xml:space="preserve"> %) </w:t>
            </w:r>
          </w:p>
        </w:tc>
        <w:tc>
          <w:tcPr>
            <w:tcW w:w="0" w:type="auto"/>
            <w:tcBorders>
              <w:top w:val="single" w:sz="2" w:space="0" w:color="auto"/>
              <w:left w:val="single" w:sz="12" w:space="0" w:color="FFFFFF"/>
              <w:bottom w:val="single" w:sz="2" w:space="0" w:color="000000"/>
              <w:right w:val="single" w:sz="12" w:space="0" w:color="FFFFFF"/>
            </w:tcBorders>
            <w:vAlign w:val="center"/>
            <w:hideMark/>
          </w:tcPr>
          <w:p w14:paraId="15812528"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Narrow,Bold" w:hAnsi="ArialNarrow,Bold" w:cs="Times New Roman"/>
                <w:sz w:val="16"/>
                <w:szCs w:val="16"/>
              </w:rPr>
              <w:t xml:space="preserve">71 </w:t>
            </w:r>
          </w:p>
        </w:tc>
        <w:tc>
          <w:tcPr>
            <w:tcW w:w="0" w:type="auto"/>
            <w:tcBorders>
              <w:top w:val="single" w:sz="2" w:space="0" w:color="auto"/>
              <w:left w:val="single" w:sz="12" w:space="0" w:color="FFFFFF"/>
              <w:bottom w:val="single" w:sz="2" w:space="0" w:color="000000"/>
              <w:right w:val="single" w:sz="12" w:space="0" w:color="FFFFFF"/>
            </w:tcBorders>
            <w:vAlign w:val="center"/>
            <w:hideMark/>
          </w:tcPr>
          <w:p w14:paraId="167B33F2"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Narrow,Bold" w:hAnsi="ArialNarrow,Bold" w:cs="Times New Roman"/>
                <w:sz w:val="16"/>
                <w:szCs w:val="16"/>
              </w:rPr>
              <w:t xml:space="preserve">53 </w:t>
            </w:r>
          </w:p>
        </w:tc>
        <w:tc>
          <w:tcPr>
            <w:tcW w:w="0" w:type="auto"/>
            <w:tcBorders>
              <w:top w:val="single" w:sz="2" w:space="0" w:color="auto"/>
              <w:left w:val="single" w:sz="12" w:space="0" w:color="FFFFFF"/>
              <w:bottom w:val="single" w:sz="2" w:space="0" w:color="000000"/>
              <w:right w:val="single" w:sz="12" w:space="0" w:color="FFFFFF"/>
            </w:tcBorders>
            <w:vAlign w:val="center"/>
            <w:hideMark/>
          </w:tcPr>
          <w:p w14:paraId="0F84782D"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Narrow,Bold" w:hAnsi="ArialNarrow,Bold" w:cs="Times New Roman"/>
                <w:sz w:val="16"/>
                <w:szCs w:val="16"/>
              </w:rPr>
              <w:t xml:space="preserve">46 </w:t>
            </w:r>
          </w:p>
        </w:tc>
        <w:tc>
          <w:tcPr>
            <w:tcW w:w="0" w:type="auto"/>
            <w:tcBorders>
              <w:top w:val="single" w:sz="2" w:space="0" w:color="auto"/>
              <w:left w:val="single" w:sz="12" w:space="0" w:color="FFFFFF"/>
              <w:bottom w:val="single" w:sz="2" w:space="0" w:color="000000"/>
              <w:right w:val="single" w:sz="12" w:space="0" w:color="FFFFFF"/>
            </w:tcBorders>
            <w:vAlign w:val="center"/>
            <w:hideMark/>
          </w:tcPr>
          <w:p w14:paraId="6802FEBB"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Narrow,Bold" w:hAnsi="ArialNarrow,Bold" w:cs="Times New Roman"/>
                <w:sz w:val="16"/>
                <w:szCs w:val="16"/>
              </w:rPr>
              <w:t xml:space="preserve">41 </w:t>
            </w:r>
          </w:p>
        </w:tc>
        <w:tc>
          <w:tcPr>
            <w:tcW w:w="0" w:type="auto"/>
            <w:tcBorders>
              <w:top w:val="single" w:sz="2" w:space="0" w:color="auto"/>
              <w:left w:val="single" w:sz="12" w:space="0" w:color="FFFFFF"/>
              <w:bottom w:val="single" w:sz="2" w:space="0" w:color="000000"/>
              <w:right w:val="single" w:sz="12" w:space="0" w:color="FFFFFF"/>
            </w:tcBorders>
            <w:vAlign w:val="center"/>
            <w:hideMark/>
          </w:tcPr>
          <w:p w14:paraId="55F34877"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Narrow,Bold" w:hAnsi="ArialNarrow,Bold" w:cs="Times New Roman"/>
                <w:sz w:val="16"/>
                <w:szCs w:val="16"/>
              </w:rPr>
              <w:t xml:space="preserve">37 </w:t>
            </w:r>
          </w:p>
        </w:tc>
        <w:tc>
          <w:tcPr>
            <w:tcW w:w="0" w:type="auto"/>
            <w:tcBorders>
              <w:top w:val="single" w:sz="2" w:space="0" w:color="auto"/>
              <w:left w:val="single" w:sz="12" w:space="0" w:color="FFFFFF"/>
              <w:bottom w:val="single" w:sz="2" w:space="0" w:color="000000"/>
              <w:right w:val="single" w:sz="12" w:space="0" w:color="FFFFFF"/>
            </w:tcBorders>
            <w:vAlign w:val="center"/>
            <w:hideMark/>
          </w:tcPr>
          <w:p w14:paraId="712FD2B9"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Narrow,Bold" w:hAnsi="ArialNarrow,Bold" w:cs="Times New Roman"/>
                <w:sz w:val="16"/>
                <w:szCs w:val="16"/>
              </w:rPr>
              <w:t xml:space="preserve">32 </w:t>
            </w:r>
          </w:p>
        </w:tc>
        <w:tc>
          <w:tcPr>
            <w:tcW w:w="0" w:type="auto"/>
            <w:tcBorders>
              <w:top w:val="single" w:sz="2" w:space="0" w:color="auto"/>
              <w:left w:val="single" w:sz="12" w:space="0" w:color="FFFFFF"/>
              <w:bottom w:val="single" w:sz="2" w:space="0" w:color="000000"/>
              <w:right w:val="single" w:sz="12" w:space="0" w:color="FFFFFF"/>
            </w:tcBorders>
            <w:vAlign w:val="center"/>
            <w:hideMark/>
          </w:tcPr>
          <w:p w14:paraId="52B3E6B6"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Narrow,Bold" w:hAnsi="ArialNarrow,Bold" w:cs="Times New Roman"/>
                <w:sz w:val="16"/>
                <w:szCs w:val="16"/>
              </w:rPr>
              <w:t xml:space="preserve">29 </w:t>
            </w:r>
          </w:p>
        </w:tc>
        <w:tc>
          <w:tcPr>
            <w:tcW w:w="0" w:type="auto"/>
            <w:tcBorders>
              <w:top w:val="single" w:sz="2" w:space="0" w:color="auto"/>
              <w:left w:val="single" w:sz="12" w:space="0" w:color="FFFFFF"/>
              <w:bottom w:val="single" w:sz="2" w:space="0" w:color="000000"/>
              <w:right w:val="single" w:sz="12" w:space="0" w:color="FFFFFF"/>
            </w:tcBorders>
            <w:vAlign w:val="center"/>
            <w:hideMark/>
          </w:tcPr>
          <w:p w14:paraId="5AA6B659"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Narrow,Bold" w:hAnsi="ArialNarrow,Bold" w:cs="Times New Roman"/>
                <w:sz w:val="16"/>
                <w:szCs w:val="16"/>
              </w:rPr>
              <w:t xml:space="preserve">28 </w:t>
            </w:r>
          </w:p>
        </w:tc>
        <w:tc>
          <w:tcPr>
            <w:tcW w:w="0" w:type="auto"/>
            <w:tcBorders>
              <w:top w:val="single" w:sz="2" w:space="0" w:color="auto"/>
              <w:left w:val="single" w:sz="12" w:space="0" w:color="FFFFFF"/>
              <w:bottom w:val="single" w:sz="2" w:space="0" w:color="000000"/>
              <w:right w:val="single" w:sz="12" w:space="0" w:color="FFFFFF"/>
            </w:tcBorders>
            <w:vAlign w:val="center"/>
            <w:hideMark/>
          </w:tcPr>
          <w:p w14:paraId="48AE5331"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Narrow,Bold" w:hAnsi="ArialNarrow,Bold" w:cs="Times New Roman"/>
                <w:sz w:val="16"/>
                <w:szCs w:val="16"/>
              </w:rPr>
              <w:t xml:space="preserve">28 </w:t>
            </w:r>
          </w:p>
        </w:tc>
        <w:tc>
          <w:tcPr>
            <w:tcW w:w="0" w:type="auto"/>
            <w:tcBorders>
              <w:top w:val="single" w:sz="2" w:space="0" w:color="auto"/>
              <w:left w:val="single" w:sz="12" w:space="0" w:color="FFFFFF"/>
              <w:bottom w:val="single" w:sz="2" w:space="0" w:color="000000"/>
              <w:right w:val="single" w:sz="12" w:space="0" w:color="FFFFFF"/>
            </w:tcBorders>
            <w:vAlign w:val="center"/>
            <w:hideMark/>
          </w:tcPr>
          <w:p w14:paraId="62BA56FD"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Narrow,Bold" w:hAnsi="ArialNarrow,Bold" w:cs="Times New Roman"/>
                <w:sz w:val="16"/>
                <w:szCs w:val="16"/>
              </w:rPr>
              <w:t xml:space="preserve">24 </w:t>
            </w:r>
          </w:p>
        </w:tc>
        <w:tc>
          <w:tcPr>
            <w:tcW w:w="0" w:type="auto"/>
            <w:tcBorders>
              <w:top w:val="single" w:sz="2" w:space="0" w:color="auto"/>
              <w:left w:val="single" w:sz="12" w:space="0" w:color="FFFFFF"/>
              <w:bottom w:val="single" w:sz="2" w:space="0" w:color="000000"/>
              <w:right w:val="single" w:sz="12" w:space="0" w:color="000000"/>
            </w:tcBorders>
            <w:vAlign w:val="center"/>
            <w:hideMark/>
          </w:tcPr>
          <w:p w14:paraId="21A82019" w14:textId="77777777" w:rsidR="00B40017" w:rsidRPr="00ED78C4" w:rsidRDefault="00B40017" w:rsidP="00B40017">
            <w:pPr>
              <w:spacing w:before="100" w:beforeAutospacing="1" w:after="100" w:afterAutospacing="1"/>
              <w:rPr>
                <w:rFonts w:ascii="Times" w:hAnsi="Times" w:cs="Times New Roman"/>
                <w:sz w:val="20"/>
                <w:szCs w:val="20"/>
              </w:rPr>
            </w:pPr>
            <w:r w:rsidRPr="00ED78C4">
              <w:rPr>
                <w:rFonts w:ascii="ArialNarrow,Bold" w:hAnsi="ArialNarrow,Bold" w:cs="Times New Roman"/>
                <w:sz w:val="16"/>
                <w:szCs w:val="16"/>
              </w:rPr>
              <w:t xml:space="preserve">39 </w:t>
            </w:r>
          </w:p>
        </w:tc>
      </w:tr>
    </w:tbl>
    <w:p w14:paraId="4FAE3257" w14:textId="77777777" w:rsidR="00A62BEB" w:rsidRDefault="00B40017" w:rsidP="00595350">
      <w:pPr>
        <w:pStyle w:val="NormalWeb"/>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As shown in the above table</w:t>
      </w:r>
      <w:r w:rsidR="00A62BEB">
        <w:rPr>
          <w:rStyle w:val="FootnoteReference"/>
          <w:rFonts w:asciiTheme="majorHAnsi" w:hAnsiTheme="majorHAnsi"/>
          <w:sz w:val="22"/>
          <w:szCs w:val="22"/>
          <w:lang w:val="en-AU"/>
        </w:rPr>
        <w:footnoteReference w:id="4"/>
      </w:r>
      <w:r>
        <w:rPr>
          <w:rFonts w:asciiTheme="majorHAnsi" w:hAnsiTheme="majorHAnsi"/>
          <w:sz w:val="22"/>
          <w:szCs w:val="22"/>
          <w:lang w:val="en-AU"/>
        </w:rPr>
        <w:t xml:space="preserve">, social protection benefits </w:t>
      </w:r>
      <w:r w:rsidR="00F02FD4">
        <w:rPr>
          <w:rFonts w:asciiTheme="majorHAnsi" w:hAnsiTheme="majorHAnsi"/>
          <w:sz w:val="22"/>
          <w:szCs w:val="22"/>
          <w:lang w:val="en-AU"/>
        </w:rPr>
        <w:t>represent a d</w:t>
      </w:r>
      <w:r w:rsidR="00A62BEB">
        <w:rPr>
          <w:rFonts w:asciiTheme="majorHAnsi" w:hAnsiTheme="majorHAnsi"/>
          <w:sz w:val="22"/>
          <w:szCs w:val="22"/>
          <w:lang w:val="en-AU"/>
        </w:rPr>
        <w:t>ec</w:t>
      </w:r>
      <w:r w:rsidR="00F02FD4">
        <w:rPr>
          <w:rFonts w:asciiTheme="majorHAnsi" w:hAnsiTheme="majorHAnsi"/>
          <w:sz w:val="22"/>
          <w:szCs w:val="22"/>
          <w:lang w:val="en-AU"/>
        </w:rPr>
        <w:t xml:space="preserve">reasing proportion of </w:t>
      </w:r>
      <w:r w:rsidR="00A62BEB">
        <w:rPr>
          <w:rFonts w:asciiTheme="majorHAnsi" w:hAnsiTheme="majorHAnsi"/>
          <w:sz w:val="22"/>
          <w:szCs w:val="22"/>
          <w:lang w:val="en-AU"/>
        </w:rPr>
        <w:t>family</w:t>
      </w:r>
      <w:r w:rsidR="00F02FD4">
        <w:rPr>
          <w:rFonts w:asciiTheme="majorHAnsi" w:hAnsiTheme="majorHAnsi"/>
          <w:sz w:val="22"/>
          <w:szCs w:val="22"/>
          <w:lang w:val="en-AU"/>
        </w:rPr>
        <w:t xml:space="preserve"> income as the overall wealth increases, from 71% in the first decile to 24% in the 10</w:t>
      </w:r>
      <w:r w:rsidR="00F02FD4" w:rsidRPr="00F02FD4">
        <w:rPr>
          <w:rFonts w:asciiTheme="majorHAnsi" w:hAnsiTheme="majorHAnsi"/>
          <w:sz w:val="22"/>
          <w:szCs w:val="22"/>
          <w:vertAlign w:val="superscript"/>
          <w:lang w:val="en-AU"/>
        </w:rPr>
        <w:t>th</w:t>
      </w:r>
      <w:r w:rsidR="00F02FD4">
        <w:rPr>
          <w:rFonts w:asciiTheme="majorHAnsi" w:hAnsiTheme="majorHAnsi"/>
          <w:sz w:val="22"/>
          <w:szCs w:val="22"/>
          <w:lang w:val="en-AU"/>
        </w:rPr>
        <w:t xml:space="preserve"> decile. The redistribution effect of social security benefits therefore appears quite strong, but uneven according to branches. For example, pension benefits</w:t>
      </w:r>
      <w:r w:rsidR="00A62BEB">
        <w:rPr>
          <w:rFonts w:asciiTheme="majorHAnsi" w:hAnsiTheme="majorHAnsi"/>
          <w:sz w:val="22"/>
          <w:szCs w:val="22"/>
          <w:lang w:val="en-AU"/>
        </w:rPr>
        <w:t xml:space="preserve"> account for a relatively stable proportion of family income, clearly marking the link of pensions with contributions based on salaries. </w:t>
      </w:r>
      <w:r w:rsidR="00F02FD4">
        <w:rPr>
          <w:rFonts w:asciiTheme="majorHAnsi" w:hAnsiTheme="majorHAnsi"/>
          <w:sz w:val="22"/>
          <w:szCs w:val="22"/>
          <w:lang w:val="en-AU"/>
        </w:rPr>
        <w:t xml:space="preserve"> </w:t>
      </w:r>
      <w:r w:rsidR="00A62BEB">
        <w:rPr>
          <w:rFonts w:asciiTheme="majorHAnsi" w:hAnsiTheme="majorHAnsi"/>
          <w:sz w:val="22"/>
          <w:szCs w:val="22"/>
          <w:lang w:val="en-AU"/>
        </w:rPr>
        <w:t>Housing and family benefits, together of course with social welfare benefits are means tested, and therefore have a very strong redistributive effect.</w:t>
      </w:r>
    </w:p>
    <w:p w14:paraId="68CE2678" w14:textId="77777777" w:rsidR="00A62BEB" w:rsidRDefault="00A62BEB" w:rsidP="00595350">
      <w:pPr>
        <w:pStyle w:val="NormalWeb"/>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 xml:space="preserve">The above table does not account for the redistributive effect of medical insurance, which is real since </w:t>
      </w:r>
      <w:r w:rsidR="00AC2B6D">
        <w:rPr>
          <w:rFonts w:asciiTheme="majorHAnsi" w:hAnsiTheme="majorHAnsi"/>
          <w:sz w:val="22"/>
          <w:szCs w:val="22"/>
          <w:lang w:val="en-AU"/>
        </w:rPr>
        <w:t>financing varies according to income, while benefits occur on the basis of universal access to health care. However studies shows that a significant percentage of the population</w:t>
      </w:r>
      <w:r w:rsidR="00AC2B6D">
        <w:rPr>
          <w:rStyle w:val="FootnoteReference"/>
          <w:rFonts w:asciiTheme="majorHAnsi" w:hAnsiTheme="majorHAnsi"/>
          <w:sz w:val="22"/>
          <w:szCs w:val="22"/>
          <w:lang w:val="en-AU"/>
        </w:rPr>
        <w:footnoteReference w:id="5"/>
      </w:r>
      <w:r w:rsidR="00AC2B6D">
        <w:rPr>
          <w:rFonts w:asciiTheme="majorHAnsi" w:hAnsiTheme="majorHAnsi"/>
          <w:sz w:val="22"/>
          <w:szCs w:val="22"/>
          <w:lang w:val="en-AU"/>
        </w:rPr>
        <w:t xml:space="preserve"> are still deterred to make full use of available medical care they would need because of cost reasons – the deductible remaining sometimes quite high.</w:t>
      </w:r>
    </w:p>
    <w:p w14:paraId="47A6B4E4" w14:textId="77777777" w:rsidR="00AC2B6D" w:rsidRPr="00AC2B6D" w:rsidRDefault="00AC2B6D" w:rsidP="00E86CE7">
      <w:pPr>
        <w:pStyle w:val="NormalWeb"/>
        <w:spacing w:after="0" w:afterAutospacing="0"/>
        <w:jc w:val="both"/>
        <w:rPr>
          <w:rFonts w:asciiTheme="majorHAnsi" w:hAnsiTheme="majorHAnsi"/>
          <w:b/>
          <w:sz w:val="28"/>
          <w:szCs w:val="28"/>
          <w:lang w:val="en-AU"/>
        </w:rPr>
      </w:pPr>
      <w:r>
        <w:rPr>
          <w:rFonts w:asciiTheme="majorHAnsi" w:hAnsiTheme="majorHAnsi"/>
          <w:b/>
          <w:sz w:val="28"/>
          <w:szCs w:val="28"/>
          <w:lang w:val="en-AU"/>
        </w:rPr>
        <w:t>5. SUSTAINABILITY AND FINANCIAL REFORM</w:t>
      </w:r>
    </w:p>
    <w:p w14:paraId="61766CDD" w14:textId="77777777" w:rsidR="00AC2B6D" w:rsidRDefault="00DD7CFC" w:rsidP="00595350">
      <w:pPr>
        <w:pStyle w:val="NormalWeb"/>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 xml:space="preserve">Social security accounts are checked and evaluated by a special Commission established in 1979, which reports to Parliament. Since 1996, Parliament votes every year on a law called Social security financing law. This law treats under a specific chapter of medical care, through a mechanism called National Objective for Health Insurance Expenditure ONDAM. In 2015, </w:t>
      </w:r>
      <w:r w:rsidR="00174A28">
        <w:rPr>
          <w:rFonts w:asciiTheme="majorHAnsi" w:hAnsiTheme="majorHAnsi"/>
          <w:sz w:val="22"/>
          <w:szCs w:val="22"/>
          <w:lang w:val="en-AU"/>
        </w:rPr>
        <w:t xml:space="preserve">prospective consolidated expenditure exceeded receipts by some 10 billion euros (between 2 and 2.5% of expenditure). Four “High-level Councils” dedicated respectively to health insurance, family, pensions and social security financing monitor the situation in their respective sectors and put forward recommendations as appropriate. </w:t>
      </w:r>
    </w:p>
    <w:p w14:paraId="173B328E" w14:textId="77777777" w:rsidR="00174A28" w:rsidRDefault="00174A28" w:rsidP="00595350">
      <w:pPr>
        <w:pStyle w:val="NormalWeb"/>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In fact, the pension system seems to have been quite successful over the years in guaranteeing de</w:t>
      </w:r>
      <w:r w:rsidR="00A5307F">
        <w:rPr>
          <w:rFonts w:asciiTheme="majorHAnsi" w:hAnsiTheme="majorHAnsi"/>
          <w:sz w:val="22"/>
          <w:szCs w:val="22"/>
          <w:lang w:val="en-AU"/>
        </w:rPr>
        <w:t>c</w:t>
      </w:r>
      <w:r>
        <w:rPr>
          <w:rFonts w:asciiTheme="majorHAnsi" w:hAnsiTheme="majorHAnsi"/>
          <w:sz w:val="22"/>
          <w:szCs w:val="22"/>
          <w:lang w:val="en-AU"/>
        </w:rPr>
        <w:t xml:space="preserve">ent living conditions to retirees, since the </w:t>
      </w:r>
      <w:r w:rsidR="00A5307F">
        <w:rPr>
          <w:rFonts w:asciiTheme="majorHAnsi" w:hAnsiTheme="majorHAnsi"/>
          <w:sz w:val="22"/>
          <w:szCs w:val="22"/>
          <w:lang w:val="en-AU"/>
        </w:rPr>
        <w:t>poverty rate among the retired population is consistently lower than that among the general population (data from the Council on Pensions Orientation).</w:t>
      </w:r>
    </w:p>
    <w:p w14:paraId="550F2403" w14:textId="77777777" w:rsidR="00E86CE7" w:rsidRDefault="00E86CE7" w:rsidP="00595350">
      <w:pPr>
        <w:pStyle w:val="NormalWeb"/>
        <w:spacing w:before="0" w:beforeAutospacing="0" w:after="0" w:afterAutospacing="0"/>
        <w:jc w:val="both"/>
        <w:rPr>
          <w:rFonts w:asciiTheme="majorHAnsi" w:hAnsiTheme="majorHAnsi"/>
          <w:sz w:val="22"/>
          <w:szCs w:val="22"/>
          <w:lang w:val="en-AU"/>
        </w:rPr>
      </w:pPr>
    </w:p>
    <w:p w14:paraId="40E56A4C" w14:textId="77777777" w:rsidR="00174A28" w:rsidRDefault="00A5307F" w:rsidP="00595350">
      <w:pPr>
        <w:pStyle w:val="NormalWeb"/>
        <w:spacing w:before="0" w:beforeAutospacing="0" w:after="0" w:afterAutospacing="0"/>
        <w:jc w:val="center"/>
        <w:rPr>
          <w:rFonts w:asciiTheme="majorHAnsi" w:hAnsiTheme="majorHAnsi"/>
          <w:sz w:val="22"/>
          <w:szCs w:val="22"/>
          <w:lang w:val="en-AU"/>
        </w:rPr>
      </w:pPr>
      <w:r>
        <w:rPr>
          <w:rFonts w:asciiTheme="majorHAnsi" w:hAnsiTheme="majorHAnsi"/>
          <w:noProof/>
          <w:sz w:val="22"/>
          <w:szCs w:val="22"/>
          <w:lang w:val="en-US"/>
        </w:rPr>
        <w:drawing>
          <wp:inline distT="0" distB="0" distL="0" distR="0" wp14:anchorId="474DE9C3" wp14:editId="130DC2FF">
            <wp:extent cx="3770437" cy="2425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4392" cy="2428245"/>
                    </a:xfrm>
                    <a:prstGeom prst="rect">
                      <a:avLst/>
                    </a:prstGeom>
                    <a:noFill/>
                    <a:ln>
                      <a:noFill/>
                    </a:ln>
                  </pic:spPr>
                </pic:pic>
              </a:graphicData>
            </a:graphic>
          </wp:inline>
        </w:drawing>
      </w:r>
    </w:p>
    <w:p w14:paraId="3C2BABF8" w14:textId="77777777" w:rsidR="00A5307F" w:rsidRDefault="00A5307F" w:rsidP="00595350">
      <w:pPr>
        <w:pStyle w:val="NormalWeb"/>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 xml:space="preserve">It is therefore expected that the adjustments made in some parameters of the pension formula will not, when coupled with the stabilising effect of extension of contributory periods through increase in legal retirement age and reduction in early retirement facilities, act too much negatively on </w:t>
      </w:r>
      <w:r w:rsidR="00E86CE7">
        <w:rPr>
          <w:rFonts w:asciiTheme="majorHAnsi" w:hAnsiTheme="majorHAnsi"/>
          <w:sz w:val="22"/>
          <w:szCs w:val="22"/>
          <w:lang w:val="en-AU"/>
        </w:rPr>
        <w:t>retirees’</w:t>
      </w:r>
      <w:r>
        <w:rPr>
          <w:rFonts w:asciiTheme="majorHAnsi" w:hAnsiTheme="majorHAnsi"/>
          <w:sz w:val="22"/>
          <w:szCs w:val="22"/>
          <w:lang w:val="en-AU"/>
        </w:rPr>
        <w:t xml:space="preserve"> future standards of living.</w:t>
      </w:r>
    </w:p>
    <w:p w14:paraId="72711212" w14:textId="77777777" w:rsidR="00A5307F" w:rsidRDefault="00A5307F" w:rsidP="00595350">
      <w:pPr>
        <w:pStyle w:val="NormalWeb"/>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The most recent (2014) reform brings in the following changes:</w:t>
      </w:r>
    </w:p>
    <w:p w14:paraId="76CF3997" w14:textId="77777777" w:rsidR="00A5307F" w:rsidRDefault="00A5307F" w:rsidP="00595350">
      <w:pPr>
        <w:pStyle w:val="NormalWeb"/>
        <w:numPr>
          <w:ilvl w:val="0"/>
          <w:numId w:val="3"/>
        </w:numPr>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 xml:space="preserve">Increase by one quarter every 3 years from </w:t>
      </w:r>
      <w:r w:rsidR="00DB42BF">
        <w:rPr>
          <w:rFonts w:asciiTheme="majorHAnsi" w:hAnsiTheme="majorHAnsi"/>
          <w:sz w:val="22"/>
          <w:szCs w:val="22"/>
          <w:lang w:val="en-AU"/>
        </w:rPr>
        <w:t>2020 to 2035 of the threshold to benefit from full pension (43 years of insurance, generations borne 1973 and after).</w:t>
      </w:r>
    </w:p>
    <w:p w14:paraId="06E15C35" w14:textId="77777777" w:rsidR="00DB42BF" w:rsidRDefault="00DB42BF" w:rsidP="00595350">
      <w:pPr>
        <w:pStyle w:val="NormalWeb"/>
        <w:numPr>
          <w:ilvl w:val="0"/>
          <w:numId w:val="3"/>
        </w:numPr>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Increase by 0.30 % of the contribution rate (equal sharing between employers and employees) over a 4 years period (0.15%+ 3 times 0.05%)</w:t>
      </w:r>
    </w:p>
    <w:p w14:paraId="0E9B0498" w14:textId="77777777" w:rsidR="00DB42BF" w:rsidRDefault="00DB42BF" w:rsidP="00595350">
      <w:pPr>
        <w:pStyle w:val="NormalWeb"/>
        <w:numPr>
          <w:ilvl w:val="0"/>
          <w:numId w:val="3"/>
        </w:numPr>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A new individual account (arduous occupation account) is created with effect of 2016 to take into account all the specific periods where any worker went through several types of arduous working conditions, this building up a possible entitlement to early retirement</w:t>
      </w:r>
      <w:r>
        <w:rPr>
          <w:rStyle w:val="FootnoteReference"/>
          <w:rFonts w:asciiTheme="majorHAnsi" w:hAnsiTheme="majorHAnsi"/>
          <w:sz w:val="22"/>
          <w:szCs w:val="22"/>
          <w:lang w:val="en-AU"/>
        </w:rPr>
        <w:footnoteReference w:id="6"/>
      </w:r>
      <w:r>
        <w:rPr>
          <w:rFonts w:asciiTheme="majorHAnsi" w:hAnsiTheme="majorHAnsi"/>
          <w:sz w:val="22"/>
          <w:szCs w:val="22"/>
          <w:lang w:val="en-AU"/>
        </w:rPr>
        <w:t>.</w:t>
      </w:r>
    </w:p>
    <w:p w14:paraId="6C0BFC8E" w14:textId="77777777" w:rsidR="00DB42BF" w:rsidRDefault="00DB42BF" w:rsidP="00595350">
      <w:pPr>
        <w:pStyle w:val="NormalWeb"/>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The previous (2010) reform included:</w:t>
      </w:r>
    </w:p>
    <w:p w14:paraId="22E4BC6A" w14:textId="77777777" w:rsidR="00DB42BF" w:rsidRDefault="004027E2" w:rsidP="00595350">
      <w:pPr>
        <w:pStyle w:val="NormalWeb"/>
        <w:numPr>
          <w:ilvl w:val="0"/>
          <w:numId w:val="3"/>
        </w:numPr>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P</w:t>
      </w:r>
      <w:r w:rsidR="00DB42BF">
        <w:rPr>
          <w:rFonts w:asciiTheme="majorHAnsi" w:hAnsiTheme="majorHAnsi"/>
          <w:sz w:val="22"/>
          <w:szCs w:val="22"/>
          <w:lang w:val="en-AU"/>
        </w:rPr>
        <w:t xml:space="preserve">rogressive increase over 6 years </w:t>
      </w:r>
      <w:r>
        <w:rPr>
          <w:rFonts w:asciiTheme="majorHAnsi" w:hAnsiTheme="majorHAnsi"/>
          <w:sz w:val="22"/>
          <w:szCs w:val="22"/>
          <w:lang w:val="en-AU"/>
        </w:rPr>
        <w:t>starting</w:t>
      </w:r>
      <w:r w:rsidR="00DB42BF">
        <w:rPr>
          <w:rFonts w:asciiTheme="majorHAnsi" w:hAnsiTheme="majorHAnsi"/>
          <w:sz w:val="22"/>
          <w:szCs w:val="22"/>
          <w:lang w:val="en-AU"/>
        </w:rPr>
        <w:t xml:space="preserve"> in 2011 (4 months per year) of legal retirement age from 60 to 62 years</w:t>
      </w:r>
    </w:p>
    <w:p w14:paraId="3C1CE67B" w14:textId="77777777" w:rsidR="001778B3" w:rsidRDefault="004027E2" w:rsidP="00595350">
      <w:pPr>
        <w:pStyle w:val="NormalWeb"/>
        <w:numPr>
          <w:ilvl w:val="0"/>
          <w:numId w:val="3"/>
        </w:numPr>
        <w:spacing w:before="0" w:beforeAutospacing="0" w:after="0" w:afterAutospacing="0"/>
        <w:jc w:val="both"/>
        <w:rPr>
          <w:rFonts w:asciiTheme="majorHAnsi" w:hAnsiTheme="majorHAnsi"/>
          <w:lang w:val="en-GB"/>
        </w:rPr>
      </w:pPr>
      <w:r>
        <w:rPr>
          <w:rFonts w:asciiTheme="majorHAnsi" w:hAnsiTheme="majorHAnsi"/>
          <w:sz w:val="22"/>
          <w:szCs w:val="22"/>
          <w:lang w:val="en-AU"/>
        </w:rPr>
        <w:t>Progressive increase from 65 to 67 years of age of the threshold after which having contributed less than the required minimum of quarters for full pension does not attract a penalty in terms of replacement rate.</w:t>
      </w:r>
      <w:r w:rsidRPr="001778B3">
        <w:rPr>
          <w:rFonts w:asciiTheme="majorHAnsi" w:hAnsiTheme="majorHAnsi"/>
          <w:lang w:val="en-GB"/>
        </w:rPr>
        <w:t xml:space="preserve"> </w:t>
      </w:r>
    </w:p>
    <w:p w14:paraId="3BC2CA76" w14:textId="77777777" w:rsidR="00031FDD" w:rsidRDefault="00031FDD" w:rsidP="00031FDD">
      <w:pPr>
        <w:pStyle w:val="NormalWeb"/>
        <w:jc w:val="both"/>
        <w:rPr>
          <w:rFonts w:asciiTheme="majorHAnsi" w:hAnsiTheme="majorHAnsi"/>
          <w:lang w:val="en-GB"/>
        </w:rPr>
      </w:pPr>
    </w:p>
    <w:p w14:paraId="3ADDD92C" w14:textId="77777777" w:rsidR="00031FDD" w:rsidRPr="001778B3" w:rsidRDefault="00031FDD" w:rsidP="00031FDD">
      <w:pPr>
        <w:pStyle w:val="NormalWeb"/>
        <w:jc w:val="right"/>
        <w:rPr>
          <w:rFonts w:asciiTheme="majorHAnsi" w:hAnsiTheme="majorHAnsi"/>
          <w:lang w:val="en-GB"/>
        </w:rPr>
      </w:pPr>
      <w:r>
        <w:rPr>
          <w:rFonts w:asciiTheme="majorHAnsi" w:hAnsiTheme="majorHAnsi"/>
          <w:lang w:val="en-GB"/>
        </w:rPr>
        <w:t>v.1, 9 July 2016.</w:t>
      </w:r>
    </w:p>
    <w:sectPr w:rsidR="00031FDD" w:rsidRPr="001778B3" w:rsidSect="00595350">
      <w:footerReference w:type="even" r:id="rId13"/>
      <w:footerReference w:type="default" r:id="rId14"/>
      <w:pgSz w:w="11900" w:h="16840"/>
      <w:pgMar w:top="1440" w:right="985" w:bottom="851" w:left="1276"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88401D" w14:textId="77777777" w:rsidR="00595350" w:rsidRDefault="00595350" w:rsidP="003E3104">
      <w:r>
        <w:separator/>
      </w:r>
    </w:p>
  </w:endnote>
  <w:endnote w:type="continuationSeparator" w:id="0">
    <w:p w14:paraId="7D8AC3D9" w14:textId="77777777" w:rsidR="00595350" w:rsidRDefault="00595350" w:rsidP="003E3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EUAlbertina">
    <w:altName w:val="Times New Roman"/>
    <w:panose1 w:val="00000000000000000000"/>
    <w:charset w:val="00"/>
    <w:family w:val="roman"/>
    <w:notTrueType/>
    <w:pitch w:val="default"/>
  </w:font>
  <w:font w:name="EuroSans">
    <w:altName w:val="Times New Roman"/>
    <w:panose1 w:val="00000000000000000000"/>
    <w:charset w:val="00"/>
    <w:family w:val="roman"/>
    <w:notTrueType/>
    <w:pitch w:val="default"/>
  </w:font>
  <w:font w:name="Roboto-Regular">
    <w:altName w:val="Cambria"/>
    <w:panose1 w:val="00000000000000000000"/>
    <w:charset w:val="00"/>
    <w:family w:val="auto"/>
    <w:notTrueType/>
    <w:pitch w:val="default"/>
    <w:sig w:usb0="00000003" w:usb1="00000000" w:usb2="00000000" w:usb3="00000000" w:csb0="00000001" w:csb1="00000000"/>
  </w:font>
  <w:font w:name="Roboto-Bold">
    <w:altName w:val="Cambria"/>
    <w:panose1 w:val="00000000000000000000"/>
    <w:charset w:val="00"/>
    <w:family w:val="auto"/>
    <w:notTrueType/>
    <w:pitch w:val="default"/>
    <w:sig w:usb0="00000003" w:usb1="00000000" w:usb2="00000000" w:usb3="00000000" w:csb0="00000001" w:csb1="00000000"/>
  </w:font>
  <w:font w:name="ArialNarrow,Bold">
    <w:altName w:val="Times New Roman"/>
    <w:panose1 w:val="00000000000000000000"/>
    <w:charset w:val="00"/>
    <w:family w:val="roman"/>
    <w:notTrueType/>
    <w:pitch w:val="default"/>
  </w:font>
  <w:font w:name="Arial Narrow">
    <w:panose1 w:val="020B0506020202030204"/>
    <w:charset w:val="00"/>
    <w:family w:val="auto"/>
    <w:pitch w:val="variable"/>
    <w:sig w:usb0="00000287" w:usb1="00000800" w:usb2="00000000" w:usb3="00000000" w:csb0="0000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19F2A" w14:textId="77777777" w:rsidR="00595350" w:rsidRDefault="00595350" w:rsidP="004528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03D0F1" w14:textId="77777777" w:rsidR="00595350" w:rsidRDefault="00595350" w:rsidP="0045280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96D4A" w14:textId="77777777" w:rsidR="00595350" w:rsidRDefault="00595350" w:rsidP="004528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6CE7">
      <w:rPr>
        <w:rStyle w:val="PageNumber"/>
        <w:noProof/>
      </w:rPr>
      <w:t>1</w:t>
    </w:r>
    <w:r>
      <w:rPr>
        <w:rStyle w:val="PageNumber"/>
      </w:rPr>
      <w:fldChar w:fldCharType="end"/>
    </w:r>
  </w:p>
  <w:p w14:paraId="05127D70" w14:textId="77777777" w:rsidR="00595350" w:rsidRDefault="00595350" w:rsidP="0045280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FE6C5C" w14:textId="77777777" w:rsidR="00595350" w:rsidRDefault="00595350" w:rsidP="003E3104">
      <w:r>
        <w:separator/>
      </w:r>
    </w:p>
  </w:footnote>
  <w:footnote w:type="continuationSeparator" w:id="0">
    <w:p w14:paraId="6B5F109D" w14:textId="77777777" w:rsidR="00595350" w:rsidRDefault="00595350" w:rsidP="003E3104">
      <w:r>
        <w:continuationSeparator/>
      </w:r>
    </w:p>
  </w:footnote>
  <w:footnote w:id="1">
    <w:p w14:paraId="7DBA12F5" w14:textId="77777777" w:rsidR="00595350" w:rsidRPr="00736CB0" w:rsidRDefault="00595350" w:rsidP="003E3104">
      <w:pPr>
        <w:pStyle w:val="FootnoteText"/>
        <w:rPr>
          <w:lang w:val="en-US"/>
        </w:rPr>
      </w:pPr>
      <w:r>
        <w:rPr>
          <w:rStyle w:val="FootnoteReference"/>
        </w:rPr>
        <w:footnoteRef/>
      </w:r>
      <w:r>
        <w:t xml:space="preserve"> </w:t>
      </w:r>
      <w:r>
        <w:rPr>
          <w:rFonts w:asciiTheme="majorHAnsi" w:hAnsiTheme="majorHAnsi"/>
        </w:rPr>
        <w:t>M</w:t>
      </w:r>
      <w:r w:rsidRPr="00B678F5">
        <w:rPr>
          <w:rFonts w:asciiTheme="majorHAnsi" w:hAnsiTheme="majorHAnsi"/>
        </w:rPr>
        <w:t>ax 1474 Mtoe of primary energy or no more than 1078 Mtoe of final energy</w:t>
      </w:r>
    </w:p>
  </w:footnote>
  <w:footnote w:id="2">
    <w:p w14:paraId="66763537" w14:textId="77777777" w:rsidR="00595350" w:rsidRPr="00595350" w:rsidRDefault="00595350" w:rsidP="00586F8A">
      <w:pPr>
        <w:pStyle w:val="NormalWeb"/>
        <w:rPr>
          <w:rFonts w:asciiTheme="majorHAnsi" w:hAnsiTheme="majorHAnsi"/>
          <w:sz w:val="18"/>
          <w:szCs w:val="18"/>
          <w:lang w:val="en-GB"/>
        </w:rPr>
      </w:pPr>
      <w:r w:rsidRPr="0045280C">
        <w:rPr>
          <w:rStyle w:val="FootnoteReference"/>
          <w:rFonts w:asciiTheme="majorHAnsi" w:hAnsiTheme="majorHAnsi"/>
          <w:sz w:val="18"/>
          <w:szCs w:val="18"/>
          <w:lang w:val="en-GB"/>
        </w:rPr>
        <w:footnoteRef/>
      </w:r>
      <w:r w:rsidRPr="0045280C">
        <w:rPr>
          <w:rFonts w:asciiTheme="majorHAnsi" w:hAnsiTheme="majorHAnsi"/>
          <w:sz w:val="18"/>
          <w:szCs w:val="18"/>
          <w:lang w:val="en-GB"/>
        </w:rPr>
        <w:t xml:space="preserve"> </w:t>
      </w:r>
      <w:r w:rsidRPr="00595350">
        <w:rPr>
          <w:rFonts w:asciiTheme="majorHAnsi" w:hAnsiTheme="majorHAnsi"/>
          <w:bCs/>
          <w:sz w:val="18"/>
          <w:szCs w:val="18"/>
          <w:lang w:val="en-GB"/>
        </w:rPr>
        <w:t xml:space="preserve">COUNCIL RECOMMENDATION of 8 July 2014 on the National Reform Programme 2014 of France and delivering a Council opinion on the Stability Programme of France, 2014 </w:t>
      </w:r>
      <w:hyperlink r:id="rId1" w:history="1">
        <w:r w:rsidRPr="00595350">
          <w:rPr>
            <w:rStyle w:val="Hyperlink"/>
            <w:rFonts w:asciiTheme="majorHAnsi" w:hAnsiTheme="majorHAnsi"/>
            <w:bCs/>
            <w:sz w:val="18"/>
            <w:szCs w:val="18"/>
            <w:lang w:val="en-GB"/>
          </w:rPr>
          <w:t>http://ec.europa.eu/europe2020/pdf/csr2014/csr2014_council_france_en.pdf</w:t>
        </w:r>
      </w:hyperlink>
      <w:r w:rsidRPr="00595350">
        <w:rPr>
          <w:rFonts w:asciiTheme="majorHAnsi" w:hAnsiTheme="majorHAnsi"/>
          <w:bCs/>
          <w:sz w:val="18"/>
          <w:szCs w:val="18"/>
          <w:lang w:val="en-GB"/>
        </w:rPr>
        <w:t xml:space="preserve"> </w:t>
      </w:r>
    </w:p>
    <w:p w14:paraId="5FE474B1" w14:textId="77777777" w:rsidR="00595350" w:rsidRPr="00586F8A" w:rsidRDefault="00595350">
      <w:pPr>
        <w:pStyle w:val="FootnoteText"/>
        <w:rPr>
          <w:lang w:val="en-US"/>
        </w:rPr>
      </w:pPr>
    </w:p>
  </w:footnote>
  <w:footnote w:id="3">
    <w:p w14:paraId="5A5D91DA" w14:textId="77777777" w:rsidR="00595350" w:rsidRPr="002C2607" w:rsidRDefault="00595350">
      <w:pPr>
        <w:pStyle w:val="FootnoteText"/>
        <w:rPr>
          <w:rFonts w:asciiTheme="majorHAnsi" w:hAnsiTheme="majorHAnsi"/>
          <w:sz w:val="16"/>
          <w:szCs w:val="16"/>
          <w:lang w:val="en-US"/>
        </w:rPr>
      </w:pPr>
      <w:r w:rsidRPr="008811F7">
        <w:rPr>
          <w:rStyle w:val="FootnoteReference"/>
          <w:rFonts w:asciiTheme="majorHAnsi" w:hAnsiTheme="majorHAnsi"/>
          <w:sz w:val="18"/>
          <w:szCs w:val="18"/>
        </w:rPr>
        <w:footnoteRef/>
      </w:r>
      <w:r w:rsidRPr="008811F7">
        <w:rPr>
          <w:rFonts w:asciiTheme="majorHAnsi" w:hAnsiTheme="majorHAnsi"/>
          <w:sz w:val="18"/>
          <w:szCs w:val="18"/>
        </w:rPr>
        <w:t xml:space="preserve"> </w:t>
      </w:r>
      <w:r w:rsidRPr="008811F7">
        <w:rPr>
          <w:rFonts w:asciiTheme="majorHAnsi" w:hAnsiTheme="majorHAnsi"/>
          <w:sz w:val="18"/>
          <w:szCs w:val="18"/>
          <w:lang w:val="en-US"/>
        </w:rPr>
        <w:t xml:space="preserve">High Council for Social Security Financing, March 2014 </w:t>
      </w:r>
      <w:r>
        <w:rPr>
          <w:rFonts w:asciiTheme="majorHAnsi" w:hAnsiTheme="majorHAnsi"/>
          <w:sz w:val="18"/>
          <w:szCs w:val="18"/>
          <w:lang w:val="en-US"/>
        </w:rPr>
        <w:t xml:space="preserve"> </w:t>
      </w:r>
      <w:hyperlink r:id="rId2" w:history="1">
        <w:r w:rsidRPr="00FA0B1A">
          <w:rPr>
            <w:rStyle w:val="Hyperlink"/>
            <w:rFonts w:asciiTheme="majorHAnsi" w:hAnsiTheme="majorHAnsi"/>
            <w:sz w:val="16"/>
            <w:szCs w:val="16"/>
            <w:lang w:val="en-US"/>
          </w:rPr>
          <w:t>http://www.securite-sociale.fr/IMG/pdf/point_d_etape_hcfips_05032014-2.pdf</w:t>
        </w:r>
      </w:hyperlink>
      <w:r>
        <w:rPr>
          <w:rFonts w:asciiTheme="majorHAnsi" w:hAnsiTheme="majorHAnsi"/>
          <w:sz w:val="16"/>
          <w:szCs w:val="16"/>
          <w:lang w:val="en-US"/>
        </w:rPr>
        <w:t xml:space="preserve"> </w:t>
      </w:r>
    </w:p>
  </w:footnote>
  <w:footnote w:id="4">
    <w:p w14:paraId="52B13315" w14:textId="77777777" w:rsidR="00595350" w:rsidRPr="00A62BEB" w:rsidRDefault="00595350">
      <w:pPr>
        <w:pStyle w:val="FootnoteText"/>
        <w:rPr>
          <w:lang w:val="en-US"/>
        </w:rPr>
      </w:pPr>
      <w:r>
        <w:rPr>
          <w:rStyle w:val="FootnoteReference"/>
        </w:rPr>
        <w:footnoteRef/>
      </w:r>
      <w:r>
        <w:t xml:space="preserve"> </w:t>
      </w:r>
      <w:r w:rsidRPr="00A62BEB">
        <w:rPr>
          <w:rFonts w:asciiTheme="majorHAnsi" w:hAnsiTheme="majorHAnsi"/>
          <w:sz w:val="18"/>
          <w:szCs w:val="18"/>
          <w:lang w:val="en-US"/>
        </w:rPr>
        <w:t>Social protection in France and in Europe, DRESS 2016</w:t>
      </w:r>
    </w:p>
  </w:footnote>
  <w:footnote w:id="5">
    <w:p w14:paraId="73019321" w14:textId="77777777" w:rsidR="00595350" w:rsidRPr="00AC2B6D" w:rsidRDefault="00595350">
      <w:pPr>
        <w:pStyle w:val="FootnoteText"/>
        <w:rPr>
          <w:rFonts w:asciiTheme="majorHAnsi" w:hAnsiTheme="majorHAnsi"/>
          <w:sz w:val="18"/>
          <w:szCs w:val="18"/>
          <w:lang w:val="en-US"/>
        </w:rPr>
      </w:pPr>
      <w:r w:rsidRPr="00AC2B6D">
        <w:rPr>
          <w:rStyle w:val="FootnoteReference"/>
          <w:rFonts w:asciiTheme="majorHAnsi" w:hAnsiTheme="majorHAnsi"/>
          <w:sz w:val="18"/>
          <w:szCs w:val="18"/>
        </w:rPr>
        <w:footnoteRef/>
      </w:r>
      <w:r w:rsidRPr="00AC2B6D">
        <w:rPr>
          <w:rFonts w:asciiTheme="majorHAnsi" w:hAnsiTheme="majorHAnsi"/>
          <w:sz w:val="18"/>
          <w:szCs w:val="18"/>
        </w:rPr>
        <w:t xml:space="preserve"> </w:t>
      </w:r>
      <w:r w:rsidRPr="00AC2B6D">
        <w:rPr>
          <w:rFonts w:asciiTheme="majorHAnsi" w:hAnsiTheme="majorHAnsi"/>
          <w:sz w:val="18"/>
          <w:szCs w:val="18"/>
          <w:lang w:val="en-US"/>
        </w:rPr>
        <w:t>In 2008, 15% of the adult population renounced to some health care for financial reasons – from report on National Health Accounts, 2011</w:t>
      </w:r>
    </w:p>
  </w:footnote>
  <w:footnote w:id="6">
    <w:p w14:paraId="1E764569" w14:textId="77777777" w:rsidR="00595350" w:rsidRPr="00DB42BF" w:rsidRDefault="00595350">
      <w:pPr>
        <w:pStyle w:val="FootnoteText"/>
        <w:rPr>
          <w:rFonts w:asciiTheme="majorHAnsi" w:hAnsiTheme="majorHAnsi"/>
          <w:sz w:val="18"/>
          <w:szCs w:val="18"/>
          <w:lang w:val="en-US"/>
        </w:rPr>
      </w:pPr>
      <w:r w:rsidRPr="00DB42BF">
        <w:rPr>
          <w:rStyle w:val="FootnoteReference"/>
          <w:rFonts w:asciiTheme="majorHAnsi" w:hAnsiTheme="majorHAnsi"/>
          <w:sz w:val="18"/>
          <w:szCs w:val="18"/>
        </w:rPr>
        <w:footnoteRef/>
      </w:r>
      <w:r w:rsidRPr="00DB42BF">
        <w:rPr>
          <w:rFonts w:asciiTheme="majorHAnsi" w:hAnsiTheme="majorHAnsi"/>
          <w:sz w:val="18"/>
          <w:szCs w:val="18"/>
        </w:rPr>
        <w:t xml:space="preserve"> </w:t>
      </w:r>
      <w:r w:rsidRPr="00DB42BF">
        <w:rPr>
          <w:rFonts w:asciiTheme="majorHAnsi" w:hAnsiTheme="majorHAnsi"/>
          <w:sz w:val="18"/>
          <w:szCs w:val="18"/>
          <w:lang w:val="en-US"/>
        </w:rPr>
        <w:t xml:space="preserve">Before the reform, early retirement for arduous working conditions was linked to occupations, not individual criteria.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9C161EB"/>
    <w:multiLevelType w:val="multilevel"/>
    <w:tmpl w:val="8444B0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E68237F"/>
    <w:multiLevelType w:val="hybridMultilevel"/>
    <w:tmpl w:val="2F568630"/>
    <w:lvl w:ilvl="0" w:tplc="202ED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E609AA"/>
    <w:multiLevelType w:val="hybridMultilevel"/>
    <w:tmpl w:val="19FC3E04"/>
    <w:lvl w:ilvl="0" w:tplc="4BA67E84">
      <w:start w:val="1"/>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1E041B"/>
    <w:multiLevelType w:val="hybridMultilevel"/>
    <w:tmpl w:val="50649B1A"/>
    <w:lvl w:ilvl="0" w:tplc="A2DC74A8">
      <w:numFmt w:val="bullet"/>
      <w:lvlText w:val="–"/>
      <w:lvlJc w:val="left"/>
      <w:pPr>
        <w:ind w:left="720" w:hanging="360"/>
      </w:pPr>
      <w:rPr>
        <w:rFonts w:ascii="Calibri" w:eastAsia="宋体" w:hAnsi="Calibri"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2D3E6808"/>
    <w:multiLevelType w:val="multilevel"/>
    <w:tmpl w:val="2F5686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5A83128F"/>
    <w:multiLevelType w:val="multilevel"/>
    <w:tmpl w:val="8444B0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DF92FCB"/>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BB5179C"/>
    <w:multiLevelType w:val="hybridMultilevel"/>
    <w:tmpl w:val="8444B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5"/>
  </w:num>
  <w:num w:numId="4">
    <w:abstractNumId w:val="0"/>
  </w:num>
  <w:num w:numId="5">
    <w:abstractNumId w:val="1"/>
  </w:num>
  <w:num w:numId="6">
    <w:abstractNumId w:val="2"/>
  </w:num>
  <w:num w:numId="7">
    <w:abstractNumId w:val="4"/>
  </w:num>
  <w:num w:numId="8">
    <w:abstractNumId w:val="7"/>
  </w:num>
  <w:num w:numId="9">
    <w:abstractNumId w:val="9"/>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C1F"/>
    <w:rsid w:val="00031FDD"/>
    <w:rsid w:val="00174A28"/>
    <w:rsid w:val="001778B3"/>
    <w:rsid w:val="001E0FBD"/>
    <w:rsid w:val="00202E15"/>
    <w:rsid w:val="002C2607"/>
    <w:rsid w:val="003E3104"/>
    <w:rsid w:val="004027E2"/>
    <w:rsid w:val="0045280C"/>
    <w:rsid w:val="00454617"/>
    <w:rsid w:val="004E6DFE"/>
    <w:rsid w:val="00586F8A"/>
    <w:rsid w:val="00595350"/>
    <w:rsid w:val="005A525A"/>
    <w:rsid w:val="0068411B"/>
    <w:rsid w:val="00741E30"/>
    <w:rsid w:val="007A777D"/>
    <w:rsid w:val="008811F7"/>
    <w:rsid w:val="008C0C1F"/>
    <w:rsid w:val="009A2A34"/>
    <w:rsid w:val="00A22C38"/>
    <w:rsid w:val="00A5307F"/>
    <w:rsid w:val="00A62BEB"/>
    <w:rsid w:val="00AC2B6D"/>
    <w:rsid w:val="00B17732"/>
    <w:rsid w:val="00B40017"/>
    <w:rsid w:val="00CE24AE"/>
    <w:rsid w:val="00DB42BF"/>
    <w:rsid w:val="00DD7CFC"/>
    <w:rsid w:val="00E12496"/>
    <w:rsid w:val="00E86CE7"/>
    <w:rsid w:val="00F02FD4"/>
    <w:rsid w:val="00F03A69"/>
    <w:rsid w:val="00F8681C"/>
    <w:rsid w:val="00F91AF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21F5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C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0C1F"/>
    <w:rPr>
      <w:rFonts w:ascii="Lucida Grande" w:hAnsi="Lucida Grande" w:cs="Lucida Grande"/>
      <w:sz w:val="18"/>
      <w:szCs w:val="18"/>
    </w:rPr>
  </w:style>
  <w:style w:type="paragraph" w:styleId="ListParagraph">
    <w:name w:val="List Paragraph"/>
    <w:basedOn w:val="Normal"/>
    <w:uiPriority w:val="34"/>
    <w:qFormat/>
    <w:rsid w:val="008C0C1F"/>
    <w:pPr>
      <w:ind w:left="720"/>
      <w:contextualSpacing/>
    </w:pPr>
  </w:style>
  <w:style w:type="character" w:styleId="Hyperlink">
    <w:name w:val="Hyperlink"/>
    <w:basedOn w:val="DefaultParagraphFont"/>
    <w:uiPriority w:val="99"/>
    <w:unhideWhenUsed/>
    <w:rsid w:val="001778B3"/>
    <w:rPr>
      <w:color w:val="0000FF" w:themeColor="hyperlink"/>
      <w:u w:val="single"/>
    </w:rPr>
  </w:style>
  <w:style w:type="paragraph" w:styleId="NormalWeb">
    <w:name w:val="Normal (Web)"/>
    <w:basedOn w:val="Normal"/>
    <w:uiPriority w:val="99"/>
    <w:unhideWhenUsed/>
    <w:rsid w:val="001778B3"/>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3E31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3E3104"/>
  </w:style>
  <w:style w:type="character" w:customStyle="1" w:styleId="FootnoteTextChar">
    <w:name w:val="Footnote Text Char"/>
    <w:basedOn w:val="DefaultParagraphFont"/>
    <w:link w:val="FootnoteText"/>
    <w:uiPriority w:val="99"/>
    <w:rsid w:val="003E3104"/>
  </w:style>
  <w:style w:type="character" w:styleId="FootnoteReference">
    <w:name w:val="footnote reference"/>
    <w:basedOn w:val="DefaultParagraphFont"/>
    <w:uiPriority w:val="99"/>
    <w:unhideWhenUsed/>
    <w:rsid w:val="003E3104"/>
    <w:rPr>
      <w:vertAlign w:val="superscript"/>
    </w:rPr>
  </w:style>
  <w:style w:type="character" w:styleId="FollowedHyperlink">
    <w:name w:val="FollowedHyperlink"/>
    <w:basedOn w:val="DefaultParagraphFont"/>
    <w:uiPriority w:val="99"/>
    <w:semiHidden/>
    <w:unhideWhenUsed/>
    <w:rsid w:val="003E3104"/>
    <w:rPr>
      <w:color w:val="800080" w:themeColor="followedHyperlink"/>
      <w:u w:val="single"/>
    </w:rPr>
  </w:style>
  <w:style w:type="paragraph" w:styleId="Footer">
    <w:name w:val="footer"/>
    <w:basedOn w:val="Normal"/>
    <w:link w:val="FooterChar"/>
    <w:uiPriority w:val="99"/>
    <w:unhideWhenUsed/>
    <w:rsid w:val="0045280C"/>
    <w:pPr>
      <w:tabs>
        <w:tab w:val="center" w:pos="4153"/>
        <w:tab w:val="right" w:pos="8306"/>
      </w:tabs>
    </w:pPr>
  </w:style>
  <w:style w:type="character" w:customStyle="1" w:styleId="FooterChar">
    <w:name w:val="Footer Char"/>
    <w:basedOn w:val="DefaultParagraphFont"/>
    <w:link w:val="Footer"/>
    <w:uiPriority w:val="99"/>
    <w:rsid w:val="0045280C"/>
  </w:style>
  <w:style w:type="character" w:styleId="PageNumber">
    <w:name w:val="page number"/>
    <w:basedOn w:val="DefaultParagraphFont"/>
    <w:uiPriority w:val="99"/>
    <w:semiHidden/>
    <w:unhideWhenUsed/>
    <w:rsid w:val="0045280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C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0C1F"/>
    <w:rPr>
      <w:rFonts w:ascii="Lucida Grande" w:hAnsi="Lucida Grande" w:cs="Lucida Grande"/>
      <w:sz w:val="18"/>
      <w:szCs w:val="18"/>
    </w:rPr>
  </w:style>
  <w:style w:type="paragraph" w:styleId="ListParagraph">
    <w:name w:val="List Paragraph"/>
    <w:basedOn w:val="Normal"/>
    <w:uiPriority w:val="34"/>
    <w:qFormat/>
    <w:rsid w:val="008C0C1F"/>
    <w:pPr>
      <w:ind w:left="720"/>
      <w:contextualSpacing/>
    </w:pPr>
  </w:style>
  <w:style w:type="character" w:styleId="Hyperlink">
    <w:name w:val="Hyperlink"/>
    <w:basedOn w:val="DefaultParagraphFont"/>
    <w:uiPriority w:val="99"/>
    <w:unhideWhenUsed/>
    <w:rsid w:val="001778B3"/>
    <w:rPr>
      <w:color w:val="0000FF" w:themeColor="hyperlink"/>
      <w:u w:val="single"/>
    </w:rPr>
  </w:style>
  <w:style w:type="paragraph" w:styleId="NormalWeb">
    <w:name w:val="Normal (Web)"/>
    <w:basedOn w:val="Normal"/>
    <w:uiPriority w:val="99"/>
    <w:unhideWhenUsed/>
    <w:rsid w:val="001778B3"/>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3E31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3E3104"/>
  </w:style>
  <w:style w:type="character" w:customStyle="1" w:styleId="FootnoteTextChar">
    <w:name w:val="Footnote Text Char"/>
    <w:basedOn w:val="DefaultParagraphFont"/>
    <w:link w:val="FootnoteText"/>
    <w:uiPriority w:val="99"/>
    <w:rsid w:val="003E3104"/>
  </w:style>
  <w:style w:type="character" w:styleId="FootnoteReference">
    <w:name w:val="footnote reference"/>
    <w:basedOn w:val="DefaultParagraphFont"/>
    <w:uiPriority w:val="99"/>
    <w:unhideWhenUsed/>
    <w:rsid w:val="003E3104"/>
    <w:rPr>
      <w:vertAlign w:val="superscript"/>
    </w:rPr>
  </w:style>
  <w:style w:type="character" w:styleId="FollowedHyperlink">
    <w:name w:val="FollowedHyperlink"/>
    <w:basedOn w:val="DefaultParagraphFont"/>
    <w:uiPriority w:val="99"/>
    <w:semiHidden/>
    <w:unhideWhenUsed/>
    <w:rsid w:val="003E3104"/>
    <w:rPr>
      <w:color w:val="800080" w:themeColor="followedHyperlink"/>
      <w:u w:val="single"/>
    </w:rPr>
  </w:style>
  <w:style w:type="paragraph" w:styleId="Footer">
    <w:name w:val="footer"/>
    <w:basedOn w:val="Normal"/>
    <w:link w:val="FooterChar"/>
    <w:uiPriority w:val="99"/>
    <w:unhideWhenUsed/>
    <w:rsid w:val="0045280C"/>
    <w:pPr>
      <w:tabs>
        <w:tab w:val="center" w:pos="4153"/>
        <w:tab w:val="right" w:pos="8306"/>
      </w:tabs>
    </w:pPr>
  </w:style>
  <w:style w:type="character" w:customStyle="1" w:styleId="FooterChar">
    <w:name w:val="Footer Char"/>
    <w:basedOn w:val="DefaultParagraphFont"/>
    <w:link w:val="Footer"/>
    <w:uiPriority w:val="99"/>
    <w:rsid w:val="0045280C"/>
  </w:style>
  <w:style w:type="character" w:styleId="PageNumber">
    <w:name w:val="page number"/>
    <w:basedOn w:val="DefaultParagraphFont"/>
    <w:uiPriority w:val="99"/>
    <w:semiHidden/>
    <w:unhideWhenUsed/>
    <w:rsid w:val="00452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16319">
      <w:bodyDiv w:val="1"/>
      <w:marLeft w:val="0"/>
      <w:marRight w:val="0"/>
      <w:marTop w:val="0"/>
      <w:marBottom w:val="0"/>
      <w:divBdr>
        <w:top w:val="none" w:sz="0" w:space="0" w:color="auto"/>
        <w:left w:val="none" w:sz="0" w:space="0" w:color="auto"/>
        <w:bottom w:val="none" w:sz="0" w:space="0" w:color="auto"/>
        <w:right w:val="none" w:sz="0" w:space="0" w:color="auto"/>
      </w:divBdr>
      <w:divsChild>
        <w:div w:id="1701321800">
          <w:marLeft w:val="0"/>
          <w:marRight w:val="0"/>
          <w:marTop w:val="0"/>
          <w:marBottom w:val="0"/>
          <w:divBdr>
            <w:top w:val="none" w:sz="0" w:space="0" w:color="auto"/>
            <w:left w:val="none" w:sz="0" w:space="0" w:color="auto"/>
            <w:bottom w:val="none" w:sz="0" w:space="0" w:color="auto"/>
            <w:right w:val="none" w:sz="0" w:space="0" w:color="auto"/>
          </w:divBdr>
          <w:divsChild>
            <w:div w:id="398788614">
              <w:marLeft w:val="0"/>
              <w:marRight w:val="0"/>
              <w:marTop w:val="0"/>
              <w:marBottom w:val="0"/>
              <w:divBdr>
                <w:top w:val="none" w:sz="0" w:space="0" w:color="auto"/>
                <w:left w:val="none" w:sz="0" w:space="0" w:color="auto"/>
                <w:bottom w:val="none" w:sz="0" w:space="0" w:color="auto"/>
                <w:right w:val="none" w:sz="0" w:space="0" w:color="auto"/>
              </w:divBdr>
              <w:divsChild>
                <w:div w:id="11830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226587">
      <w:bodyDiv w:val="1"/>
      <w:marLeft w:val="0"/>
      <w:marRight w:val="0"/>
      <w:marTop w:val="0"/>
      <w:marBottom w:val="0"/>
      <w:divBdr>
        <w:top w:val="none" w:sz="0" w:space="0" w:color="auto"/>
        <w:left w:val="none" w:sz="0" w:space="0" w:color="auto"/>
        <w:bottom w:val="none" w:sz="0" w:space="0" w:color="auto"/>
        <w:right w:val="none" w:sz="0" w:space="0" w:color="auto"/>
      </w:divBdr>
      <w:divsChild>
        <w:div w:id="1239290261">
          <w:marLeft w:val="0"/>
          <w:marRight w:val="0"/>
          <w:marTop w:val="0"/>
          <w:marBottom w:val="0"/>
          <w:divBdr>
            <w:top w:val="none" w:sz="0" w:space="0" w:color="auto"/>
            <w:left w:val="none" w:sz="0" w:space="0" w:color="auto"/>
            <w:bottom w:val="none" w:sz="0" w:space="0" w:color="auto"/>
            <w:right w:val="none" w:sz="0" w:space="0" w:color="auto"/>
          </w:divBdr>
          <w:divsChild>
            <w:div w:id="659120896">
              <w:marLeft w:val="0"/>
              <w:marRight w:val="0"/>
              <w:marTop w:val="0"/>
              <w:marBottom w:val="0"/>
              <w:divBdr>
                <w:top w:val="none" w:sz="0" w:space="0" w:color="auto"/>
                <w:left w:val="none" w:sz="0" w:space="0" w:color="auto"/>
                <w:bottom w:val="none" w:sz="0" w:space="0" w:color="auto"/>
                <w:right w:val="none" w:sz="0" w:space="0" w:color="auto"/>
              </w:divBdr>
              <w:divsChild>
                <w:div w:id="796335117">
                  <w:marLeft w:val="0"/>
                  <w:marRight w:val="0"/>
                  <w:marTop w:val="0"/>
                  <w:marBottom w:val="0"/>
                  <w:divBdr>
                    <w:top w:val="none" w:sz="0" w:space="0" w:color="auto"/>
                    <w:left w:val="none" w:sz="0" w:space="0" w:color="auto"/>
                    <w:bottom w:val="none" w:sz="0" w:space="0" w:color="auto"/>
                    <w:right w:val="none" w:sz="0" w:space="0" w:color="auto"/>
                  </w:divBdr>
                </w:div>
              </w:divsChild>
            </w:div>
            <w:div w:id="1873374956">
              <w:marLeft w:val="0"/>
              <w:marRight w:val="0"/>
              <w:marTop w:val="0"/>
              <w:marBottom w:val="0"/>
              <w:divBdr>
                <w:top w:val="none" w:sz="0" w:space="0" w:color="auto"/>
                <w:left w:val="none" w:sz="0" w:space="0" w:color="auto"/>
                <w:bottom w:val="none" w:sz="0" w:space="0" w:color="auto"/>
                <w:right w:val="none" w:sz="0" w:space="0" w:color="auto"/>
              </w:divBdr>
              <w:divsChild>
                <w:div w:id="704870645">
                  <w:marLeft w:val="0"/>
                  <w:marRight w:val="0"/>
                  <w:marTop w:val="0"/>
                  <w:marBottom w:val="0"/>
                  <w:divBdr>
                    <w:top w:val="none" w:sz="0" w:space="0" w:color="auto"/>
                    <w:left w:val="none" w:sz="0" w:space="0" w:color="auto"/>
                    <w:bottom w:val="none" w:sz="0" w:space="0" w:color="auto"/>
                    <w:right w:val="none" w:sz="0" w:space="0" w:color="auto"/>
                  </w:divBdr>
                </w:div>
              </w:divsChild>
            </w:div>
            <w:div w:id="722214783">
              <w:marLeft w:val="0"/>
              <w:marRight w:val="0"/>
              <w:marTop w:val="0"/>
              <w:marBottom w:val="0"/>
              <w:divBdr>
                <w:top w:val="none" w:sz="0" w:space="0" w:color="auto"/>
                <w:left w:val="none" w:sz="0" w:space="0" w:color="auto"/>
                <w:bottom w:val="none" w:sz="0" w:space="0" w:color="auto"/>
                <w:right w:val="none" w:sz="0" w:space="0" w:color="auto"/>
              </w:divBdr>
              <w:divsChild>
                <w:div w:id="19477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369211">
      <w:bodyDiv w:val="1"/>
      <w:marLeft w:val="0"/>
      <w:marRight w:val="0"/>
      <w:marTop w:val="0"/>
      <w:marBottom w:val="0"/>
      <w:divBdr>
        <w:top w:val="none" w:sz="0" w:space="0" w:color="auto"/>
        <w:left w:val="none" w:sz="0" w:space="0" w:color="auto"/>
        <w:bottom w:val="none" w:sz="0" w:space="0" w:color="auto"/>
        <w:right w:val="none" w:sz="0" w:space="0" w:color="auto"/>
      </w:divBdr>
      <w:divsChild>
        <w:div w:id="940381152">
          <w:marLeft w:val="0"/>
          <w:marRight w:val="0"/>
          <w:marTop w:val="0"/>
          <w:marBottom w:val="0"/>
          <w:divBdr>
            <w:top w:val="none" w:sz="0" w:space="0" w:color="auto"/>
            <w:left w:val="none" w:sz="0" w:space="0" w:color="auto"/>
            <w:bottom w:val="none" w:sz="0" w:space="0" w:color="auto"/>
            <w:right w:val="none" w:sz="0" w:space="0" w:color="auto"/>
          </w:divBdr>
          <w:divsChild>
            <w:div w:id="151868917">
              <w:marLeft w:val="0"/>
              <w:marRight w:val="0"/>
              <w:marTop w:val="0"/>
              <w:marBottom w:val="0"/>
              <w:divBdr>
                <w:top w:val="none" w:sz="0" w:space="0" w:color="auto"/>
                <w:left w:val="none" w:sz="0" w:space="0" w:color="auto"/>
                <w:bottom w:val="none" w:sz="0" w:space="0" w:color="auto"/>
                <w:right w:val="none" w:sz="0" w:space="0" w:color="auto"/>
              </w:divBdr>
              <w:divsChild>
                <w:div w:id="134246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91870">
      <w:bodyDiv w:val="1"/>
      <w:marLeft w:val="0"/>
      <w:marRight w:val="0"/>
      <w:marTop w:val="0"/>
      <w:marBottom w:val="0"/>
      <w:divBdr>
        <w:top w:val="none" w:sz="0" w:space="0" w:color="auto"/>
        <w:left w:val="none" w:sz="0" w:space="0" w:color="auto"/>
        <w:bottom w:val="none" w:sz="0" w:space="0" w:color="auto"/>
        <w:right w:val="none" w:sz="0" w:space="0" w:color="auto"/>
      </w:divBdr>
      <w:divsChild>
        <w:div w:id="1310743829">
          <w:marLeft w:val="0"/>
          <w:marRight w:val="0"/>
          <w:marTop w:val="0"/>
          <w:marBottom w:val="0"/>
          <w:divBdr>
            <w:top w:val="none" w:sz="0" w:space="0" w:color="auto"/>
            <w:left w:val="none" w:sz="0" w:space="0" w:color="auto"/>
            <w:bottom w:val="none" w:sz="0" w:space="0" w:color="auto"/>
            <w:right w:val="none" w:sz="0" w:space="0" w:color="auto"/>
          </w:divBdr>
          <w:divsChild>
            <w:div w:id="1270313560">
              <w:marLeft w:val="0"/>
              <w:marRight w:val="0"/>
              <w:marTop w:val="0"/>
              <w:marBottom w:val="0"/>
              <w:divBdr>
                <w:top w:val="none" w:sz="0" w:space="0" w:color="auto"/>
                <w:left w:val="none" w:sz="0" w:space="0" w:color="auto"/>
                <w:bottom w:val="none" w:sz="0" w:space="0" w:color="auto"/>
                <w:right w:val="none" w:sz="0" w:space="0" w:color="auto"/>
              </w:divBdr>
              <w:divsChild>
                <w:div w:id="199734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644090">
      <w:bodyDiv w:val="1"/>
      <w:marLeft w:val="0"/>
      <w:marRight w:val="0"/>
      <w:marTop w:val="0"/>
      <w:marBottom w:val="0"/>
      <w:divBdr>
        <w:top w:val="none" w:sz="0" w:space="0" w:color="auto"/>
        <w:left w:val="none" w:sz="0" w:space="0" w:color="auto"/>
        <w:bottom w:val="none" w:sz="0" w:space="0" w:color="auto"/>
        <w:right w:val="none" w:sz="0" w:space="0" w:color="auto"/>
      </w:divBdr>
      <w:divsChild>
        <w:div w:id="1857621254">
          <w:marLeft w:val="0"/>
          <w:marRight w:val="0"/>
          <w:marTop w:val="0"/>
          <w:marBottom w:val="0"/>
          <w:divBdr>
            <w:top w:val="none" w:sz="0" w:space="0" w:color="auto"/>
            <w:left w:val="none" w:sz="0" w:space="0" w:color="auto"/>
            <w:bottom w:val="none" w:sz="0" w:space="0" w:color="auto"/>
            <w:right w:val="none" w:sz="0" w:space="0" w:color="auto"/>
          </w:divBdr>
          <w:divsChild>
            <w:div w:id="694693067">
              <w:marLeft w:val="0"/>
              <w:marRight w:val="0"/>
              <w:marTop w:val="0"/>
              <w:marBottom w:val="0"/>
              <w:divBdr>
                <w:top w:val="none" w:sz="0" w:space="0" w:color="auto"/>
                <w:left w:val="none" w:sz="0" w:space="0" w:color="auto"/>
                <w:bottom w:val="none" w:sz="0" w:space="0" w:color="auto"/>
                <w:right w:val="none" w:sz="0" w:space="0" w:color="auto"/>
              </w:divBdr>
              <w:divsChild>
                <w:div w:id="59043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706164">
      <w:bodyDiv w:val="1"/>
      <w:marLeft w:val="0"/>
      <w:marRight w:val="0"/>
      <w:marTop w:val="0"/>
      <w:marBottom w:val="0"/>
      <w:divBdr>
        <w:top w:val="none" w:sz="0" w:space="0" w:color="auto"/>
        <w:left w:val="none" w:sz="0" w:space="0" w:color="auto"/>
        <w:bottom w:val="none" w:sz="0" w:space="0" w:color="auto"/>
        <w:right w:val="none" w:sz="0" w:space="0" w:color="auto"/>
      </w:divBdr>
      <w:divsChild>
        <w:div w:id="136530133">
          <w:marLeft w:val="0"/>
          <w:marRight w:val="0"/>
          <w:marTop w:val="0"/>
          <w:marBottom w:val="0"/>
          <w:divBdr>
            <w:top w:val="none" w:sz="0" w:space="0" w:color="auto"/>
            <w:left w:val="none" w:sz="0" w:space="0" w:color="auto"/>
            <w:bottom w:val="none" w:sz="0" w:space="0" w:color="auto"/>
            <w:right w:val="none" w:sz="0" w:space="0" w:color="auto"/>
          </w:divBdr>
          <w:divsChild>
            <w:div w:id="1516920699">
              <w:marLeft w:val="0"/>
              <w:marRight w:val="0"/>
              <w:marTop w:val="0"/>
              <w:marBottom w:val="0"/>
              <w:divBdr>
                <w:top w:val="none" w:sz="0" w:space="0" w:color="auto"/>
                <w:left w:val="none" w:sz="0" w:space="0" w:color="auto"/>
                <w:bottom w:val="none" w:sz="0" w:space="0" w:color="auto"/>
                <w:right w:val="none" w:sz="0" w:space="0" w:color="auto"/>
              </w:divBdr>
              <w:divsChild>
                <w:div w:id="201865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30341">
      <w:bodyDiv w:val="1"/>
      <w:marLeft w:val="0"/>
      <w:marRight w:val="0"/>
      <w:marTop w:val="0"/>
      <w:marBottom w:val="0"/>
      <w:divBdr>
        <w:top w:val="none" w:sz="0" w:space="0" w:color="auto"/>
        <w:left w:val="none" w:sz="0" w:space="0" w:color="auto"/>
        <w:bottom w:val="none" w:sz="0" w:space="0" w:color="auto"/>
        <w:right w:val="none" w:sz="0" w:space="0" w:color="auto"/>
      </w:divBdr>
      <w:divsChild>
        <w:div w:id="1531406738">
          <w:marLeft w:val="0"/>
          <w:marRight w:val="0"/>
          <w:marTop w:val="0"/>
          <w:marBottom w:val="0"/>
          <w:divBdr>
            <w:top w:val="none" w:sz="0" w:space="0" w:color="auto"/>
            <w:left w:val="none" w:sz="0" w:space="0" w:color="auto"/>
            <w:bottom w:val="none" w:sz="0" w:space="0" w:color="auto"/>
            <w:right w:val="none" w:sz="0" w:space="0" w:color="auto"/>
          </w:divBdr>
          <w:divsChild>
            <w:div w:id="444038993">
              <w:marLeft w:val="0"/>
              <w:marRight w:val="0"/>
              <w:marTop w:val="0"/>
              <w:marBottom w:val="0"/>
              <w:divBdr>
                <w:top w:val="none" w:sz="0" w:space="0" w:color="auto"/>
                <w:left w:val="none" w:sz="0" w:space="0" w:color="auto"/>
                <w:bottom w:val="none" w:sz="0" w:space="0" w:color="auto"/>
                <w:right w:val="none" w:sz="0" w:space="0" w:color="auto"/>
              </w:divBdr>
              <w:divsChild>
                <w:div w:id="408355507">
                  <w:marLeft w:val="0"/>
                  <w:marRight w:val="0"/>
                  <w:marTop w:val="0"/>
                  <w:marBottom w:val="0"/>
                  <w:divBdr>
                    <w:top w:val="none" w:sz="0" w:space="0" w:color="auto"/>
                    <w:left w:val="none" w:sz="0" w:space="0" w:color="auto"/>
                    <w:bottom w:val="none" w:sz="0" w:space="0" w:color="auto"/>
                    <w:right w:val="none" w:sz="0" w:space="0" w:color="auto"/>
                  </w:divBdr>
                </w:div>
              </w:divsChild>
            </w:div>
            <w:div w:id="1558937031">
              <w:marLeft w:val="0"/>
              <w:marRight w:val="0"/>
              <w:marTop w:val="0"/>
              <w:marBottom w:val="0"/>
              <w:divBdr>
                <w:top w:val="none" w:sz="0" w:space="0" w:color="auto"/>
                <w:left w:val="none" w:sz="0" w:space="0" w:color="auto"/>
                <w:bottom w:val="none" w:sz="0" w:space="0" w:color="auto"/>
                <w:right w:val="none" w:sz="0" w:space="0" w:color="auto"/>
              </w:divBdr>
              <w:divsChild>
                <w:div w:id="165159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0363">
          <w:marLeft w:val="0"/>
          <w:marRight w:val="0"/>
          <w:marTop w:val="0"/>
          <w:marBottom w:val="0"/>
          <w:divBdr>
            <w:top w:val="none" w:sz="0" w:space="0" w:color="auto"/>
            <w:left w:val="none" w:sz="0" w:space="0" w:color="auto"/>
            <w:bottom w:val="none" w:sz="0" w:space="0" w:color="auto"/>
            <w:right w:val="none" w:sz="0" w:space="0" w:color="auto"/>
          </w:divBdr>
          <w:divsChild>
            <w:div w:id="306788132">
              <w:marLeft w:val="0"/>
              <w:marRight w:val="0"/>
              <w:marTop w:val="0"/>
              <w:marBottom w:val="0"/>
              <w:divBdr>
                <w:top w:val="none" w:sz="0" w:space="0" w:color="auto"/>
                <w:left w:val="none" w:sz="0" w:space="0" w:color="auto"/>
                <w:bottom w:val="none" w:sz="0" w:space="0" w:color="auto"/>
                <w:right w:val="none" w:sz="0" w:space="0" w:color="auto"/>
              </w:divBdr>
              <w:divsChild>
                <w:div w:id="753552670">
                  <w:marLeft w:val="0"/>
                  <w:marRight w:val="0"/>
                  <w:marTop w:val="0"/>
                  <w:marBottom w:val="0"/>
                  <w:divBdr>
                    <w:top w:val="none" w:sz="0" w:space="0" w:color="auto"/>
                    <w:left w:val="none" w:sz="0" w:space="0" w:color="auto"/>
                    <w:bottom w:val="none" w:sz="0" w:space="0" w:color="auto"/>
                    <w:right w:val="none" w:sz="0" w:space="0" w:color="auto"/>
                  </w:divBdr>
                </w:div>
              </w:divsChild>
            </w:div>
            <w:div w:id="914323143">
              <w:marLeft w:val="0"/>
              <w:marRight w:val="0"/>
              <w:marTop w:val="0"/>
              <w:marBottom w:val="0"/>
              <w:divBdr>
                <w:top w:val="none" w:sz="0" w:space="0" w:color="auto"/>
                <w:left w:val="none" w:sz="0" w:space="0" w:color="auto"/>
                <w:bottom w:val="none" w:sz="0" w:space="0" w:color="auto"/>
                <w:right w:val="none" w:sz="0" w:space="0" w:color="auto"/>
              </w:divBdr>
              <w:divsChild>
                <w:div w:id="199926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772186">
      <w:bodyDiv w:val="1"/>
      <w:marLeft w:val="0"/>
      <w:marRight w:val="0"/>
      <w:marTop w:val="0"/>
      <w:marBottom w:val="0"/>
      <w:divBdr>
        <w:top w:val="none" w:sz="0" w:space="0" w:color="auto"/>
        <w:left w:val="none" w:sz="0" w:space="0" w:color="auto"/>
        <w:bottom w:val="none" w:sz="0" w:space="0" w:color="auto"/>
        <w:right w:val="none" w:sz="0" w:space="0" w:color="auto"/>
      </w:divBdr>
      <w:divsChild>
        <w:div w:id="664555233">
          <w:marLeft w:val="0"/>
          <w:marRight w:val="0"/>
          <w:marTop w:val="0"/>
          <w:marBottom w:val="0"/>
          <w:divBdr>
            <w:top w:val="none" w:sz="0" w:space="0" w:color="auto"/>
            <w:left w:val="none" w:sz="0" w:space="0" w:color="auto"/>
            <w:bottom w:val="none" w:sz="0" w:space="0" w:color="auto"/>
            <w:right w:val="none" w:sz="0" w:space="0" w:color="auto"/>
          </w:divBdr>
          <w:divsChild>
            <w:div w:id="1321155155">
              <w:marLeft w:val="0"/>
              <w:marRight w:val="0"/>
              <w:marTop w:val="0"/>
              <w:marBottom w:val="0"/>
              <w:divBdr>
                <w:top w:val="none" w:sz="0" w:space="0" w:color="auto"/>
                <w:left w:val="none" w:sz="0" w:space="0" w:color="auto"/>
                <w:bottom w:val="none" w:sz="0" w:space="0" w:color="auto"/>
                <w:right w:val="none" w:sz="0" w:space="0" w:color="auto"/>
              </w:divBdr>
              <w:divsChild>
                <w:div w:id="15572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33010">
      <w:bodyDiv w:val="1"/>
      <w:marLeft w:val="0"/>
      <w:marRight w:val="0"/>
      <w:marTop w:val="0"/>
      <w:marBottom w:val="0"/>
      <w:divBdr>
        <w:top w:val="none" w:sz="0" w:space="0" w:color="auto"/>
        <w:left w:val="none" w:sz="0" w:space="0" w:color="auto"/>
        <w:bottom w:val="none" w:sz="0" w:space="0" w:color="auto"/>
        <w:right w:val="none" w:sz="0" w:space="0" w:color="auto"/>
      </w:divBdr>
      <w:divsChild>
        <w:div w:id="675041784">
          <w:marLeft w:val="0"/>
          <w:marRight w:val="0"/>
          <w:marTop w:val="0"/>
          <w:marBottom w:val="0"/>
          <w:divBdr>
            <w:top w:val="none" w:sz="0" w:space="0" w:color="auto"/>
            <w:left w:val="none" w:sz="0" w:space="0" w:color="auto"/>
            <w:bottom w:val="none" w:sz="0" w:space="0" w:color="auto"/>
            <w:right w:val="none" w:sz="0" w:space="0" w:color="auto"/>
          </w:divBdr>
          <w:divsChild>
            <w:div w:id="545291794">
              <w:marLeft w:val="0"/>
              <w:marRight w:val="0"/>
              <w:marTop w:val="0"/>
              <w:marBottom w:val="0"/>
              <w:divBdr>
                <w:top w:val="none" w:sz="0" w:space="0" w:color="auto"/>
                <w:left w:val="none" w:sz="0" w:space="0" w:color="auto"/>
                <w:bottom w:val="none" w:sz="0" w:space="0" w:color="auto"/>
                <w:right w:val="none" w:sz="0" w:space="0" w:color="auto"/>
              </w:divBdr>
              <w:divsChild>
                <w:div w:id="108013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8830">
      <w:bodyDiv w:val="1"/>
      <w:marLeft w:val="0"/>
      <w:marRight w:val="0"/>
      <w:marTop w:val="0"/>
      <w:marBottom w:val="0"/>
      <w:divBdr>
        <w:top w:val="none" w:sz="0" w:space="0" w:color="auto"/>
        <w:left w:val="none" w:sz="0" w:space="0" w:color="auto"/>
        <w:bottom w:val="none" w:sz="0" w:space="0" w:color="auto"/>
        <w:right w:val="none" w:sz="0" w:space="0" w:color="auto"/>
      </w:divBdr>
      <w:divsChild>
        <w:div w:id="369957365">
          <w:marLeft w:val="0"/>
          <w:marRight w:val="0"/>
          <w:marTop w:val="0"/>
          <w:marBottom w:val="0"/>
          <w:divBdr>
            <w:top w:val="none" w:sz="0" w:space="0" w:color="auto"/>
            <w:left w:val="none" w:sz="0" w:space="0" w:color="auto"/>
            <w:bottom w:val="none" w:sz="0" w:space="0" w:color="auto"/>
            <w:right w:val="none" w:sz="0" w:space="0" w:color="auto"/>
          </w:divBdr>
          <w:divsChild>
            <w:div w:id="1968192613">
              <w:marLeft w:val="0"/>
              <w:marRight w:val="0"/>
              <w:marTop w:val="0"/>
              <w:marBottom w:val="0"/>
              <w:divBdr>
                <w:top w:val="none" w:sz="0" w:space="0" w:color="auto"/>
                <w:left w:val="none" w:sz="0" w:space="0" w:color="auto"/>
                <w:bottom w:val="none" w:sz="0" w:space="0" w:color="auto"/>
                <w:right w:val="none" w:sz="0" w:space="0" w:color="auto"/>
              </w:divBdr>
              <w:divsChild>
                <w:div w:id="15147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19940">
      <w:bodyDiv w:val="1"/>
      <w:marLeft w:val="0"/>
      <w:marRight w:val="0"/>
      <w:marTop w:val="0"/>
      <w:marBottom w:val="0"/>
      <w:divBdr>
        <w:top w:val="none" w:sz="0" w:space="0" w:color="auto"/>
        <w:left w:val="none" w:sz="0" w:space="0" w:color="auto"/>
        <w:bottom w:val="none" w:sz="0" w:space="0" w:color="auto"/>
        <w:right w:val="none" w:sz="0" w:space="0" w:color="auto"/>
      </w:divBdr>
      <w:divsChild>
        <w:div w:id="1297031579">
          <w:marLeft w:val="0"/>
          <w:marRight w:val="0"/>
          <w:marTop w:val="0"/>
          <w:marBottom w:val="0"/>
          <w:divBdr>
            <w:top w:val="none" w:sz="0" w:space="0" w:color="auto"/>
            <w:left w:val="none" w:sz="0" w:space="0" w:color="auto"/>
            <w:bottom w:val="none" w:sz="0" w:space="0" w:color="auto"/>
            <w:right w:val="none" w:sz="0" w:space="0" w:color="auto"/>
          </w:divBdr>
          <w:divsChild>
            <w:div w:id="1529836798">
              <w:marLeft w:val="0"/>
              <w:marRight w:val="0"/>
              <w:marTop w:val="0"/>
              <w:marBottom w:val="0"/>
              <w:divBdr>
                <w:top w:val="none" w:sz="0" w:space="0" w:color="auto"/>
                <w:left w:val="none" w:sz="0" w:space="0" w:color="auto"/>
                <w:bottom w:val="none" w:sz="0" w:space="0" w:color="auto"/>
                <w:right w:val="none" w:sz="0" w:space="0" w:color="auto"/>
              </w:divBdr>
              <w:divsChild>
                <w:div w:id="133465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5873">
      <w:bodyDiv w:val="1"/>
      <w:marLeft w:val="0"/>
      <w:marRight w:val="0"/>
      <w:marTop w:val="0"/>
      <w:marBottom w:val="0"/>
      <w:divBdr>
        <w:top w:val="none" w:sz="0" w:space="0" w:color="auto"/>
        <w:left w:val="none" w:sz="0" w:space="0" w:color="auto"/>
        <w:bottom w:val="none" w:sz="0" w:space="0" w:color="auto"/>
        <w:right w:val="none" w:sz="0" w:space="0" w:color="auto"/>
      </w:divBdr>
      <w:divsChild>
        <w:div w:id="227619015">
          <w:marLeft w:val="0"/>
          <w:marRight w:val="0"/>
          <w:marTop w:val="0"/>
          <w:marBottom w:val="0"/>
          <w:divBdr>
            <w:top w:val="none" w:sz="0" w:space="0" w:color="auto"/>
            <w:left w:val="none" w:sz="0" w:space="0" w:color="auto"/>
            <w:bottom w:val="none" w:sz="0" w:space="0" w:color="auto"/>
            <w:right w:val="none" w:sz="0" w:space="0" w:color="auto"/>
          </w:divBdr>
          <w:divsChild>
            <w:div w:id="1020854539">
              <w:marLeft w:val="0"/>
              <w:marRight w:val="0"/>
              <w:marTop w:val="0"/>
              <w:marBottom w:val="0"/>
              <w:divBdr>
                <w:top w:val="none" w:sz="0" w:space="0" w:color="auto"/>
                <w:left w:val="none" w:sz="0" w:space="0" w:color="auto"/>
                <w:bottom w:val="none" w:sz="0" w:space="0" w:color="auto"/>
                <w:right w:val="none" w:sz="0" w:space="0" w:color="auto"/>
              </w:divBdr>
              <w:divsChild>
                <w:div w:id="76677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88596">
      <w:bodyDiv w:val="1"/>
      <w:marLeft w:val="0"/>
      <w:marRight w:val="0"/>
      <w:marTop w:val="0"/>
      <w:marBottom w:val="0"/>
      <w:divBdr>
        <w:top w:val="none" w:sz="0" w:space="0" w:color="auto"/>
        <w:left w:val="none" w:sz="0" w:space="0" w:color="auto"/>
        <w:bottom w:val="none" w:sz="0" w:space="0" w:color="auto"/>
        <w:right w:val="none" w:sz="0" w:space="0" w:color="auto"/>
      </w:divBdr>
      <w:divsChild>
        <w:div w:id="262032909">
          <w:marLeft w:val="0"/>
          <w:marRight w:val="0"/>
          <w:marTop w:val="0"/>
          <w:marBottom w:val="0"/>
          <w:divBdr>
            <w:top w:val="none" w:sz="0" w:space="0" w:color="auto"/>
            <w:left w:val="none" w:sz="0" w:space="0" w:color="auto"/>
            <w:bottom w:val="none" w:sz="0" w:space="0" w:color="auto"/>
            <w:right w:val="none" w:sz="0" w:space="0" w:color="auto"/>
          </w:divBdr>
          <w:divsChild>
            <w:div w:id="1930190968">
              <w:marLeft w:val="0"/>
              <w:marRight w:val="0"/>
              <w:marTop w:val="0"/>
              <w:marBottom w:val="0"/>
              <w:divBdr>
                <w:top w:val="none" w:sz="0" w:space="0" w:color="auto"/>
                <w:left w:val="none" w:sz="0" w:space="0" w:color="auto"/>
                <w:bottom w:val="none" w:sz="0" w:space="0" w:color="auto"/>
                <w:right w:val="none" w:sz="0" w:space="0" w:color="auto"/>
              </w:divBdr>
              <w:divsChild>
                <w:div w:id="19686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68751">
      <w:bodyDiv w:val="1"/>
      <w:marLeft w:val="0"/>
      <w:marRight w:val="0"/>
      <w:marTop w:val="0"/>
      <w:marBottom w:val="0"/>
      <w:divBdr>
        <w:top w:val="none" w:sz="0" w:space="0" w:color="auto"/>
        <w:left w:val="none" w:sz="0" w:space="0" w:color="auto"/>
        <w:bottom w:val="none" w:sz="0" w:space="0" w:color="auto"/>
        <w:right w:val="none" w:sz="0" w:space="0" w:color="auto"/>
      </w:divBdr>
      <w:divsChild>
        <w:div w:id="819466054">
          <w:marLeft w:val="0"/>
          <w:marRight w:val="0"/>
          <w:marTop w:val="0"/>
          <w:marBottom w:val="0"/>
          <w:divBdr>
            <w:top w:val="none" w:sz="0" w:space="0" w:color="auto"/>
            <w:left w:val="none" w:sz="0" w:space="0" w:color="auto"/>
            <w:bottom w:val="none" w:sz="0" w:space="0" w:color="auto"/>
            <w:right w:val="none" w:sz="0" w:space="0" w:color="auto"/>
          </w:divBdr>
          <w:divsChild>
            <w:div w:id="1036852954">
              <w:marLeft w:val="0"/>
              <w:marRight w:val="0"/>
              <w:marTop w:val="0"/>
              <w:marBottom w:val="0"/>
              <w:divBdr>
                <w:top w:val="none" w:sz="0" w:space="0" w:color="auto"/>
                <w:left w:val="none" w:sz="0" w:space="0" w:color="auto"/>
                <w:bottom w:val="none" w:sz="0" w:space="0" w:color="auto"/>
                <w:right w:val="none" w:sz="0" w:space="0" w:color="auto"/>
              </w:divBdr>
              <w:divsChild>
                <w:div w:id="1521045498">
                  <w:marLeft w:val="0"/>
                  <w:marRight w:val="0"/>
                  <w:marTop w:val="0"/>
                  <w:marBottom w:val="0"/>
                  <w:divBdr>
                    <w:top w:val="none" w:sz="0" w:space="0" w:color="auto"/>
                    <w:left w:val="none" w:sz="0" w:space="0" w:color="auto"/>
                    <w:bottom w:val="none" w:sz="0" w:space="0" w:color="auto"/>
                    <w:right w:val="none" w:sz="0" w:space="0" w:color="auto"/>
                  </w:divBdr>
                  <w:divsChild>
                    <w:div w:id="93782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573682">
      <w:bodyDiv w:val="1"/>
      <w:marLeft w:val="0"/>
      <w:marRight w:val="0"/>
      <w:marTop w:val="0"/>
      <w:marBottom w:val="0"/>
      <w:divBdr>
        <w:top w:val="none" w:sz="0" w:space="0" w:color="auto"/>
        <w:left w:val="none" w:sz="0" w:space="0" w:color="auto"/>
        <w:bottom w:val="none" w:sz="0" w:space="0" w:color="auto"/>
        <w:right w:val="none" w:sz="0" w:space="0" w:color="auto"/>
      </w:divBdr>
      <w:divsChild>
        <w:div w:id="813792394">
          <w:marLeft w:val="0"/>
          <w:marRight w:val="0"/>
          <w:marTop w:val="0"/>
          <w:marBottom w:val="0"/>
          <w:divBdr>
            <w:top w:val="none" w:sz="0" w:space="0" w:color="auto"/>
            <w:left w:val="none" w:sz="0" w:space="0" w:color="auto"/>
            <w:bottom w:val="none" w:sz="0" w:space="0" w:color="auto"/>
            <w:right w:val="none" w:sz="0" w:space="0" w:color="auto"/>
          </w:divBdr>
          <w:divsChild>
            <w:div w:id="2102290927">
              <w:marLeft w:val="0"/>
              <w:marRight w:val="0"/>
              <w:marTop w:val="0"/>
              <w:marBottom w:val="0"/>
              <w:divBdr>
                <w:top w:val="none" w:sz="0" w:space="0" w:color="auto"/>
                <w:left w:val="none" w:sz="0" w:space="0" w:color="auto"/>
                <w:bottom w:val="none" w:sz="0" w:space="0" w:color="auto"/>
                <w:right w:val="none" w:sz="0" w:space="0" w:color="auto"/>
              </w:divBdr>
              <w:divsChild>
                <w:div w:id="13267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35854">
      <w:bodyDiv w:val="1"/>
      <w:marLeft w:val="0"/>
      <w:marRight w:val="0"/>
      <w:marTop w:val="0"/>
      <w:marBottom w:val="0"/>
      <w:divBdr>
        <w:top w:val="none" w:sz="0" w:space="0" w:color="auto"/>
        <w:left w:val="none" w:sz="0" w:space="0" w:color="auto"/>
        <w:bottom w:val="none" w:sz="0" w:space="0" w:color="auto"/>
        <w:right w:val="none" w:sz="0" w:space="0" w:color="auto"/>
      </w:divBdr>
      <w:divsChild>
        <w:div w:id="780026471">
          <w:marLeft w:val="0"/>
          <w:marRight w:val="0"/>
          <w:marTop w:val="0"/>
          <w:marBottom w:val="0"/>
          <w:divBdr>
            <w:top w:val="none" w:sz="0" w:space="0" w:color="auto"/>
            <w:left w:val="none" w:sz="0" w:space="0" w:color="auto"/>
            <w:bottom w:val="none" w:sz="0" w:space="0" w:color="auto"/>
            <w:right w:val="none" w:sz="0" w:space="0" w:color="auto"/>
          </w:divBdr>
          <w:divsChild>
            <w:div w:id="507057828">
              <w:marLeft w:val="0"/>
              <w:marRight w:val="0"/>
              <w:marTop w:val="0"/>
              <w:marBottom w:val="0"/>
              <w:divBdr>
                <w:top w:val="none" w:sz="0" w:space="0" w:color="auto"/>
                <w:left w:val="none" w:sz="0" w:space="0" w:color="auto"/>
                <w:bottom w:val="none" w:sz="0" w:space="0" w:color="auto"/>
                <w:right w:val="none" w:sz="0" w:space="0" w:color="auto"/>
              </w:divBdr>
              <w:divsChild>
                <w:div w:id="1280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061336">
      <w:bodyDiv w:val="1"/>
      <w:marLeft w:val="0"/>
      <w:marRight w:val="0"/>
      <w:marTop w:val="0"/>
      <w:marBottom w:val="0"/>
      <w:divBdr>
        <w:top w:val="none" w:sz="0" w:space="0" w:color="auto"/>
        <w:left w:val="none" w:sz="0" w:space="0" w:color="auto"/>
        <w:bottom w:val="none" w:sz="0" w:space="0" w:color="auto"/>
        <w:right w:val="none" w:sz="0" w:space="0" w:color="auto"/>
      </w:divBdr>
      <w:divsChild>
        <w:div w:id="1869560402">
          <w:marLeft w:val="0"/>
          <w:marRight w:val="0"/>
          <w:marTop w:val="0"/>
          <w:marBottom w:val="0"/>
          <w:divBdr>
            <w:top w:val="none" w:sz="0" w:space="0" w:color="auto"/>
            <w:left w:val="none" w:sz="0" w:space="0" w:color="auto"/>
            <w:bottom w:val="none" w:sz="0" w:space="0" w:color="auto"/>
            <w:right w:val="none" w:sz="0" w:space="0" w:color="auto"/>
          </w:divBdr>
          <w:divsChild>
            <w:div w:id="225410363">
              <w:marLeft w:val="0"/>
              <w:marRight w:val="0"/>
              <w:marTop w:val="0"/>
              <w:marBottom w:val="0"/>
              <w:divBdr>
                <w:top w:val="none" w:sz="0" w:space="0" w:color="auto"/>
                <w:left w:val="none" w:sz="0" w:space="0" w:color="auto"/>
                <w:bottom w:val="none" w:sz="0" w:space="0" w:color="auto"/>
                <w:right w:val="none" w:sz="0" w:space="0" w:color="auto"/>
              </w:divBdr>
              <w:divsChild>
                <w:div w:id="122390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84561">
      <w:bodyDiv w:val="1"/>
      <w:marLeft w:val="0"/>
      <w:marRight w:val="0"/>
      <w:marTop w:val="0"/>
      <w:marBottom w:val="0"/>
      <w:divBdr>
        <w:top w:val="none" w:sz="0" w:space="0" w:color="auto"/>
        <w:left w:val="none" w:sz="0" w:space="0" w:color="auto"/>
        <w:bottom w:val="none" w:sz="0" w:space="0" w:color="auto"/>
        <w:right w:val="none" w:sz="0" w:space="0" w:color="auto"/>
      </w:divBdr>
      <w:divsChild>
        <w:div w:id="26419496">
          <w:marLeft w:val="0"/>
          <w:marRight w:val="0"/>
          <w:marTop w:val="0"/>
          <w:marBottom w:val="0"/>
          <w:divBdr>
            <w:top w:val="none" w:sz="0" w:space="0" w:color="auto"/>
            <w:left w:val="none" w:sz="0" w:space="0" w:color="auto"/>
            <w:bottom w:val="none" w:sz="0" w:space="0" w:color="auto"/>
            <w:right w:val="none" w:sz="0" w:space="0" w:color="auto"/>
          </w:divBdr>
          <w:divsChild>
            <w:div w:id="2028361247">
              <w:marLeft w:val="0"/>
              <w:marRight w:val="0"/>
              <w:marTop w:val="0"/>
              <w:marBottom w:val="0"/>
              <w:divBdr>
                <w:top w:val="none" w:sz="0" w:space="0" w:color="auto"/>
                <w:left w:val="none" w:sz="0" w:space="0" w:color="auto"/>
                <w:bottom w:val="none" w:sz="0" w:space="0" w:color="auto"/>
                <w:right w:val="none" w:sz="0" w:space="0" w:color="auto"/>
              </w:divBdr>
              <w:divsChild>
                <w:div w:id="10136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cleiss.fr/docs/regimes/regime_france/an_5.html" TargetMode="External"/><Relationship Id="rId12" Type="http://schemas.openxmlformats.org/officeDocument/2006/relationships/image" Target="media/image2.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ec.europa.eu/europe2020/pdf/csr2015/nrp2015_france_resume_en.pdf" TargetMode="External"/><Relationship Id="rId10" Type="http://schemas.openxmlformats.org/officeDocument/2006/relationships/hyperlink" Target="http://www.gouvernement.fr/agenda-reform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urope2020/pdf/csr2014/csr2014_council_france_en.pdf" TargetMode="External"/><Relationship Id="rId2" Type="http://schemas.openxmlformats.org/officeDocument/2006/relationships/hyperlink" Target="http://www.securite-sociale.fr/IMG/pdf/point_d_etape_hcfips_05032014-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8</Pages>
  <Words>3899</Words>
  <Characters>22226</Characters>
  <Application>Microsoft Macintosh Word</Application>
  <DocSecurity>0</DocSecurity>
  <Lines>185</Lines>
  <Paragraphs>52</Paragraphs>
  <ScaleCrop>false</ScaleCrop>
  <Company/>
  <LinksUpToDate>false</LinksUpToDate>
  <CharactersWithSpaces>26073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JVG</dc:creator>
  <cp:keywords/>
  <dc:description/>
  <cp:lastModifiedBy>JVG</cp:lastModifiedBy>
  <cp:revision>3</cp:revision>
  <dcterms:created xsi:type="dcterms:W3CDTF">2016-07-09T18:12:00Z</dcterms:created>
  <dcterms:modified xsi:type="dcterms:W3CDTF">2016-07-09T18:42:00Z</dcterms:modified>
</cp:coreProperties>
</file>