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1E2E3" w14:textId="77777777" w:rsidR="00962D10" w:rsidRDefault="00367A6D" w:rsidP="002E5374">
      <w:pPr>
        <w:spacing w:before="78"/>
        <w:ind w:left="2375" w:right="1536"/>
        <w:jc w:val="both"/>
        <w:rPr>
          <w:rFonts w:ascii="Calibri" w:eastAsia="Calibri" w:hAnsi="Calibri" w:cs="Calibri"/>
          <w:sz w:val="24"/>
          <w:szCs w:val="24"/>
        </w:rPr>
      </w:pPr>
      <w:r>
        <w:rPr>
          <w:noProof/>
        </w:rPr>
        <w:drawing>
          <wp:anchor distT="0" distB="0" distL="114300" distR="114300" simplePos="0" relativeHeight="251652608" behindDoc="0" locked="0" layoutInCell="1" allowOverlap="1" wp14:anchorId="29271EAE" wp14:editId="5CD0BF7E">
            <wp:simplePos x="0" y="0"/>
            <wp:positionH relativeFrom="page">
              <wp:posOffset>810260</wp:posOffset>
            </wp:positionH>
            <wp:positionV relativeFrom="paragraph">
              <wp:posOffset>50165</wp:posOffset>
            </wp:positionV>
            <wp:extent cx="1320800" cy="1320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pic:spPr>
                </pic:pic>
              </a:graphicData>
            </a:graphic>
            <wp14:sizeRelH relativeFrom="page">
              <wp14:pctWidth>0</wp14:pctWidth>
            </wp14:sizeRelH>
            <wp14:sizeRelV relativeFrom="page">
              <wp14:pctHeight>0</wp14:pctHeight>
            </wp14:sizeRelV>
          </wp:anchor>
        </w:drawing>
      </w:r>
      <w:r w:rsidR="008D75AF">
        <w:rPr>
          <w:rFonts w:ascii="Calibri"/>
          <w:b/>
          <w:spacing w:val="-1"/>
          <w:sz w:val="24"/>
        </w:rPr>
        <w:t>EU-CHINA</w:t>
      </w:r>
      <w:r w:rsidR="008D75AF">
        <w:rPr>
          <w:rFonts w:ascii="Calibri"/>
          <w:b/>
          <w:spacing w:val="-7"/>
          <w:sz w:val="24"/>
        </w:rPr>
        <w:t xml:space="preserve"> </w:t>
      </w:r>
      <w:r w:rsidR="008D75AF">
        <w:rPr>
          <w:rFonts w:ascii="Calibri"/>
          <w:b/>
          <w:sz w:val="24"/>
        </w:rPr>
        <w:t>SOCIAL</w:t>
      </w:r>
      <w:r w:rsidR="008D75AF">
        <w:rPr>
          <w:rFonts w:ascii="Calibri"/>
          <w:b/>
          <w:spacing w:val="-8"/>
          <w:sz w:val="24"/>
        </w:rPr>
        <w:t xml:space="preserve"> </w:t>
      </w:r>
      <w:r w:rsidR="008D75AF">
        <w:rPr>
          <w:rFonts w:ascii="Calibri"/>
          <w:b/>
          <w:spacing w:val="-1"/>
          <w:sz w:val="24"/>
        </w:rPr>
        <w:t>PROTECTION</w:t>
      </w:r>
      <w:r w:rsidR="008D75AF">
        <w:rPr>
          <w:rFonts w:ascii="Calibri"/>
          <w:b/>
          <w:spacing w:val="-5"/>
          <w:sz w:val="24"/>
        </w:rPr>
        <w:t xml:space="preserve"> </w:t>
      </w:r>
      <w:r w:rsidR="008D75AF">
        <w:rPr>
          <w:rFonts w:ascii="Calibri"/>
          <w:b/>
          <w:spacing w:val="-1"/>
          <w:sz w:val="24"/>
        </w:rPr>
        <w:t>REFORM</w:t>
      </w:r>
      <w:r w:rsidR="008D75AF">
        <w:rPr>
          <w:rFonts w:ascii="Calibri"/>
          <w:b/>
          <w:spacing w:val="-6"/>
          <w:sz w:val="24"/>
        </w:rPr>
        <w:t xml:space="preserve"> </w:t>
      </w:r>
      <w:r w:rsidR="008D75AF">
        <w:rPr>
          <w:rFonts w:ascii="Calibri"/>
          <w:b/>
          <w:spacing w:val="-1"/>
          <w:sz w:val="24"/>
        </w:rPr>
        <w:t>PROJECT</w:t>
      </w:r>
      <w:r w:rsidR="008D75AF">
        <w:rPr>
          <w:rFonts w:ascii="Calibri"/>
          <w:b/>
          <w:spacing w:val="-4"/>
          <w:sz w:val="24"/>
        </w:rPr>
        <w:t xml:space="preserve"> </w:t>
      </w:r>
      <w:r w:rsidR="008D75AF">
        <w:rPr>
          <w:rFonts w:ascii="Calibri"/>
          <w:b/>
          <w:spacing w:val="-1"/>
          <w:sz w:val="24"/>
        </w:rPr>
        <w:t>SPRP</w:t>
      </w:r>
      <w:r w:rsidR="008D75AF">
        <w:rPr>
          <w:rFonts w:ascii="Calibri"/>
          <w:b/>
          <w:spacing w:val="29"/>
          <w:sz w:val="24"/>
        </w:rPr>
        <w:t xml:space="preserve"> </w:t>
      </w:r>
      <w:r w:rsidR="008D75AF">
        <w:rPr>
          <w:rFonts w:ascii="Calibri"/>
          <w:b/>
          <w:sz w:val="24"/>
        </w:rPr>
        <w:t>HIGH</w:t>
      </w:r>
      <w:r w:rsidR="008D75AF">
        <w:rPr>
          <w:rFonts w:ascii="Calibri"/>
          <w:b/>
          <w:spacing w:val="-8"/>
          <w:sz w:val="24"/>
        </w:rPr>
        <w:t xml:space="preserve"> </w:t>
      </w:r>
      <w:r w:rsidR="008D75AF">
        <w:rPr>
          <w:rFonts w:ascii="Calibri"/>
          <w:b/>
          <w:spacing w:val="-1"/>
          <w:sz w:val="24"/>
        </w:rPr>
        <w:t>LEVEL</w:t>
      </w:r>
      <w:r w:rsidR="008D75AF">
        <w:rPr>
          <w:rFonts w:ascii="Calibri"/>
          <w:b/>
          <w:spacing w:val="-7"/>
          <w:sz w:val="24"/>
        </w:rPr>
        <w:t xml:space="preserve"> </w:t>
      </w:r>
      <w:r w:rsidR="008D75AF">
        <w:rPr>
          <w:rFonts w:ascii="Calibri"/>
          <w:b/>
          <w:spacing w:val="-1"/>
          <w:sz w:val="24"/>
        </w:rPr>
        <w:t>EVENT</w:t>
      </w:r>
      <w:r w:rsidR="008D75AF">
        <w:rPr>
          <w:rFonts w:ascii="Calibri"/>
          <w:b/>
          <w:spacing w:val="-8"/>
          <w:sz w:val="24"/>
        </w:rPr>
        <w:t xml:space="preserve"> </w:t>
      </w:r>
      <w:r w:rsidR="008D75AF">
        <w:rPr>
          <w:rFonts w:ascii="Calibri"/>
          <w:b/>
          <w:sz w:val="24"/>
        </w:rPr>
        <w:t>2016</w:t>
      </w:r>
    </w:p>
    <w:p w14:paraId="3659E3B3" w14:textId="77777777" w:rsidR="00962D10" w:rsidRDefault="008D75AF" w:rsidP="002E5374">
      <w:pPr>
        <w:ind w:left="2375"/>
        <w:jc w:val="both"/>
        <w:rPr>
          <w:rFonts w:ascii="Calibri" w:eastAsia="Calibri" w:hAnsi="Calibri" w:cs="Calibri"/>
          <w:sz w:val="24"/>
          <w:szCs w:val="24"/>
        </w:rPr>
      </w:pPr>
      <w:r>
        <w:rPr>
          <w:rFonts w:ascii="Calibri" w:hAnsi="Calibri"/>
          <w:b/>
          <w:sz w:val="24"/>
        </w:rPr>
        <w:t>«</w:t>
      </w:r>
      <w:r>
        <w:rPr>
          <w:rFonts w:ascii="Calibri" w:hAnsi="Calibri"/>
          <w:b/>
          <w:spacing w:val="-4"/>
          <w:sz w:val="24"/>
        </w:rPr>
        <w:t xml:space="preserve"> </w:t>
      </w:r>
      <w:r>
        <w:rPr>
          <w:rFonts w:ascii="Calibri" w:hAnsi="Calibri"/>
          <w:b/>
          <w:spacing w:val="-1"/>
          <w:sz w:val="24"/>
        </w:rPr>
        <w:t>PERSPECTIVE</w:t>
      </w:r>
      <w:r>
        <w:rPr>
          <w:rFonts w:ascii="Calibri" w:hAnsi="Calibri"/>
          <w:b/>
          <w:spacing w:val="-5"/>
          <w:sz w:val="24"/>
        </w:rPr>
        <w:t xml:space="preserve"> </w:t>
      </w:r>
      <w:r>
        <w:rPr>
          <w:rFonts w:ascii="Calibri" w:hAnsi="Calibri"/>
          <w:b/>
          <w:sz w:val="24"/>
        </w:rPr>
        <w:t>OF</w:t>
      </w:r>
      <w:r>
        <w:rPr>
          <w:rFonts w:ascii="Calibri" w:hAnsi="Calibri"/>
          <w:b/>
          <w:spacing w:val="-4"/>
          <w:sz w:val="24"/>
        </w:rPr>
        <w:t xml:space="preserve"> </w:t>
      </w:r>
      <w:r>
        <w:rPr>
          <w:rFonts w:ascii="Calibri" w:hAnsi="Calibri"/>
          <w:b/>
          <w:spacing w:val="-1"/>
          <w:sz w:val="24"/>
        </w:rPr>
        <w:t>EMPLOYMENT</w:t>
      </w:r>
      <w:r>
        <w:rPr>
          <w:rFonts w:ascii="Calibri" w:hAnsi="Calibri"/>
          <w:b/>
          <w:spacing w:val="-3"/>
          <w:sz w:val="24"/>
        </w:rPr>
        <w:t xml:space="preserve"> </w:t>
      </w:r>
      <w:r>
        <w:rPr>
          <w:rFonts w:ascii="Calibri" w:hAnsi="Calibri"/>
          <w:b/>
          <w:spacing w:val="-1"/>
          <w:sz w:val="24"/>
        </w:rPr>
        <w:t>POLICY</w:t>
      </w:r>
      <w:r>
        <w:rPr>
          <w:rFonts w:ascii="Calibri" w:hAnsi="Calibri"/>
          <w:b/>
          <w:spacing w:val="-4"/>
          <w:sz w:val="24"/>
        </w:rPr>
        <w:t xml:space="preserve"> </w:t>
      </w:r>
      <w:r>
        <w:rPr>
          <w:rFonts w:ascii="Calibri" w:hAnsi="Calibri"/>
          <w:b/>
          <w:sz w:val="24"/>
        </w:rPr>
        <w:t>AND</w:t>
      </w:r>
      <w:r>
        <w:rPr>
          <w:rFonts w:ascii="Calibri" w:hAnsi="Calibri"/>
          <w:b/>
          <w:spacing w:val="-6"/>
          <w:sz w:val="24"/>
        </w:rPr>
        <w:t xml:space="preserve"> </w:t>
      </w:r>
      <w:r>
        <w:rPr>
          <w:rFonts w:ascii="Calibri" w:hAnsi="Calibri"/>
          <w:b/>
          <w:spacing w:val="-1"/>
          <w:sz w:val="24"/>
        </w:rPr>
        <w:t>SOCIAL</w:t>
      </w:r>
      <w:r>
        <w:rPr>
          <w:rFonts w:ascii="Calibri" w:hAnsi="Calibri"/>
          <w:b/>
          <w:spacing w:val="-4"/>
          <w:sz w:val="24"/>
        </w:rPr>
        <w:t xml:space="preserve"> </w:t>
      </w:r>
      <w:r>
        <w:rPr>
          <w:rFonts w:ascii="Calibri" w:hAnsi="Calibri"/>
          <w:b/>
          <w:spacing w:val="-1"/>
          <w:sz w:val="24"/>
        </w:rPr>
        <w:t>SECURITY</w:t>
      </w:r>
      <w:r>
        <w:rPr>
          <w:rFonts w:ascii="Calibri" w:hAnsi="Calibri"/>
          <w:b/>
          <w:spacing w:val="-4"/>
          <w:sz w:val="24"/>
        </w:rPr>
        <w:t xml:space="preserve"> </w:t>
      </w:r>
      <w:r>
        <w:rPr>
          <w:rFonts w:ascii="Calibri" w:hAnsi="Calibri"/>
          <w:b/>
          <w:spacing w:val="-1"/>
          <w:sz w:val="24"/>
        </w:rPr>
        <w:t>REFORM</w:t>
      </w:r>
    </w:p>
    <w:p w14:paraId="31811D93" w14:textId="77777777" w:rsidR="00962D10" w:rsidRDefault="008D75AF" w:rsidP="002E5374">
      <w:pPr>
        <w:ind w:left="2375"/>
        <w:jc w:val="both"/>
        <w:rPr>
          <w:rFonts w:ascii="Calibri" w:eastAsia="Calibri" w:hAnsi="Calibri" w:cs="Calibri"/>
          <w:sz w:val="24"/>
          <w:szCs w:val="24"/>
        </w:rPr>
      </w:pPr>
      <w:r>
        <w:rPr>
          <w:rFonts w:ascii="Calibri" w:eastAsia="Calibri" w:hAnsi="Calibri" w:cs="Calibri"/>
          <w:b/>
          <w:bCs/>
          <w:sz w:val="24"/>
          <w:szCs w:val="24"/>
        </w:rPr>
        <w:t>–</w:t>
      </w:r>
      <w:r>
        <w:rPr>
          <w:rFonts w:ascii="Calibri" w:eastAsia="Calibri" w:hAnsi="Calibri" w:cs="Calibri"/>
          <w:b/>
          <w:bCs/>
          <w:spacing w:val="-1"/>
          <w:sz w:val="24"/>
          <w:szCs w:val="24"/>
        </w:rPr>
        <w:t xml:space="preserve"> 2016</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 xml:space="preserve">2020 </w:t>
      </w:r>
      <w:r>
        <w:rPr>
          <w:rFonts w:ascii="Calibri" w:eastAsia="Calibri" w:hAnsi="Calibri" w:cs="Calibri"/>
          <w:b/>
          <w:bCs/>
          <w:sz w:val="24"/>
          <w:szCs w:val="24"/>
        </w:rPr>
        <w:t>»,</w:t>
      </w:r>
    </w:p>
    <w:p w14:paraId="4158582F" w14:textId="77777777" w:rsidR="00962D10" w:rsidRDefault="008D75AF" w:rsidP="002E5374">
      <w:pPr>
        <w:spacing w:line="292" w:lineRule="exact"/>
        <w:ind w:left="2375"/>
        <w:jc w:val="both"/>
        <w:rPr>
          <w:rFonts w:ascii="Calibri" w:eastAsia="Calibri" w:hAnsi="Calibri" w:cs="Calibri"/>
          <w:sz w:val="24"/>
          <w:szCs w:val="24"/>
        </w:rPr>
      </w:pPr>
      <w:r>
        <w:rPr>
          <w:rFonts w:ascii="Calibri"/>
          <w:b/>
          <w:sz w:val="24"/>
        </w:rPr>
        <w:t>BEIJING</w:t>
      </w:r>
      <w:r>
        <w:rPr>
          <w:rFonts w:ascii="Calibri"/>
          <w:b/>
          <w:spacing w:val="-6"/>
          <w:sz w:val="24"/>
        </w:rPr>
        <w:t xml:space="preserve"> </w:t>
      </w:r>
      <w:r>
        <w:rPr>
          <w:rFonts w:ascii="Calibri"/>
          <w:b/>
          <w:sz w:val="24"/>
        </w:rPr>
        <w:t>28</w:t>
      </w:r>
      <w:r>
        <w:rPr>
          <w:rFonts w:ascii="Calibri"/>
          <w:b/>
          <w:spacing w:val="-6"/>
          <w:sz w:val="24"/>
        </w:rPr>
        <w:t xml:space="preserve"> </w:t>
      </w:r>
      <w:r>
        <w:rPr>
          <w:rFonts w:ascii="Calibri"/>
          <w:b/>
          <w:sz w:val="24"/>
        </w:rPr>
        <w:t>TO</w:t>
      </w:r>
      <w:r>
        <w:rPr>
          <w:rFonts w:ascii="Calibri"/>
          <w:b/>
          <w:spacing w:val="-6"/>
          <w:sz w:val="24"/>
        </w:rPr>
        <w:t xml:space="preserve"> </w:t>
      </w:r>
      <w:r>
        <w:rPr>
          <w:rFonts w:ascii="Calibri"/>
          <w:b/>
          <w:sz w:val="24"/>
        </w:rPr>
        <w:t>29</w:t>
      </w:r>
      <w:r>
        <w:rPr>
          <w:rFonts w:ascii="Calibri"/>
          <w:b/>
          <w:spacing w:val="-6"/>
          <w:sz w:val="24"/>
        </w:rPr>
        <w:t xml:space="preserve"> </w:t>
      </w:r>
      <w:r>
        <w:rPr>
          <w:rFonts w:ascii="Calibri"/>
          <w:b/>
          <w:spacing w:val="-1"/>
          <w:sz w:val="24"/>
        </w:rPr>
        <w:t>SEPTEMBER</w:t>
      </w:r>
      <w:r>
        <w:rPr>
          <w:rFonts w:ascii="Calibri"/>
          <w:b/>
          <w:spacing w:val="-6"/>
          <w:sz w:val="24"/>
        </w:rPr>
        <w:t xml:space="preserve"> </w:t>
      </w:r>
      <w:r>
        <w:rPr>
          <w:rFonts w:ascii="Calibri"/>
          <w:b/>
          <w:sz w:val="24"/>
        </w:rPr>
        <w:t>2016</w:t>
      </w:r>
    </w:p>
    <w:p w14:paraId="753BDD5C" w14:textId="77777777" w:rsidR="00962D10" w:rsidRDefault="008D75AF" w:rsidP="002E5374">
      <w:pPr>
        <w:spacing w:line="537" w:lineRule="exact"/>
        <w:ind w:left="2375"/>
        <w:jc w:val="both"/>
        <w:rPr>
          <w:rFonts w:ascii="Calibri" w:eastAsia="Calibri" w:hAnsi="Calibri" w:cs="Calibri"/>
          <w:sz w:val="44"/>
          <w:szCs w:val="44"/>
        </w:rPr>
      </w:pPr>
      <w:r>
        <w:rPr>
          <w:rFonts w:ascii="Calibri"/>
          <w:spacing w:val="-1"/>
          <w:sz w:val="44"/>
        </w:rPr>
        <w:t>COUNTRY</w:t>
      </w:r>
      <w:r>
        <w:rPr>
          <w:rFonts w:ascii="Calibri"/>
          <w:spacing w:val="-19"/>
          <w:sz w:val="44"/>
        </w:rPr>
        <w:t xml:space="preserve"> </w:t>
      </w:r>
      <w:r>
        <w:rPr>
          <w:rFonts w:ascii="Calibri"/>
          <w:spacing w:val="-1"/>
          <w:sz w:val="44"/>
        </w:rPr>
        <w:t>PROFILE</w:t>
      </w:r>
      <w:r>
        <w:rPr>
          <w:rFonts w:ascii="Calibri"/>
          <w:spacing w:val="-19"/>
          <w:sz w:val="44"/>
        </w:rPr>
        <w:t xml:space="preserve"> </w:t>
      </w:r>
      <w:r>
        <w:rPr>
          <w:rFonts w:ascii="Calibri"/>
          <w:sz w:val="44"/>
        </w:rPr>
        <w:t>Italy</w:t>
      </w:r>
    </w:p>
    <w:p w14:paraId="14A80DE8" w14:textId="77777777" w:rsidR="00962D10" w:rsidRDefault="00962D10" w:rsidP="002E5374">
      <w:pPr>
        <w:jc w:val="both"/>
        <w:rPr>
          <w:rFonts w:ascii="Calibri" w:eastAsia="Calibri" w:hAnsi="Calibri" w:cs="Calibri"/>
          <w:sz w:val="20"/>
          <w:szCs w:val="20"/>
        </w:rPr>
      </w:pPr>
    </w:p>
    <w:p w14:paraId="0E2A3DF3" w14:textId="77777777" w:rsidR="00962D10" w:rsidRDefault="00962D10" w:rsidP="002E5374">
      <w:pPr>
        <w:jc w:val="both"/>
        <w:rPr>
          <w:rFonts w:ascii="Calibri" w:eastAsia="Calibri" w:hAnsi="Calibri" w:cs="Calibri"/>
          <w:sz w:val="20"/>
          <w:szCs w:val="20"/>
        </w:rPr>
      </w:pPr>
    </w:p>
    <w:p w14:paraId="05973D64" w14:textId="77777777" w:rsidR="00962D10" w:rsidRDefault="00962D10" w:rsidP="002E5374">
      <w:pPr>
        <w:spacing w:before="3"/>
        <w:jc w:val="both"/>
        <w:rPr>
          <w:rFonts w:ascii="Calibri" w:eastAsia="Calibri" w:hAnsi="Calibri" w:cs="Calibri"/>
          <w:sz w:val="20"/>
          <w:szCs w:val="20"/>
        </w:rPr>
      </w:pPr>
    </w:p>
    <w:p w14:paraId="161ADBF4" w14:textId="77777777" w:rsidR="00A20C98" w:rsidRPr="00A20C98" w:rsidRDefault="00A20C98" w:rsidP="002E5374">
      <w:pPr>
        <w:pStyle w:val="Heading1"/>
        <w:numPr>
          <w:ilvl w:val="0"/>
          <w:numId w:val="15"/>
        </w:numPr>
        <w:tabs>
          <w:tab w:val="left" w:pos="938"/>
        </w:tabs>
        <w:ind w:left="937"/>
        <w:jc w:val="both"/>
        <w:rPr>
          <w:b w:val="0"/>
          <w:bCs w:val="0"/>
        </w:rPr>
      </w:pPr>
      <w:r w:rsidRPr="00A20C98">
        <w:rPr>
          <w:bCs w:val="0"/>
          <w:spacing w:val="-1"/>
        </w:rPr>
        <w:t>MACRO-ECONOMIC SITUATION DURING THE PERIOD 2016-2020</w:t>
      </w:r>
    </w:p>
    <w:p w14:paraId="1F74E314" w14:textId="77777777" w:rsidR="00962D10" w:rsidRDefault="008D75AF" w:rsidP="002E5374">
      <w:pPr>
        <w:tabs>
          <w:tab w:val="left" w:pos="838"/>
        </w:tabs>
        <w:spacing w:before="44"/>
        <w:ind w:left="477" w:right="759"/>
        <w:jc w:val="both"/>
        <w:rPr>
          <w:rFonts w:ascii="Cambria" w:eastAsia="Cambria" w:hAnsi="Cambria" w:cs="Cambria"/>
          <w:sz w:val="24"/>
          <w:szCs w:val="24"/>
        </w:rPr>
      </w:pPr>
      <w:r>
        <w:rPr>
          <w:rFonts w:ascii="Calibri"/>
          <w:color w:val="252525"/>
          <w:spacing w:val="-1"/>
          <w:sz w:val="28"/>
        </w:rPr>
        <w:t>(SOURCE:</w:t>
      </w:r>
      <w:r>
        <w:rPr>
          <w:rFonts w:ascii="Calibri"/>
          <w:color w:val="252525"/>
          <w:spacing w:val="-2"/>
          <w:sz w:val="28"/>
        </w:rPr>
        <w:t xml:space="preserve"> </w:t>
      </w:r>
      <w:r>
        <w:rPr>
          <w:rFonts w:ascii="Calibri"/>
          <w:color w:val="252525"/>
          <w:sz w:val="28"/>
        </w:rPr>
        <w:t>National</w:t>
      </w:r>
      <w:r>
        <w:rPr>
          <w:rFonts w:ascii="Calibri"/>
          <w:color w:val="252525"/>
          <w:spacing w:val="-2"/>
          <w:sz w:val="28"/>
        </w:rPr>
        <w:t xml:space="preserve"> </w:t>
      </w:r>
      <w:r>
        <w:rPr>
          <w:rFonts w:ascii="Calibri"/>
          <w:color w:val="252525"/>
          <w:spacing w:val="-1"/>
          <w:sz w:val="28"/>
        </w:rPr>
        <w:t>Reform</w:t>
      </w:r>
      <w:r>
        <w:rPr>
          <w:rFonts w:ascii="Calibri"/>
          <w:color w:val="252525"/>
          <w:spacing w:val="-2"/>
          <w:sz w:val="28"/>
        </w:rPr>
        <w:t xml:space="preserve"> </w:t>
      </w:r>
      <w:r>
        <w:rPr>
          <w:rFonts w:ascii="Calibri"/>
          <w:color w:val="252525"/>
          <w:spacing w:val="-1"/>
          <w:sz w:val="28"/>
        </w:rPr>
        <w:t>Program</w:t>
      </w:r>
      <w:r>
        <w:rPr>
          <w:rFonts w:ascii="Calibri"/>
          <w:color w:val="252525"/>
          <w:spacing w:val="-2"/>
          <w:sz w:val="28"/>
        </w:rPr>
        <w:t xml:space="preserve"> </w:t>
      </w:r>
      <w:r>
        <w:rPr>
          <w:rFonts w:ascii="Calibri"/>
          <w:color w:val="252525"/>
          <w:spacing w:val="-1"/>
          <w:sz w:val="28"/>
        </w:rPr>
        <w:t>2015</w:t>
      </w:r>
      <w:r>
        <w:rPr>
          <w:rFonts w:ascii="Calibri"/>
          <w:color w:val="252525"/>
          <w:spacing w:val="1"/>
          <w:sz w:val="28"/>
        </w:rPr>
        <w:t xml:space="preserve"> </w:t>
      </w:r>
      <w:r>
        <w:rPr>
          <w:rFonts w:ascii="Calibri"/>
          <w:color w:val="252525"/>
          <w:sz w:val="28"/>
        </w:rPr>
        <w:t>-</w:t>
      </w:r>
      <w:r>
        <w:rPr>
          <w:rFonts w:ascii="Calibri"/>
          <w:color w:val="252525"/>
          <w:spacing w:val="-1"/>
          <w:sz w:val="28"/>
        </w:rPr>
        <w:t xml:space="preserve"> Contribution</w:t>
      </w:r>
      <w:r>
        <w:rPr>
          <w:rFonts w:ascii="Calibri"/>
          <w:color w:val="252525"/>
          <w:spacing w:val="-2"/>
          <w:sz w:val="28"/>
        </w:rPr>
        <w:t xml:space="preserve"> </w:t>
      </w:r>
      <w:r>
        <w:rPr>
          <w:rFonts w:ascii="Calibri"/>
          <w:color w:val="252525"/>
          <w:sz w:val="28"/>
        </w:rPr>
        <w:t xml:space="preserve">to </w:t>
      </w:r>
      <w:r>
        <w:rPr>
          <w:rFonts w:ascii="Calibri"/>
          <w:color w:val="252525"/>
          <w:spacing w:val="-2"/>
          <w:sz w:val="28"/>
        </w:rPr>
        <w:t>the</w:t>
      </w:r>
      <w:r>
        <w:rPr>
          <w:rFonts w:ascii="Calibri"/>
          <w:color w:val="252525"/>
          <w:sz w:val="28"/>
        </w:rPr>
        <w:t xml:space="preserve"> </w:t>
      </w:r>
      <w:r>
        <w:rPr>
          <w:rFonts w:ascii="Calibri"/>
          <w:color w:val="252525"/>
          <w:spacing w:val="-1"/>
          <w:sz w:val="28"/>
        </w:rPr>
        <w:t>Europe</w:t>
      </w:r>
      <w:r>
        <w:rPr>
          <w:rFonts w:ascii="Calibri"/>
          <w:color w:val="252525"/>
          <w:spacing w:val="-2"/>
          <w:sz w:val="28"/>
        </w:rPr>
        <w:t xml:space="preserve"> </w:t>
      </w:r>
      <w:r>
        <w:rPr>
          <w:rFonts w:ascii="Calibri"/>
          <w:color w:val="252525"/>
          <w:spacing w:val="-1"/>
          <w:sz w:val="28"/>
        </w:rPr>
        <w:t>2020</w:t>
      </w:r>
      <w:r>
        <w:rPr>
          <w:rFonts w:ascii="Calibri"/>
          <w:color w:val="252525"/>
          <w:spacing w:val="37"/>
          <w:sz w:val="28"/>
        </w:rPr>
        <w:t xml:space="preserve"> </w:t>
      </w:r>
      <w:r>
        <w:rPr>
          <w:rFonts w:ascii="Calibri"/>
          <w:color w:val="252525"/>
          <w:spacing w:val="-1"/>
          <w:sz w:val="28"/>
        </w:rPr>
        <w:t>strategy</w:t>
      </w:r>
      <w:r>
        <w:rPr>
          <w:rFonts w:ascii="Calibri"/>
          <w:color w:val="252525"/>
          <w:spacing w:val="-36"/>
          <w:sz w:val="28"/>
        </w:rPr>
        <w:t xml:space="preserve"> </w:t>
      </w:r>
      <w:hyperlink r:id="rId10">
        <w:r>
          <w:rPr>
            <w:rFonts w:ascii="Cambria"/>
            <w:color w:val="0000FF"/>
            <w:spacing w:val="-1"/>
            <w:sz w:val="24"/>
            <w:u w:val="single" w:color="0000FF"/>
          </w:rPr>
          <w:t>Http://ec.europa.eu/europe2020/pdf/csr2016/cr2016_italy_en.pdf</w:t>
        </w:r>
        <w:r>
          <w:rPr>
            <w:rFonts w:ascii="Cambria"/>
            <w:color w:val="0000FF"/>
            <w:spacing w:val="-23"/>
            <w:sz w:val="24"/>
            <w:u w:val="single" w:color="0000FF"/>
          </w:rPr>
          <w:t xml:space="preserve"> </w:t>
        </w:r>
      </w:hyperlink>
      <w:r>
        <w:rPr>
          <w:rFonts w:ascii="Cambria"/>
          <w:sz w:val="24"/>
        </w:rPr>
        <w:t>)</w:t>
      </w:r>
    </w:p>
    <w:p w14:paraId="62383C06" w14:textId="77777777" w:rsidR="00962D10" w:rsidRDefault="00962D10" w:rsidP="002E5374">
      <w:pPr>
        <w:spacing w:before="6"/>
        <w:jc w:val="both"/>
        <w:rPr>
          <w:rFonts w:ascii="Cambria" w:eastAsia="Cambria" w:hAnsi="Cambria" w:cs="Cambria"/>
          <w:sz w:val="9"/>
          <w:szCs w:val="9"/>
        </w:rPr>
      </w:pPr>
    </w:p>
    <w:p w14:paraId="22639024" w14:textId="77777777" w:rsidR="00962D10" w:rsidRPr="00430383" w:rsidRDefault="008D75AF" w:rsidP="00D40779">
      <w:pPr>
        <w:pStyle w:val="BodyText"/>
        <w:spacing w:line="311" w:lineRule="exact"/>
        <w:ind w:left="0"/>
        <w:jc w:val="both"/>
        <w:rPr>
          <w:rFonts w:ascii="Helvetica Neue" w:eastAsiaTheme="minorEastAsia" w:hAnsi="Helvetica Neue" w:cs="Times New Roman"/>
        </w:rPr>
      </w:pPr>
      <w:r w:rsidRPr="00430383">
        <w:rPr>
          <w:rFonts w:ascii="Helvetica Neue" w:eastAsiaTheme="minorEastAsia" w:hAnsi="Helvetica Neue" w:cs="Times New Roman"/>
        </w:rPr>
        <w:t>Executive Summary of the Italian National Programme 2015:</w:t>
      </w:r>
    </w:p>
    <w:p w14:paraId="609D8660" w14:textId="77777777" w:rsidR="00962D10" w:rsidRPr="00430383" w:rsidRDefault="008D75AF" w:rsidP="00D40779">
      <w:pPr>
        <w:pStyle w:val="BodyText"/>
        <w:spacing w:before="119" w:line="238" w:lineRule="auto"/>
        <w:ind w:left="0"/>
        <w:jc w:val="both"/>
        <w:rPr>
          <w:rFonts w:ascii="Helvetica Neue" w:eastAsiaTheme="minorEastAsia" w:hAnsi="Helvetica Neue" w:cs="Times New Roman"/>
        </w:rPr>
      </w:pPr>
      <w:r w:rsidRPr="00430383">
        <w:rPr>
          <w:rFonts w:ascii="Helvetica Neue" w:eastAsiaTheme="minorEastAsia" w:hAnsi="Helvetica Neue" w:cs="Times New Roman"/>
        </w:rPr>
        <w:t>Italy entered the crisis with long-standing structural weaknesses. During the decade leading up to the crisis, deeply rooted structural weaknesses significantly constrained Italy’s growth potential; Italy’s annual real GDP growth averaged 1.5 %, around 2/3 percentage points below the euro area average, due primarily to sluggish total factor productivity. The high public debt ratio and the negative and worsening current account balance further limited the Italian economy’s capacity to withstand the negative economic shock.</w:t>
      </w:r>
    </w:p>
    <w:p w14:paraId="1638EDCA" w14:textId="77777777" w:rsidR="00962D10" w:rsidRPr="00430383" w:rsidRDefault="008D75AF" w:rsidP="00D40779">
      <w:pPr>
        <w:pStyle w:val="BodyText"/>
        <w:spacing w:before="119" w:line="238" w:lineRule="auto"/>
        <w:ind w:left="0"/>
        <w:jc w:val="both"/>
        <w:rPr>
          <w:rFonts w:ascii="Helvetica Neue" w:eastAsiaTheme="minorEastAsia" w:hAnsi="Helvetica Neue" w:cs="Times New Roman"/>
        </w:rPr>
      </w:pPr>
      <w:r w:rsidRPr="00430383">
        <w:rPr>
          <w:rFonts w:ascii="Helvetica Neue" w:eastAsiaTheme="minorEastAsia" w:hAnsi="Helvetica Neue" w:cs="Times New Roman"/>
        </w:rPr>
        <w:t xml:space="preserve">The legacy of the crisis constitutes a challenging starting point. Despite significant measures taken at the national and European level, the economy continued to contract until 2014. In 2015, Italy’s real GDP had fallen back to the early 2000s levels, while the euro area GDP was more than 10 % higher. Investment fell sharply and more deeply than in the rest of the euro area on average. Unemployment and long-term unemployment increased substantially, while total factor productivity continued to decline and the participation rate remained among the lowest in the EU. As a result, Italy’s gap in potential growth </w:t>
      </w:r>
      <w:proofErr w:type="spellStart"/>
      <w:r w:rsidRPr="00430383">
        <w:rPr>
          <w:rFonts w:ascii="Helvetica Neue" w:eastAsiaTheme="minorEastAsia" w:hAnsi="Helvetica Neue" w:cs="Times New Roman"/>
        </w:rPr>
        <w:t>vis</w:t>
      </w:r>
      <w:proofErr w:type="spellEnd"/>
      <w:r w:rsidRPr="00430383">
        <w:rPr>
          <w:rFonts w:ascii="Helvetica Neue" w:eastAsiaTheme="minorEastAsia" w:hAnsi="Helvetica Neue" w:cs="Times New Roman"/>
        </w:rPr>
        <w:t xml:space="preserve">-à- </w:t>
      </w:r>
      <w:proofErr w:type="spellStart"/>
      <w:proofErr w:type="gramStart"/>
      <w:r w:rsidRPr="00430383">
        <w:rPr>
          <w:rFonts w:ascii="Helvetica Neue" w:eastAsiaTheme="minorEastAsia" w:hAnsi="Helvetica Neue" w:cs="Times New Roman"/>
        </w:rPr>
        <w:t>vis</w:t>
      </w:r>
      <w:proofErr w:type="spellEnd"/>
      <w:proofErr w:type="gramEnd"/>
      <w:r w:rsidRPr="00430383">
        <w:rPr>
          <w:rFonts w:ascii="Helvetica Neue" w:eastAsiaTheme="minorEastAsia" w:hAnsi="Helvetica Neue" w:cs="Times New Roman"/>
        </w:rPr>
        <w:t xml:space="preserve"> the rest of the euro area widened. The public debt ratio increased to over 130 % of GDP in 2014 from around 100 % in 2007. Export market shares fell significantly until 2009 and competitiveness has not improved, thereafter, due to the slow responsiveness of wages and prices to the economic shock. While the financial sector proved to be relatively resilient during the global financial crisis, the prolonged recession led to the accumulation of a substantial stock of non-performing loans, weakening the banks’ capacity to support the recovery.</w:t>
      </w:r>
    </w:p>
    <w:p w14:paraId="21071ADA" w14:textId="77777777" w:rsidR="00962D10" w:rsidRPr="00430383" w:rsidRDefault="008D75AF" w:rsidP="00D40779">
      <w:pPr>
        <w:pStyle w:val="BodyText"/>
        <w:spacing w:before="143" w:line="346" w:lineRule="exact"/>
        <w:ind w:left="0"/>
        <w:jc w:val="both"/>
        <w:rPr>
          <w:rFonts w:ascii="Helvetica Neue" w:eastAsiaTheme="minorEastAsia" w:hAnsi="Helvetica Neue" w:cs="Times New Roman"/>
        </w:rPr>
      </w:pPr>
      <w:r w:rsidRPr="00430383">
        <w:rPr>
          <w:rFonts w:ascii="Helvetica Neue" w:eastAsiaTheme="minorEastAsia" w:hAnsi="Helvetica Neue" w:cs="Times New Roman"/>
        </w:rPr>
        <w:t xml:space="preserve">A gradual recovery started in 2015 but risks persist. Economic activity expanded slightly in 2015 and is set to strengthen in 2016 and 2017. </w:t>
      </w:r>
      <w:proofErr w:type="gramStart"/>
      <w:r w:rsidRPr="00430383">
        <w:rPr>
          <w:rFonts w:ascii="Helvetica Neue" w:eastAsiaTheme="minorEastAsia" w:hAnsi="Helvetica Neue" w:cs="Times New Roman"/>
        </w:rPr>
        <w:t>The positive outlook is backed by improving financing conditions and confidence, a supportive fiscal stance, better labour market prospects, and low oil prices</w:t>
      </w:r>
      <w:proofErr w:type="gramEnd"/>
      <w:r w:rsidRPr="00430383">
        <w:rPr>
          <w:rFonts w:ascii="Helvetica Neue" w:eastAsiaTheme="minorEastAsia" w:hAnsi="Helvetica Neue" w:cs="Times New Roman"/>
        </w:rPr>
        <w:t>. However, the recovery is weaker than in the euro area as a whole and subject to downside risks. In particular, the slowdown in emerging markets and the recent financial market turmoil weigh on the outlook. Employment, both in headcount and hours worked, started to increase already in mid-2014 and the unemployment rate has been declining since end-2014.</w:t>
      </w:r>
    </w:p>
    <w:p w14:paraId="289DE714" w14:textId="77777777" w:rsidR="00962D10" w:rsidRPr="00430383" w:rsidRDefault="008D75AF" w:rsidP="00D40779">
      <w:pPr>
        <w:pStyle w:val="BodyText"/>
        <w:spacing w:before="96"/>
        <w:ind w:left="0"/>
        <w:jc w:val="both"/>
        <w:rPr>
          <w:rFonts w:ascii="Helvetica Neue" w:eastAsiaTheme="minorEastAsia" w:hAnsi="Helvetica Neue" w:cs="Times New Roman"/>
        </w:rPr>
      </w:pPr>
      <w:r w:rsidRPr="00430383">
        <w:rPr>
          <w:rFonts w:ascii="Helvetica Neue" w:eastAsiaTheme="minorEastAsia" w:hAnsi="Helvetica Neue" w:cs="Times New Roman"/>
        </w:rPr>
        <w:t>Structural weaknesses still hold back Italy’s capacity to grow and adjust to economic shocks. Productivity growth remains sluggish, mainly due to the continued presence of structural obstacles to the efficient</w:t>
      </w:r>
      <w:r w:rsidR="00D40779">
        <w:rPr>
          <w:rFonts w:ascii="Helvetica Neue" w:eastAsiaTheme="minorEastAsia" w:hAnsi="Helvetica Neue" w:cs="Times New Roman"/>
        </w:rPr>
        <w:t xml:space="preserve"> </w:t>
      </w:r>
      <w:r w:rsidRPr="00430383">
        <w:rPr>
          <w:rFonts w:ascii="Helvetica Neue" w:eastAsiaTheme="minorEastAsia" w:hAnsi="Helvetica Neue" w:cs="Times New Roman"/>
        </w:rPr>
        <w:t>allocation of resources within the economy. The resulting low growth makes the reduction of the high</w:t>
      </w:r>
      <w:r w:rsidR="00D40779">
        <w:rPr>
          <w:rFonts w:ascii="Helvetica Neue" w:eastAsiaTheme="minorEastAsia" w:hAnsi="Helvetica Neue" w:cs="Times New Roman"/>
        </w:rPr>
        <w:t xml:space="preserve"> </w:t>
      </w:r>
      <w:r w:rsidRPr="00430383">
        <w:rPr>
          <w:rFonts w:ascii="Helvetica Neue" w:eastAsiaTheme="minorEastAsia" w:hAnsi="Helvetica Neue" w:cs="Times New Roman"/>
        </w:rPr>
        <w:t>public debt and the recovery of competitiveness more challenging. In turn, the high public indebtedness continues to weigh on Italy’s economic performance and to expose the country to external shocks.</w:t>
      </w:r>
    </w:p>
    <w:p w14:paraId="4CB6A17D" w14:textId="77777777" w:rsidR="00962D10" w:rsidRPr="00430383" w:rsidRDefault="008D75AF" w:rsidP="00D40779">
      <w:pPr>
        <w:pStyle w:val="BodyText"/>
        <w:spacing w:before="98" w:line="238" w:lineRule="auto"/>
        <w:ind w:left="0"/>
        <w:jc w:val="both"/>
        <w:rPr>
          <w:rFonts w:ascii="Helvetica Neue" w:eastAsiaTheme="minorEastAsia" w:hAnsi="Helvetica Neue" w:cs="Times New Roman"/>
        </w:rPr>
      </w:pPr>
      <w:r w:rsidRPr="00430383">
        <w:rPr>
          <w:rFonts w:ascii="Helvetica Neue" w:eastAsiaTheme="minorEastAsia" w:hAnsi="Helvetica Neue" w:cs="Times New Roman"/>
        </w:rPr>
        <w:t xml:space="preserve">Overall, Italy has made some progress in addressing the 2015 country-specific recommendations. A comprehensive reform of the labour market was undertaken in 2015. Important measures were adopted to reform the governance of the banking sector and to address the stock of non-performing loans. The education sector was reformed with a view to better rewarding merit and strengthening work-based learning and vocational training. Measures to </w:t>
      </w:r>
      <w:proofErr w:type="gramStart"/>
      <w:r w:rsidRPr="00430383">
        <w:rPr>
          <w:rFonts w:ascii="Helvetica Neue" w:eastAsiaTheme="minorEastAsia" w:hAnsi="Helvetica Neue" w:cs="Times New Roman"/>
        </w:rPr>
        <w:t>reduce  the</w:t>
      </w:r>
      <w:proofErr w:type="gramEnd"/>
      <w:r w:rsidRPr="00430383">
        <w:rPr>
          <w:rFonts w:ascii="Helvetica Neue" w:eastAsiaTheme="minorEastAsia" w:hAnsi="Helvetica Neue" w:cs="Times New Roman"/>
        </w:rPr>
        <w:t xml:space="preserve">  administrative burden for  citizens and businesses were taken. Furthermore, the parliament is discussing a law on competition and has passed an enabling law for the reform of the public administration. While implementation of some reforms is still </w:t>
      </w:r>
      <w:proofErr w:type="gramStart"/>
      <w:r w:rsidRPr="00430383">
        <w:rPr>
          <w:rFonts w:ascii="Helvetica Neue" w:eastAsiaTheme="minorEastAsia" w:hAnsi="Helvetica Neue" w:cs="Times New Roman"/>
        </w:rPr>
        <w:t>on-going</w:t>
      </w:r>
      <w:proofErr w:type="gramEnd"/>
      <w:r w:rsidRPr="00430383">
        <w:rPr>
          <w:rFonts w:ascii="Helvetica Neue" w:eastAsiaTheme="minorEastAsia" w:hAnsi="Helvetica Neue" w:cs="Times New Roman"/>
        </w:rPr>
        <w:t xml:space="preserve">, these are important steps to address Italy's long-standing weaknesses. The full impact of these reforms may </w:t>
      </w:r>
      <w:proofErr w:type="spellStart"/>
      <w:r w:rsidRPr="00430383">
        <w:rPr>
          <w:rFonts w:ascii="Helvetica Neue" w:eastAsiaTheme="minorEastAsia" w:hAnsi="Helvetica Neue" w:cs="Times New Roman"/>
        </w:rPr>
        <w:t>materialise</w:t>
      </w:r>
      <w:proofErr w:type="spellEnd"/>
      <w:r w:rsidRPr="00430383">
        <w:rPr>
          <w:rFonts w:ascii="Helvetica Neue" w:eastAsiaTheme="minorEastAsia" w:hAnsi="Helvetica Neue" w:cs="Times New Roman"/>
        </w:rPr>
        <w:t xml:space="preserve"> only over time but early signs are positive. In some key areas there is scope for further action. Targets for spending review </w:t>
      </w:r>
      <w:r w:rsidRPr="00430383">
        <w:rPr>
          <w:rFonts w:ascii="Helvetica Neue" w:eastAsiaTheme="minorEastAsia" w:hAnsi="Helvetica Neue" w:cs="Times New Roman"/>
        </w:rPr>
        <w:lastRenderedPageBreak/>
        <w:t>savings have been further reduced. The cut to property taxes on first residences from 2016 is not consistent with repeated Council recommendations to shift taxation away from productive factors onto property and consumption, while key elements of the country-specific recommendations, such as the revision of cadastral values and of tax expenditures have not been implemented. Social partners have not yet found an agreement on the delayed reform of collective bargaining. Regarding the statute of limitations, the legislative process on the long-awaited systematic revision is not completed.</w:t>
      </w:r>
    </w:p>
    <w:p w14:paraId="155E0D3B" w14:textId="77777777" w:rsidR="00962D10" w:rsidRPr="00430383" w:rsidRDefault="008D75AF" w:rsidP="00D40779">
      <w:pPr>
        <w:pStyle w:val="BodyText"/>
        <w:spacing w:before="119" w:line="238" w:lineRule="auto"/>
        <w:ind w:left="0"/>
        <w:jc w:val="both"/>
        <w:rPr>
          <w:rFonts w:ascii="Helvetica Neue" w:eastAsiaTheme="minorEastAsia" w:hAnsi="Helvetica Neue" w:cs="Times New Roman"/>
        </w:rPr>
      </w:pPr>
      <w:r w:rsidRPr="00430383">
        <w:rPr>
          <w:rFonts w:ascii="Helvetica Neue" w:eastAsiaTheme="minorEastAsia" w:hAnsi="Helvetica Neue" w:cs="Times New Roman"/>
        </w:rPr>
        <w:t>Regarding the progress in reaching the national targets under the Europe 2020 Strategy, Italy has either reached or is making progress towards its targets on reducing greenhouse gas emissions, increasing the share of renewable energy, improving energy efficiency, reducing early school leaving and increasing the tertiary education attainment. More effort is needed regarding increasing the employment rate, investment in research and development and the fight against poverty and social exclusion.</w:t>
      </w:r>
    </w:p>
    <w:p w14:paraId="542E5B96" w14:textId="77777777" w:rsidR="00962D10" w:rsidRDefault="008D75AF" w:rsidP="002E5374">
      <w:pPr>
        <w:pStyle w:val="Heading2"/>
        <w:spacing w:before="162"/>
        <w:ind w:left="217" w:firstLine="0"/>
        <w:jc w:val="both"/>
        <w:rPr>
          <w:b w:val="0"/>
          <w:bCs w:val="0"/>
        </w:rPr>
      </w:pPr>
      <w:r>
        <w:t>AREAS</w:t>
      </w:r>
      <w:r>
        <w:rPr>
          <w:spacing w:val="-7"/>
        </w:rPr>
        <w:t xml:space="preserve"> </w:t>
      </w:r>
      <w:r>
        <w:t>FOR</w:t>
      </w:r>
      <w:r>
        <w:rPr>
          <w:spacing w:val="-6"/>
        </w:rPr>
        <w:t xml:space="preserve"> </w:t>
      </w:r>
      <w:r>
        <w:rPr>
          <w:spacing w:val="-1"/>
        </w:rPr>
        <w:t>REFORM</w:t>
      </w:r>
    </w:p>
    <w:p w14:paraId="117C6A74" w14:textId="77777777" w:rsidR="00962D10" w:rsidRPr="005F18F9" w:rsidRDefault="008D75AF" w:rsidP="002E5374">
      <w:pPr>
        <w:pStyle w:val="BodyText"/>
        <w:numPr>
          <w:ilvl w:val="0"/>
          <w:numId w:val="14"/>
        </w:numPr>
        <w:tabs>
          <w:tab w:val="left" w:pos="931"/>
        </w:tabs>
        <w:spacing w:before="75"/>
        <w:jc w:val="both"/>
        <w:rPr>
          <w:rFonts w:ascii="Helvetica Neue" w:eastAsiaTheme="minorEastAsia" w:hAnsi="Helvetica Neue" w:cs="Times New Roman"/>
          <w:lang w:val="it-IT"/>
        </w:rPr>
      </w:pPr>
      <w:r w:rsidRPr="005F18F9">
        <w:rPr>
          <w:rFonts w:ascii="Helvetica Neue" w:eastAsiaTheme="minorEastAsia" w:hAnsi="Helvetica Neue" w:cs="Times New Roman"/>
          <w:lang w:val="it-IT"/>
        </w:rPr>
        <w:t xml:space="preserve">Public </w:t>
      </w:r>
      <w:proofErr w:type="spellStart"/>
      <w:r w:rsidRPr="005F18F9">
        <w:rPr>
          <w:rFonts w:ascii="Helvetica Neue" w:eastAsiaTheme="minorEastAsia" w:hAnsi="Helvetica Neue" w:cs="Times New Roman"/>
          <w:lang w:val="it-IT"/>
        </w:rPr>
        <w:t>finances</w:t>
      </w:r>
      <w:proofErr w:type="spellEnd"/>
      <w:r w:rsidRPr="005F18F9">
        <w:rPr>
          <w:rFonts w:ascii="Helvetica Neue" w:eastAsiaTheme="minorEastAsia" w:hAnsi="Helvetica Neue" w:cs="Times New Roman"/>
          <w:lang w:val="it-IT"/>
        </w:rPr>
        <w:t xml:space="preserve"> and </w:t>
      </w:r>
      <w:proofErr w:type="spellStart"/>
      <w:r w:rsidRPr="005F18F9">
        <w:rPr>
          <w:rFonts w:ascii="Helvetica Neue" w:eastAsiaTheme="minorEastAsia" w:hAnsi="Helvetica Neue" w:cs="Times New Roman"/>
          <w:lang w:val="it-IT"/>
        </w:rPr>
        <w:t>taxation</w:t>
      </w:r>
      <w:proofErr w:type="spellEnd"/>
      <w:r w:rsidRPr="005F18F9">
        <w:rPr>
          <w:rFonts w:ascii="Helvetica Neue" w:eastAsiaTheme="minorEastAsia" w:hAnsi="Helvetica Neue" w:cs="Times New Roman"/>
          <w:lang w:val="it-IT"/>
        </w:rPr>
        <w:t>;</w:t>
      </w:r>
    </w:p>
    <w:p w14:paraId="6D0C9943" w14:textId="77777777" w:rsidR="00962D10" w:rsidRPr="00430383" w:rsidRDefault="008D75AF" w:rsidP="002E5374">
      <w:pPr>
        <w:pStyle w:val="BodyText"/>
        <w:numPr>
          <w:ilvl w:val="0"/>
          <w:numId w:val="14"/>
        </w:numPr>
        <w:tabs>
          <w:tab w:val="left" w:pos="938"/>
        </w:tabs>
        <w:spacing w:before="117"/>
        <w:ind w:left="937" w:hanging="360"/>
        <w:jc w:val="both"/>
        <w:rPr>
          <w:rFonts w:ascii="Helvetica Neue" w:eastAsiaTheme="minorEastAsia" w:hAnsi="Helvetica Neue" w:cs="Times New Roman"/>
        </w:rPr>
      </w:pPr>
      <w:r w:rsidRPr="00430383">
        <w:rPr>
          <w:rFonts w:ascii="Helvetica Neue" w:eastAsiaTheme="minorEastAsia" w:hAnsi="Helvetica Neue" w:cs="Times New Roman"/>
        </w:rPr>
        <w:t>Infrastructure investment and EU funds;</w:t>
      </w:r>
    </w:p>
    <w:p w14:paraId="1760973A" w14:textId="77777777" w:rsidR="00962D10" w:rsidRPr="00430383" w:rsidRDefault="008D75AF" w:rsidP="002E5374">
      <w:pPr>
        <w:pStyle w:val="BodyText"/>
        <w:numPr>
          <w:ilvl w:val="0"/>
          <w:numId w:val="14"/>
        </w:numPr>
        <w:tabs>
          <w:tab w:val="left" w:pos="938"/>
        </w:tabs>
        <w:spacing w:before="117"/>
        <w:ind w:left="937" w:hanging="360"/>
        <w:jc w:val="both"/>
        <w:rPr>
          <w:rFonts w:ascii="Helvetica Neue" w:eastAsiaTheme="minorEastAsia" w:hAnsi="Helvetica Neue" w:cs="Times New Roman"/>
        </w:rPr>
      </w:pPr>
      <w:r w:rsidRPr="00430383">
        <w:rPr>
          <w:rFonts w:ascii="Helvetica Neue" w:eastAsiaTheme="minorEastAsia" w:hAnsi="Helvetica Neue" w:cs="Times New Roman"/>
        </w:rPr>
        <w:t>Public administration and justice system;</w:t>
      </w:r>
    </w:p>
    <w:p w14:paraId="6F965785" w14:textId="77777777" w:rsidR="00962D10" w:rsidRPr="005F18F9" w:rsidRDefault="008D75AF" w:rsidP="002E5374">
      <w:pPr>
        <w:pStyle w:val="BodyText"/>
        <w:numPr>
          <w:ilvl w:val="0"/>
          <w:numId w:val="14"/>
        </w:numPr>
        <w:tabs>
          <w:tab w:val="left" w:pos="938"/>
        </w:tabs>
        <w:spacing w:before="117"/>
        <w:ind w:left="937" w:hanging="360"/>
        <w:jc w:val="both"/>
        <w:rPr>
          <w:rFonts w:ascii="Helvetica Neue" w:eastAsiaTheme="minorEastAsia" w:hAnsi="Helvetica Neue" w:cs="Times New Roman"/>
          <w:lang w:val="it-IT"/>
        </w:rPr>
      </w:pPr>
      <w:r w:rsidRPr="005F18F9">
        <w:rPr>
          <w:rFonts w:ascii="Helvetica Neue" w:eastAsiaTheme="minorEastAsia" w:hAnsi="Helvetica Neue" w:cs="Times New Roman"/>
          <w:lang w:val="it-IT"/>
        </w:rPr>
        <w:t xml:space="preserve">Financial </w:t>
      </w:r>
      <w:proofErr w:type="spellStart"/>
      <w:r w:rsidRPr="005F18F9">
        <w:rPr>
          <w:rFonts w:ascii="Helvetica Neue" w:eastAsiaTheme="minorEastAsia" w:hAnsi="Helvetica Neue" w:cs="Times New Roman"/>
          <w:lang w:val="it-IT"/>
        </w:rPr>
        <w:t>sector</w:t>
      </w:r>
      <w:proofErr w:type="spellEnd"/>
      <w:r w:rsidRPr="005F18F9">
        <w:rPr>
          <w:rFonts w:ascii="Helvetica Neue" w:eastAsiaTheme="minorEastAsia" w:hAnsi="Helvetica Neue" w:cs="Times New Roman"/>
          <w:lang w:val="it-IT"/>
        </w:rPr>
        <w:t>;</w:t>
      </w:r>
    </w:p>
    <w:tbl>
      <w:tblPr>
        <w:tblpPr w:leftFromText="180" w:rightFromText="180" w:vertAnchor="text" w:horzAnchor="page" w:tblpX="1241" w:tblpY="3213"/>
        <w:tblW w:w="9856" w:type="dxa"/>
        <w:tblLayout w:type="fixed"/>
        <w:tblCellMar>
          <w:left w:w="0" w:type="dxa"/>
          <w:right w:w="0" w:type="dxa"/>
        </w:tblCellMar>
        <w:tblLook w:val="01E0" w:firstRow="1" w:lastRow="1" w:firstColumn="1" w:lastColumn="1" w:noHBand="0" w:noVBand="0"/>
      </w:tblPr>
      <w:tblGrid>
        <w:gridCol w:w="5997"/>
        <w:gridCol w:w="1286"/>
        <w:gridCol w:w="1287"/>
        <w:gridCol w:w="1286"/>
      </w:tblGrid>
      <w:tr w:rsidR="005A26EC" w14:paraId="33FA461F" w14:textId="77777777" w:rsidTr="005A26EC">
        <w:trPr>
          <w:trHeight w:hRule="exact" w:val="435"/>
        </w:trPr>
        <w:tc>
          <w:tcPr>
            <w:tcW w:w="5997" w:type="dxa"/>
            <w:tcBorders>
              <w:top w:val="single" w:sz="4" w:space="0" w:color="000000"/>
              <w:left w:val="single" w:sz="5" w:space="0" w:color="000000"/>
              <w:bottom w:val="single" w:sz="5" w:space="0" w:color="000000"/>
              <w:right w:val="single" w:sz="4" w:space="0" w:color="000000"/>
            </w:tcBorders>
          </w:tcPr>
          <w:p w14:paraId="75A88625" w14:textId="77777777" w:rsidR="005A26EC" w:rsidRDefault="005A26EC" w:rsidP="005A26EC">
            <w:pPr>
              <w:pStyle w:val="TableParagraph"/>
              <w:spacing w:before="75"/>
              <w:ind w:left="102"/>
              <w:jc w:val="both"/>
              <w:rPr>
                <w:rFonts w:ascii="Calibri" w:eastAsia="Calibri" w:hAnsi="Calibri" w:cs="Calibri"/>
              </w:rPr>
            </w:pPr>
            <w:r>
              <w:rPr>
                <w:rFonts w:ascii="Calibri"/>
                <w:spacing w:val="-1"/>
              </w:rPr>
              <w:t>Renewable</w:t>
            </w:r>
            <w:r>
              <w:rPr>
                <w:rFonts w:ascii="Calibri"/>
              </w:rPr>
              <w:t xml:space="preserve"> </w:t>
            </w:r>
            <w:r>
              <w:rPr>
                <w:rFonts w:ascii="Calibri"/>
                <w:spacing w:val="-1"/>
              </w:rPr>
              <w:t>energy</w:t>
            </w:r>
            <w:r>
              <w:rPr>
                <w:rFonts w:ascii="Calibri"/>
              </w:rPr>
              <w:t xml:space="preserve"> (in</w:t>
            </w:r>
            <w:r>
              <w:rPr>
                <w:rFonts w:ascii="Calibri"/>
                <w:spacing w:val="-3"/>
              </w:rPr>
              <w:t xml:space="preserve"> </w:t>
            </w:r>
            <w:r>
              <w:rPr>
                <w:rFonts w:ascii="Calibri"/>
              </w:rPr>
              <w:t>%</w:t>
            </w:r>
            <w:r>
              <w:rPr>
                <w:rFonts w:ascii="Calibri"/>
                <w:spacing w:val="-2"/>
              </w:rPr>
              <w:t xml:space="preserve"> </w:t>
            </w:r>
            <w:r>
              <w:rPr>
                <w:rFonts w:ascii="Calibri"/>
              </w:rPr>
              <w:t>of</w:t>
            </w:r>
            <w:r>
              <w:rPr>
                <w:rFonts w:ascii="Calibri"/>
                <w:spacing w:val="-2"/>
              </w:rPr>
              <w:t xml:space="preserve"> </w:t>
            </w:r>
            <w:r>
              <w:rPr>
                <w:rFonts w:ascii="Calibri"/>
                <w:spacing w:val="-1"/>
              </w:rPr>
              <w:t>gross</w:t>
            </w:r>
            <w:r>
              <w:rPr>
                <w:rFonts w:ascii="Calibri"/>
              </w:rPr>
              <w:t xml:space="preserve"> </w:t>
            </w:r>
            <w:r>
              <w:rPr>
                <w:rFonts w:ascii="Calibri"/>
                <w:spacing w:val="-1"/>
              </w:rPr>
              <w:t>final</w:t>
            </w:r>
            <w:r>
              <w:rPr>
                <w:rFonts w:ascii="Calibri"/>
                <w:spacing w:val="-2"/>
              </w:rPr>
              <w:t xml:space="preserve"> </w:t>
            </w:r>
            <w:r>
              <w:rPr>
                <w:rFonts w:ascii="Calibri"/>
                <w:spacing w:val="-1"/>
              </w:rPr>
              <w:t>energy</w:t>
            </w:r>
            <w:r>
              <w:rPr>
                <w:rFonts w:ascii="Calibri"/>
                <w:spacing w:val="-2"/>
              </w:rPr>
              <w:t xml:space="preserve"> </w:t>
            </w:r>
            <w:r>
              <w:rPr>
                <w:rFonts w:ascii="Calibri"/>
                <w:spacing w:val="-1"/>
              </w:rPr>
              <w:t>consumption)</w:t>
            </w:r>
          </w:p>
        </w:tc>
        <w:tc>
          <w:tcPr>
            <w:tcW w:w="1286" w:type="dxa"/>
            <w:tcBorders>
              <w:top w:val="single" w:sz="4" w:space="0" w:color="000000"/>
              <w:left w:val="single" w:sz="4" w:space="0" w:color="000000"/>
              <w:bottom w:val="single" w:sz="5" w:space="0" w:color="000000"/>
              <w:right w:val="single" w:sz="4" w:space="0" w:color="000000"/>
            </w:tcBorders>
          </w:tcPr>
          <w:p w14:paraId="5D2F2AF5" w14:textId="77777777" w:rsidR="005A26EC" w:rsidRDefault="005A26EC" w:rsidP="005A26EC">
            <w:pPr>
              <w:pStyle w:val="TableParagraph"/>
              <w:spacing w:before="75"/>
              <w:ind w:left="99"/>
              <w:jc w:val="both"/>
              <w:rPr>
                <w:rFonts w:ascii="Calibri" w:eastAsia="Calibri" w:hAnsi="Calibri" w:cs="Calibri"/>
              </w:rPr>
            </w:pPr>
            <w:r>
              <w:rPr>
                <w:rFonts w:ascii="Calibri"/>
              </w:rPr>
              <w:t>20</w:t>
            </w:r>
            <w:r>
              <w:rPr>
                <w:rFonts w:ascii="Calibri"/>
                <w:spacing w:val="-1"/>
              </w:rPr>
              <w:t xml:space="preserve"> </w:t>
            </w:r>
            <w:r>
              <w:rPr>
                <w:rFonts w:ascii="Calibri"/>
              </w:rPr>
              <w:t>%</w:t>
            </w:r>
          </w:p>
        </w:tc>
        <w:tc>
          <w:tcPr>
            <w:tcW w:w="1287" w:type="dxa"/>
            <w:tcBorders>
              <w:top w:val="single" w:sz="4" w:space="0" w:color="000000"/>
              <w:left w:val="single" w:sz="4" w:space="0" w:color="000000"/>
              <w:bottom w:val="single" w:sz="5" w:space="0" w:color="000000"/>
              <w:right w:val="single" w:sz="4" w:space="0" w:color="000000"/>
            </w:tcBorders>
          </w:tcPr>
          <w:p w14:paraId="758FDA08" w14:textId="77777777" w:rsidR="005A26EC" w:rsidRDefault="005A26EC" w:rsidP="005A26EC">
            <w:pPr>
              <w:pStyle w:val="TableParagraph"/>
              <w:spacing w:before="75"/>
              <w:ind w:left="99"/>
              <w:jc w:val="both"/>
              <w:rPr>
                <w:rFonts w:ascii="Calibri" w:eastAsia="Calibri" w:hAnsi="Calibri" w:cs="Calibri"/>
              </w:rPr>
            </w:pPr>
            <w:r>
              <w:rPr>
                <w:rFonts w:ascii="Calibri"/>
                <w:spacing w:val="-1"/>
              </w:rPr>
              <w:t>16,7</w:t>
            </w:r>
            <w:r>
              <w:rPr>
                <w:rFonts w:ascii="Calibri"/>
              </w:rPr>
              <w:t xml:space="preserve"> %</w:t>
            </w:r>
          </w:p>
        </w:tc>
        <w:tc>
          <w:tcPr>
            <w:tcW w:w="1286" w:type="dxa"/>
            <w:tcBorders>
              <w:top w:val="single" w:sz="4" w:space="0" w:color="000000"/>
              <w:left w:val="single" w:sz="4" w:space="0" w:color="000000"/>
              <w:bottom w:val="single" w:sz="5" w:space="0" w:color="000000"/>
              <w:right w:val="single" w:sz="5" w:space="0" w:color="000000"/>
            </w:tcBorders>
          </w:tcPr>
          <w:p w14:paraId="2AAC6DBA" w14:textId="77777777" w:rsidR="005A26EC" w:rsidRDefault="005A26EC" w:rsidP="005A26EC">
            <w:pPr>
              <w:pStyle w:val="TableParagraph"/>
              <w:spacing w:before="75"/>
              <w:ind w:left="102"/>
              <w:jc w:val="both"/>
              <w:rPr>
                <w:rFonts w:ascii="Calibri" w:eastAsia="Calibri" w:hAnsi="Calibri" w:cs="Calibri"/>
              </w:rPr>
            </w:pPr>
            <w:r>
              <w:rPr>
                <w:rFonts w:ascii="Calibri"/>
              </w:rPr>
              <w:t>17</w:t>
            </w:r>
            <w:r>
              <w:rPr>
                <w:rFonts w:ascii="Calibri"/>
                <w:spacing w:val="-2"/>
              </w:rPr>
              <w:t xml:space="preserve"> </w:t>
            </w:r>
            <w:r>
              <w:rPr>
                <w:rFonts w:ascii="Calibri"/>
              </w:rPr>
              <w:t>%</w:t>
            </w:r>
          </w:p>
        </w:tc>
      </w:tr>
      <w:tr w:rsidR="005A26EC" w14:paraId="4C5C8FA1" w14:textId="77777777" w:rsidTr="005A26EC">
        <w:trPr>
          <w:trHeight w:hRule="exact" w:val="634"/>
        </w:trPr>
        <w:tc>
          <w:tcPr>
            <w:tcW w:w="5997" w:type="dxa"/>
            <w:tcBorders>
              <w:top w:val="single" w:sz="5" w:space="0" w:color="000000"/>
              <w:left w:val="single" w:sz="5" w:space="0" w:color="000000"/>
              <w:bottom w:val="single" w:sz="5" w:space="0" w:color="000000"/>
              <w:right w:val="single" w:sz="4" w:space="0" w:color="000000"/>
            </w:tcBorders>
          </w:tcPr>
          <w:p w14:paraId="2360ED07" w14:textId="77777777" w:rsidR="005A26EC" w:rsidRDefault="005A26EC" w:rsidP="005A26EC">
            <w:pPr>
              <w:pStyle w:val="TableParagraph"/>
              <w:spacing w:before="173"/>
              <w:ind w:left="102"/>
              <w:jc w:val="both"/>
              <w:rPr>
                <w:rFonts w:ascii="Calibri" w:eastAsia="Calibri" w:hAnsi="Calibri" w:cs="Calibri"/>
              </w:rPr>
            </w:pPr>
            <w:r>
              <w:rPr>
                <w:rFonts w:ascii="Calibri"/>
                <w:spacing w:val="-1"/>
              </w:rPr>
              <w:t>Energy</w:t>
            </w:r>
            <w:r>
              <w:rPr>
                <w:rFonts w:ascii="Calibri"/>
                <w:spacing w:val="-2"/>
              </w:rPr>
              <w:t xml:space="preserve"> </w:t>
            </w:r>
            <w:r>
              <w:rPr>
                <w:rFonts w:ascii="Calibri"/>
                <w:spacing w:val="-1"/>
              </w:rPr>
              <w:t>efficiency</w:t>
            </w:r>
          </w:p>
        </w:tc>
        <w:tc>
          <w:tcPr>
            <w:tcW w:w="1286" w:type="dxa"/>
            <w:tcBorders>
              <w:top w:val="single" w:sz="5" w:space="0" w:color="000000"/>
              <w:left w:val="single" w:sz="4" w:space="0" w:color="000000"/>
              <w:bottom w:val="single" w:sz="5" w:space="0" w:color="000000"/>
              <w:right w:val="single" w:sz="4" w:space="0" w:color="000000"/>
            </w:tcBorders>
          </w:tcPr>
          <w:p w14:paraId="5871F03F" w14:textId="77777777" w:rsidR="005A26EC" w:rsidRDefault="005A26EC" w:rsidP="005A26EC">
            <w:pPr>
              <w:pStyle w:val="TableParagraph"/>
              <w:spacing w:before="149"/>
              <w:ind w:left="99"/>
              <w:jc w:val="both"/>
              <w:rPr>
                <w:rFonts w:ascii="Calibri" w:eastAsia="Calibri" w:hAnsi="Calibri" w:cs="Calibri"/>
                <w:sz w:val="14"/>
                <w:szCs w:val="14"/>
              </w:rPr>
            </w:pPr>
            <w:r>
              <w:rPr>
                <w:rFonts w:ascii="Calibri"/>
              </w:rPr>
              <w:t>20</w:t>
            </w:r>
            <w:r>
              <w:rPr>
                <w:rFonts w:ascii="Calibri"/>
                <w:spacing w:val="-2"/>
              </w:rPr>
              <w:t xml:space="preserve"> </w:t>
            </w:r>
            <w:r>
              <w:rPr>
                <w:rFonts w:ascii="Calibri"/>
              </w:rPr>
              <w:t>%</w:t>
            </w:r>
            <w:r>
              <w:rPr>
                <w:rStyle w:val="FootnoteReference"/>
                <w:rFonts w:ascii="Calibri"/>
              </w:rPr>
              <w:footnoteReference w:id="1"/>
            </w:r>
          </w:p>
        </w:tc>
        <w:tc>
          <w:tcPr>
            <w:tcW w:w="1287" w:type="dxa"/>
            <w:tcBorders>
              <w:top w:val="single" w:sz="5" w:space="0" w:color="000000"/>
              <w:left w:val="single" w:sz="4" w:space="0" w:color="000000"/>
              <w:bottom w:val="single" w:sz="5" w:space="0" w:color="000000"/>
              <w:right w:val="single" w:sz="4" w:space="0" w:color="000000"/>
            </w:tcBorders>
          </w:tcPr>
          <w:p w14:paraId="261A7E66" w14:textId="77777777" w:rsidR="005A26EC" w:rsidRDefault="005A26EC" w:rsidP="005A26EC">
            <w:pPr>
              <w:pStyle w:val="TableParagraph"/>
              <w:spacing w:before="39"/>
              <w:ind w:left="99"/>
              <w:jc w:val="both"/>
              <w:rPr>
                <w:rFonts w:ascii="Calibri" w:eastAsia="Calibri" w:hAnsi="Calibri" w:cs="Calibri"/>
              </w:rPr>
            </w:pPr>
            <w:r>
              <w:rPr>
                <w:rFonts w:ascii="Calibri"/>
                <w:spacing w:val="-1"/>
              </w:rPr>
              <w:t>153.7</w:t>
            </w:r>
          </w:p>
          <w:p w14:paraId="616FDCE7" w14:textId="77777777" w:rsidR="005A26EC" w:rsidRDefault="005A26EC" w:rsidP="005A26EC">
            <w:pPr>
              <w:pStyle w:val="TableParagraph"/>
              <w:ind w:left="99"/>
              <w:jc w:val="both"/>
              <w:rPr>
                <w:rFonts w:ascii="Calibri" w:eastAsia="Calibri" w:hAnsi="Calibri" w:cs="Calibri"/>
              </w:rPr>
            </w:pPr>
            <w:r>
              <w:rPr>
                <w:rFonts w:ascii="Calibri"/>
                <w:spacing w:val="-1"/>
              </w:rPr>
              <w:t>(</w:t>
            </w:r>
            <w:proofErr w:type="gramStart"/>
            <w:r>
              <w:rPr>
                <w:rFonts w:ascii="Calibri"/>
                <w:spacing w:val="-1"/>
              </w:rPr>
              <w:t>primary</w:t>
            </w:r>
            <w:proofErr w:type="gramEnd"/>
            <w:r>
              <w:rPr>
                <w:rFonts w:ascii="Calibri"/>
                <w:spacing w:val="-1"/>
              </w:rPr>
              <w:t>)</w:t>
            </w:r>
          </w:p>
        </w:tc>
        <w:tc>
          <w:tcPr>
            <w:tcW w:w="1286" w:type="dxa"/>
            <w:tcBorders>
              <w:top w:val="single" w:sz="5" w:space="0" w:color="000000"/>
              <w:left w:val="single" w:sz="4" w:space="0" w:color="000000"/>
              <w:bottom w:val="single" w:sz="5" w:space="0" w:color="000000"/>
              <w:right w:val="single" w:sz="5" w:space="0" w:color="000000"/>
            </w:tcBorders>
          </w:tcPr>
          <w:p w14:paraId="1B7A7F8F" w14:textId="77777777" w:rsidR="005A26EC" w:rsidRDefault="005A26EC" w:rsidP="005A26EC">
            <w:pPr>
              <w:pStyle w:val="TableParagraph"/>
              <w:spacing w:before="39"/>
              <w:ind w:left="102"/>
              <w:jc w:val="both"/>
              <w:rPr>
                <w:rFonts w:ascii="Calibri" w:eastAsia="Calibri" w:hAnsi="Calibri" w:cs="Calibri"/>
              </w:rPr>
            </w:pPr>
            <w:r>
              <w:rPr>
                <w:rFonts w:ascii="Calibri"/>
                <w:spacing w:val="-1"/>
              </w:rPr>
              <w:t>158</w:t>
            </w:r>
          </w:p>
          <w:p w14:paraId="457C4B2B" w14:textId="77777777" w:rsidR="005A26EC" w:rsidRDefault="005A26EC" w:rsidP="005A26EC">
            <w:pPr>
              <w:pStyle w:val="TableParagraph"/>
              <w:ind w:left="102"/>
              <w:jc w:val="both"/>
              <w:rPr>
                <w:rFonts w:ascii="Calibri" w:eastAsia="Calibri" w:hAnsi="Calibri" w:cs="Calibri"/>
              </w:rPr>
            </w:pPr>
            <w:r>
              <w:rPr>
                <w:rFonts w:ascii="Calibri"/>
                <w:spacing w:val="-1"/>
              </w:rPr>
              <w:t>(</w:t>
            </w:r>
            <w:proofErr w:type="gramStart"/>
            <w:r>
              <w:rPr>
                <w:rFonts w:ascii="Calibri"/>
                <w:spacing w:val="-1"/>
              </w:rPr>
              <w:t>primary</w:t>
            </w:r>
            <w:proofErr w:type="gramEnd"/>
            <w:r>
              <w:rPr>
                <w:rFonts w:ascii="Calibri"/>
                <w:spacing w:val="-1"/>
              </w:rPr>
              <w:t>)</w:t>
            </w:r>
          </w:p>
        </w:tc>
      </w:tr>
      <w:tr w:rsidR="005A26EC" w14:paraId="1A7DB4AA" w14:textId="77777777" w:rsidTr="005A26EC">
        <w:trPr>
          <w:trHeight w:hRule="exact" w:val="398"/>
        </w:trPr>
        <w:tc>
          <w:tcPr>
            <w:tcW w:w="5997" w:type="dxa"/>
            <w:tcBorders>
              <w:top w:val="single" w:sz="5" w:space="0" w:color="000000"/>
              <w:left w:val="single" w:sz="5" w:space="0" w:color="000000"/>
              <w:bottom w:val="single" w:sz="5" w:space="0" w:color="000000"/>
              <w:right w:val="single" w:sz="4" w:space="0" w:color="000000"/>
            </w:tcBorders>
          </w:tcPr>
          <w:p w14:paraId="15FEF99E" w14:textId="77777777" w:rsidR="005A26EC" w:rsidRDefault="005A26EC" w:rsidP="005A26EC">
            <w:pPr>
              <w:pStyle w:val="TableParagraph"/>
              <w:spacing w:before="56"/>
              <w:ind w:left="102"/>
              <w:jc w:val="both"/>
              <w:rPr>
                <w:rFonts w:ascii="Calibri" w:eastAsia="Calibri" w:hAnsi="Calibri" w:cs="Calibri"/>
              </w:rPr>
            </w:pPr>
            <w:r>
              <w:rPr>
                <w:rFonts w:ascii="Calibri"/>
                <w:spacing w:val="-1"/>
              </w:rPr>
              <w:t>Early</w:t>
            </w:r>
            <w:r>
              <w:rPr>
                <w:rFonts w:ascii="Calibri"/>
                <w:spacing w:val="1"/>
              </w:rPr>
              <w:t xml:space="preserve"> </w:t>
            </w:r>
            <w:r>
              <w:rPr>
                <w:rFonts w:ascii="Calibri"/>
                <w:spacing w:val="-1"/>
              </w:rPr>
              <w:t>school</w:t>
            </w:r>
            <w:r>
              <w:rPr>
                <w:rFonts w:ascii="Calibri"/>
              </w:rPr>
              <w:t xml:space="preserve"> </w:t>
            </w:r>
            <w:r>
              <w:rPr>
                <w:rFonts w:ascii="Calibri"/>
                <w:spacing w:val="-1"/>
              </w:rPr>
              <w:t xml:space="preserve">leaving </w:t>
            </w:r>
            <w:r>
              <w:rPr>
                <w:rFonts w:ascii="Calibri"/>
              </w:rPr>
              <w:t>in %</w:t>
            </w:r>
          </w:p>
        </w:tc>
        <w:tc>
          <w:tcPr>
            <w:tcW w:w="1286" w:type="dxa"/>
            <w:tcBorders>
              <w:top w:val="single" w:sz="5" w:space="0" w:color="000000"/>
              <w:left w:val="single" w:sz="4" w:space="0" w:color="000000"/>
              <w:bottom w:val="single" w:sz="5" w:space="0" w:color="000000"/>
              <w:right w:val="single" w:sz="4" w:space="0" w:color="000000"/>
            </w:tcBorders>
          </w:tcPr>
          <w:p w14:paraId="71BAEBFA" w14:textId="77777777" w:rsidR="005A26EC" w:rsidRDefault="005A26EC" w:rsidP="005A26EC">
            <w:pPr>
              <w:pStyle w:val="TableParagraph"/>
              <w:spacing w:before="56"/>
              <w:ind w:left="99"/>
              <w:jc w:val="both"/>
              <w:rPr>
                <w:rFonts w:ascii="Calibri" w:eastAsia="Calibri" w:hAnsi="Calibri" w:cs="Calibri"/>
              </w:rPr>
            </w:pPr>
            <w:r>
              <w:rPr>
                <w:rFonts w:ascii="Calibri"/>
              </w:rPr>
              <w:t>&lt;10</w:t>
            </w:r>
            <w:r>
              <w:rPr>
                <w:rFonts w:ascii="Calibri"/>
                <w:spacing w:val="-1"/>
              </w:rPr>
              <w:t xml:space="preserve"> </w:t>
            </w:r>
            <w:r>
              <w:rPr>
                <w:rFonts w:ascii="Calibri"/>
              </w:rPr>
              <w:t>%</w:t>
            </w:r>
          </w:p>
        </w:tc>
        <w:tc>
          <w:tcPr>
            <w:tcW w:w="1287" w:type="dxa"/>
            <w:tcBorders>
              <w:top w:val="single" w:sz="5" w:space="0" w:color="000000"/>
              <w:left w:val="single" w:sz="4" w:space="0" w:color="000000"/>
              <w:bottom w:val="single" w:sz="5" w:space="0" w:color="000000"/>
              <w:right w:val="single" w:sz="4" w:space="0" w:color="000000"/>
            </w:tcBorders>
          </w:tcPr>
          <w:p w14:paraId="2AFBBDE6" w14:textId="77777777" w:rsidR="005A26EC" w:rsidRDefault="005A26EC" w:rsidP="005A26EC">
            <w:pPr>
              <w:pStyle w:val="TableParagraph"/>
              <w:spacing w:before="56"/>
              <w:ind w:left="99"/>
              <w:jc w:val="both"/>
              <w:rPr>
                <w:rFonts w:ascii="Calibri" w:eastAsia="Calibri" w:hAnsi="Calibri" w:cs="Calibri"/>
              </w:rPr>
            </w:pPr>
            <w:r>
              <w:rPr>
                <w:rFonts w:ascii="Calibri"/>
              </w:rPr>
              <w:t>15</w:t>
            </w:r>
            <w:r>
              <w:rPr>
                <w:rFonts w:ascii="Calibri"/>
                <w:spacing w:val="-2"/>
              </w:rPr>
              <w:t xml:space="preserve"> </w:t>
            </w:r>
            <w:r>
              <w:rPr>
                <w:rFonts w:ascii="Calibri"/>
              </w:rPr>
              <w:t>%</w:t>
            </w:r>
          </w:p>
        </w:tc>
        <w:tc>
          <w:tcPr>
            <w:tcW w:w="1286" w:type="dxa"/>
            <w:tcBorders>
              <w:top w:val="single" w:sz="5" w:space="0" w:color="000000"/>
              <w:left w:val="single" w:sz="4" w:space="0" w:color="000000"/>
              <w:bottom w:val="single" w:sz="5" w:space="0" w:color="000000"/>
              <w:right w:val="single" w:sz="5" w:space="0" w:color="000000"/>
            </w:tcBorders>
          </w:tcPr>
          <w:p w14:paraId="16B0DF92" w14:textId="77777777" w:rsidR="005A26EC" w:rsidRDefault="005A26EC" w:rsidP="005A26EC">
            <w:pPr>
              <w:pStyle w:val="TableParagraph"/>
              <w:spacing w:before="56"/>
              <w:ind w:left="102"/>
              <w:jc w:val="both"/>
              <w:rPr>
                <w:rFonts w:ascii="Calibri" w:eastAsia="Calibri" w:hAnsi="Calibri" w:cs="Calibri"/>
              </w:rPr>
            </w:pPr>
            <w:r>
              <w:rPr>
                <w:rFonts w:ascii="Calibri"/>
              </w:rPr>
              <w:t>16</w:t>
            </w:r>
            <w:r>
              <w:rPr>
                <w:rFonts w:ascii="Calibri"/>
                <w:spacing w:val="-2"/>
              </w:rPr>
              <w:t xml:space="preserve"> </w:t>
            </w:r>
            <w:r>
              <w:rPr>
                <w:rFonts w:ascii="Calibri"/>
              </w:rPr>
              <w:t>%</w:t>
            </w:r>
          </w:p>
        </w:tc>
      </w:tr>
      <w:tr w:rsidR="005A26EC" w14:paraId="5AFFD2BC" w14:textId="77777777" w:rsidTr="005A26EC">
        <w:trPr>
          <w:trHeight w:hRule="exact" w:val="816"/>
        </w:trPr>
        <w:tc>
          <w:tcPr>
            <w:tcW w:w="5997" w:type="dxa"/>
            <w:tcBorders>
              <w:top w:val="single" w:sz="5" w:space="0" w:color="000000"/>
              <w:left w:val="single" w:sz="5" w:space="0" w:color="000000"/>
              <w:bottom w:val="single" w:sz="5" w:space="0" w:color="000000"/>
              <w:right w:val="single" w:sz="4" w:space="0" w:color="000000"/>
            </w:tcBorders>
          </w:tcPr>
          <w:p w14:paraId="6388A251" w14:textId="77777777" w:rsidR="005A26EC" w:rsidRDefault="005A26EC" w:rsidP="005A26EC">
            <w:pPr>
              <w:pStyle w:val="TableParagraph"/>
              <w:spacing w:before="4"/>
              <w:jc w:val="both"/>
              <w:rPr>
                <w:rFonts w:ascii="Malgun Gothic" w:eastAsia="Malgun Gothic" w:hAnsi="Malgun Gothic" w:cs="Malgun Gothic"/>
                <w:sz w:val="15"/>
                <w:szCs w:val="15"/>
              </w:rPr>
            </w:pPr>
          </w:p>
          <w:p w14:paraId="0BC7DEFC" w14:textId="77777777" w:rsidR="005A26EC" w:rsidRDefault="005A26EC" w:rsidP="005A26EC">
            <w:pPr>
              <w:pStyle w:val="TableParagraph"/>
              <w:ind w:left="102"/>
              <w:jc w:val="both"/>
              <w:rPr>
                <w:rFonts w:ascii="Calibri" w:eastAsia="Calibri" w:hAnsi="Calibri" w:cs="Calibri"/>
              </w:rPr>
            </w:pPr>
            <w:r>
              <w:rPr>
                <w:rFonts w:ascii="Calibri"/>
                <w:spacing w:val="-1"/>
              </w:rPr>
              <w:t>Tertiary</w:t>
            </w:r>
            <w:r>
              <w:rPr>
                <w:rFonts w:ascii="Calibri"/>
              </w:rPr>
              <w:t xml:space="preserve"> </w:t>
            </w:r>
            <w:r>
              <w:rPr>
                <w:rFonts w:ascii="Calibri"/>
                <w:spacing w:val="-1"/>
              </w:rPr>
              <w:t xml:space="preserve">education </w:t>
            </w:r>
            <w:r>
              <w:rPr>
                <w:rFonts w:ascii="Calibri"/>
              </w:rPr>
              <w:t>in</w:t>
            </w:r>
            <w:r>
              <w:rPr>
                <w:rFonts w:ascii="Calibri"/>
                <w:spacing w:val="-3"/>
              </w:rPr>
              <w:t xml:space="preserve"> </w:t>
            </w:r>
            <w:r>
              <w:rPr>
                <w:rFonts w:ascii="Calibri"/>
              </w:rPr>
              <w:t>%</w:t>
            </w:r>
          </w:p>
        </w:tc>
        <w:tc>
          <w:tcPr>
            <w:tcW w:w="1286" w:type="dxa"/>
            <w:tcBorders>
              <w:top w:val="single" w:sz="5" w:space="0" w:color="000000"/>
              <w:left w:val="single" w:sz="4" w:space="0" w:color="000000"/>
              <w:bottom w:val="single" w:sz="5" w:space="0" w:color="000000"/>
              <w:right w:val="single" w:sz="4" w:space="0" w:color="000000"/>
            </w:tcBorders>
          </w:tcPr>
          <w:p w14:paraId="0DC2300F" w14:textId="77777777" w:rsidR="005A26EC" w:rsidRDefault="005A26EC" w:rsidP="005A26EC">
            <w:pPr>
              <w:pStyle w:val="TableParagraph"/>
              <w:spacing w:before="4"/>
              <w:jc w:val="both"/>
              <w:rPr>
                <w:rFonts w:ascii="Malgun Gothic" w:eastAsia="Malgun Gothic" w:hAnsi="Malgun Gothic" w:cs="Malgun Gothic"/>
                <w:sz w:val="15"/>
                <w:szCs w:val="15"/>
              </w:rPr>
            </w:pPr>
          </w:p>
          <w:p w14:paraId="6DBA6000" w14:textId="77777777" w:rsidR="005A26EC" w:rsidRDefault="005A26EC" w:rsidP="005A26EC">
            <w:pPr>
              <w:pStyle w:val="TableParagraph"/>
              <w:ind w:left="99"/>
              <w:jc w:val="both"/>
              <w:rPr>
                <w:rFonts w:ascii="Calibri" w:eastAsia="Calibri" w:hAnsi="Calibri" w:cs="Calibri"/>
              </w:rPr>
            </w:pPr>
            <w:r>
              <w:rPr>
                <w:rFonts w:ascii="Calibri"/>
              </w:rPr>
              <w:t>40</w:t>
            </w:r>
            <w:r>
              <w:rPr>
                <w:rFonts w:ascii="Calibri"/>
                <w:spacing w:val="-1"/>
              </w:rPr>
              <w:t xml:space="preserve"> </w:t>
            </w:r>
            <w:r>
              <w:rPr>
                <w:rFonts w:ascii="Calibri"/>
              </w:rPr>
              <w:t>%</w:t>
            </w:r>
          </w:p>
        </w:tc>
        <w:tc>
          <w:tcPr>
            <w:tcW w:w="1287" w:type="dxa"/>
            <w:tcBorders>
              <w:top w:val="single" w:sz="5" w:space="0" w:color="000000"/>
              <w:left w:val="single" w:sz="4" w:space="0" w:color="000000"/>
              <w:bottom w:val="single" w:sz="5" w:space="0" w:color="000000"/>
              <w:right w:val="single" w:sz="4" w:space="0" w:color="000000"/>
            </w:tcBorders>
          </w:tcPr>
          <w:p w14:paraId="2201D4D1" w14:textId="77777777" w:rsidR="005A26EC" w:rsidRDefault="005A26EC" w:rsidP="005A26EC">
            <w:pPr>
              <w:pStyle w:val="TableParagraph"/>
              <w:spacing w:before="4"/>
              <w:jc w:val="both"/>
              <w:rPr>
                <w:rFonts w:ascii="Malgun Gothic" w:eastAsia="Malgun Gothic" w:hAnsi="Malgun Gothic" w:cs="Malgun Gothic"/>
                <w:sz w:val="15"/>
                <w:szCs w:val="15"/>
              </w:rPr>
            </w:pPr>
          </w:p>
          <w:p w14:paraId="3B4E104C" w14:textId="77777777" w:rsidR="005A26EC" w:rsidRDefault="005A26EC" w:rsidP="005A26EC">
            <w:pPr>
              <w:pStyle w:val="TableParagraph"/>
              <w:ind w:left="99"/>
              <w:jc w:val="both"/>
              <w:rPr>
                <w:rFonts w:ascii="Calibri" w:eastAsia="Calibri" w:hAnsi="Calibri" w:cs="Calibri"/>
              </w:rPr>
            </w:pPr>
            <w:r>
              <w:rPr>
                <w:rFonts w:ascii="Calibri"/>
                <w:spacing w:val="-1"/>
              </w:rPr>
              <w:t>23.9</w:t>
            </w:r>
            <w:r>
              <w:rPr>
                <w:rFonts w:ascii="Calibri"/>
                <w:spacing w:val="-2"/>
              </w:rPr>
              <w:t xml:space="preserve"> </w:t>
            </w:r>
            <w:r>
              <w:rPr>
                <w:rFonts w:ascii="Calibri"/>
              </w:rPr>
              <w:t>%</w:t>
            </w:r>
          </w:p>
        </w:tc>
        <w:tc>
          <w:tcPr>
            <w:tcW w:w="1286" w:type="dxa"/>
            <w:tcBorders>
              <w:top w:val="single" w:sz="5" w:space="0" w:color="000000"/>
              <w:left w:val="single" w:sz="4" w:space="0" w:color="000000"/>
              <w:bottom w:val="single" w:sz="5" w:space="0" w:color="000000"/>
              <w:right w:val="single" w:sz="5" w:space="0" w:color="000000"/>
            </w:tcBorders>
          </w:tcPr>
          <w:p w14:paraId="3CD3FA31" w14:textId="77777777" w:rsidR="005A26EC" w:rsidRDefault="005A26EC" w:rsidP="005A26EC">
            <w:pPr>
              <w:pStyle w:val="TableParagraph"/>
              <w:spacing w:line="264" w:lineRule="exact"/>
              <w:ind w:left="102"/>
              <w:jc w:val="both"/>
              <w:rPr>
                <w:rFonts w:ascii="Calibri" w:eastAsia="Calibri" w:hAnsi="Calibri" w:cs="Calibri"/>
              </w:rPr>
            </w:pPr>
            <w:r>
              <w:rPr>
                <w:rFonts w:ascii="Calibri"/>
              </w:rPr>
              <w:t>26</w:t>
            </w:r>
            <w:r>
              <w:rPr>
                <w:rFonts w:ascii="Calibri"/>
                <w:spacing w:val="-2"/>
              </w:rPr>
              <w:t xml:space="preserve"> </w:t>
            </w:r>
            <w:r>
              <w:rPr>
                <w:rFonts w:ascii="Calibri"/>
              </w:rPr>
              <w:t>%</w:t>
            </w:r>
            <w:r>
              <w:rPr>
                <w:rFonts w:ascii="Calibri"/>
                <w:spacing w:val="1"/>
              </w:rPr>
              <w:t xml:space="preserve"> </w:t>
            </w:r>
            <w:r>
              <w:rPr>
                <w:rFonts w:ascii="Calibri"/>
              </w:rPr>
              <w:t>-</w:t>
            </w:r>
            <w:r>
              <w:rPr>
                <w:rFonts w:ascii="Calibri"/>
                <w:spacing w:val="-3"/>
              </w:rPr>
              <w:t xml:space="preserve"> </w:t>
            </w:r>
            <w:r>
              <w:rPr>
                <w:rFonts w:ascii="Calibri"/>
              </w:rPr>
              <w:t>27</w:t>
            </w:r>
            <w:r>
              <w:rPr>
                <w:rFonts w:ascii="Calibri"/>
                <w:spacing w:val="-2"/>
              </w:rPr>
              <w:t xml:space="preserve"> </w:t>
            </w:r>
            <w:r>
              <w:rPr>
                <w:rFonts w:ascii="Calibri"/>
              </w:rPr>
              <w:t>%</w:t>
            </w:r>
          </w:p>
          <w:p w14:paraId="2B3207B0" w14:textId="77777777" w:rsidR="005A26EC" w:rsidRDefault="005A26EC" w:rsidP="005A26EC">
            <w:pPr>
              <w:pStyle w:val="TableParagraph"/>
              <w:ind w:left="102"/>
              <w:jc w:val="both"/>
              <w:rPr>
                <w:rFonts w:ascii="Calibri" w:eastAsia="Calibri" w:hAnsi="Calibri" w:cs="Calibri"/>
              </w:rPr>
            </w:pPr>
            <w:r>
              <w:rPr>
                <w:rFonts w:ascii="Calibri"/>
                <w:spacing w:val="-1"/>
              </w:rPr>
              <w:t>(30-34</w:t>
            </w:r>
          </w:p>
          <w:p w14:paraId="395DB544" w14:textId="77777777" w:rsidR="005A26EC" w:rsidRDefault="005A26EC" w:rsidP="005A26EC">
            <w:pPr>
              <w:pStyle w:val="TableParagraph"/>
              <w:ind w:left="102"/>
              <w:jc w:val="both"/>
              <w:rPr>
                <w:rFonts w:ascii="Calibri" w:eastAsia="Calibri" w:hAnsi="Calibri" w:cs="Calibri"/>
              </w:rPr>
            </w:pPr>
            <w:proofErr w:type="gramStart"/>
            <w:r>
              <w:rPr>
                <w:rFonts w:ascii="Calibri"/>
              </w:rPr>
              <w:t>years</w:t>
            </w:r>
            <w:proofErr w:type="gramEnd"/>
            <w:r>
              <w:rPr>
                <w:rFonts w:ascii="Calibri"/>
                <w:spacing w:val="-2"/>
              </w:rPr>
              <w:t xml:space="preserve"> </w:t>
            </w:r>
            <w:r>
              <w:rPr>
                <w:rFonts w:ascii="Calibri"/>
                <w:spacing w:val="-1"/>
              </w:rPr>
              <w:t>old)</w:t>
            </w:r>
          </w:p>
        </w:tc>
      </w:tr>
      <w:tr w:rsidR="005A26EC" w14:paraId="3B1C8BA3" w14:textId="77777777" w:rsidTr="005A26EC">
        <w:trPr>
          <w:trHeight w:hRule="exact" w:val="1157"/>
        </w:trPr>
        <w:tc>
          <w:tcPr>
            <w:tcW w:w="5997" w:type="dxa"/>
            <w:tcBorders>
              <w:top w:val="single" w:sz="5" w:space="0" w:color="000000"/>
              <w:left w:val="single" w:sz="5" w:space="0" w:color="000000"/>
              <w:bottom w:val="single" w:sz="120" w:space="0" w:color="000000"/>
              <w:right w:val="single" w:sz="4" w:space="0" w:color="000000"/>
            </w:tcBorders>
          </w:tcPr>
          <w:p w14:paraId="234458C1" w14:textId="77777777" w:rsidR="005A26EC" w:rsidRDefault="005A26EC" w:rsidP="005A26EC">
            <w:pPr>
              <w:pStyle w:val="TableParagraph"/>
              <w:spacing w:before="5"/>
              <w:jc w:val="both"/>
              <w:rPr>
                <w:rFonts w:ascii="Malgun Gothic" w:eastAsia="Malgun Gothic" w:hAnsi="Malgun Gothic" w:cs="Malgun Gothic"/>
                <w:sz w:val="17"/>
                <w:szCs w:val="17"/>
              </w:rPr>
            </w:pPr>
          </w:p>
          <w:p w14:paraId="100DB184" w14:textId="77777777" w:rsidR="005A26EC" w:rsidRDefault="005A26EC" w:rsidP="005A26EC">
            <w:pPr>
              <w:pStyle w:val="TableParagraph"/>
              <w:ind w:left="102" w:right="188"/>
              <w:jc w:val="both"/>
              <w:rPr>
                <w:rFonts w:ascii="Calibri" w:eastAsia="Calibri" w:hAnsi="Calibri" w:cs="Calibri"/>
              </w:rPr>
            </w:pPr>
            <w:r>
              <w:rPr>
                <w:rFonts w:ascii="Calibri"/>
              </w:rPr>
              <w:t>Reduction</w:t>
            </w:r>
            <w:r>
              <w:rPr>
                <w:rFonts w:ascii="Calibri"/>
                <w:spacing w:val="-3"/>
              </w:rPr>
              <w:t xml:space="preserve"> </w:t>
            </w:r>
            <w:r>
              <w:rPr>
                <w:rFonts w:ascii="Calibri"/>
              </w:rPr>
              <w:t xml:space="preserve">of </w:t>
            </w:r>
            <w:r>
              <w:rPr>
                <w:rFonts w:ascii="Calibri"/>
                <w:spacing w:val="-1"/>
              </w:rPr>
              <w:t xml:space="preserve">population </w:t>
            </w:r>
            <w:r>
              <w:rPr>
                <w:rFonts w:ascii="Calibri"/>
              </w:rPr>
              <w:t>at</w:t>
            </w:r>
            <w:r>
              <w:rPr>
                <w:rFonts w:ascii="Calibri"/>
                <w:spacing w:val="-2"/>
              </w:rPr>
              <w:t xml:space="preserve"> </w:t>
            </w:r>
            <w:r>
              <w:rPr>
                <w:rFonts w:ascii="Calibri"/>
              </w:rPr>
              <w:t>risk</w:t>
            </w:r>
            <w:r>
              <w:rPr>
                <w:rFonts w:ascii="Calibri"/>
                <w:spacing w:val="-1"/>
              </w:rPr>
              <w:t xml:space="preserve"> </w:t>
            </w:r>
            <w:r>
              <w:rPr>
                <w:rFonts w:ascii="Calibri"/>
              </w:rPr>
              <w:t>of</w:t>
            </w:r>
            <w:r>
              <w:rPr>
                <w:rFonts w:ascii="Calibri"/>
                <w:spacing w:val="-3"/>
              </w:rPr>
              <w:t xml:space="preserve"> </w:t>
            </w:r>
            <w:r>
              <w:rPr>
                <w:rFonts w:ascii="Calibri"/>
                <w:spacing w:val="-1"/>
              </w:rPr>
              <w:t xml:space="preserve">poverty </w:t>
            </w:r>
            <w:r>
              <w:rPr>
                <w:rFonts w:ascii="Calibri"/>
              </w:rPr>
              <w:t xml:space="preserve">or </w:t>
            </w:r>
            <w:r>
              <w:rPr>
                <w:rFonts w:ascii="Calibri"/>
                <w:spacing w:val="-1"/>
              </w:rPr>
              <w:t>social</w:t>
            </w:r>
            <w:r>
              <w:rPr>
                <w:rFonts w:ascii="Calibri"/>
                <w:spacing w:val="-3"/>
              </w:rPr>
              <w:t xml:space="preserve"> </w:t>
            </w:r>
            <w:r>
              <w:rPr>
                <w:rFonts w:ascii="Calibri"/>
                <w:spacing w:val="-1"/>
              </w:rPr>
              <w:t xml:space="preserve">exclusion </w:t>
            </w:r>
            <w:r>
              <w:rPr>
                <w:rFonts w:ascii="Calibri"/>
              </w:rPr>
              <w:t>(in</w:t>
            </w:r>
            <w:r>
              <w:rPr>
                <w:rFonts w:ascii="Calibri"/>
                <w:spacing w:val="31"/>
              </w:rPr>
              <w:t xml:space="preserve"> </w:t>
            </w:r>
            <w:r>
              <w:rPr>
                <w:rFonts w:ascii="Calibri"/>
                <w:spacing w:val="-1"/>
              </w:rPr>
              <w:t>number</w:t>
            </w:r>
            <w:r>
              <w:rPr>
                <w:rFonts w:ascii="Calibri"/>
                <w:spacing w:val="-2"/>
              </w:rPr>
              <w:t xml:space="preserve"> </w:t>
            </w:r>
            <w:r>
              <w:rPr>
                <w:rFonts w:ascii="Calibri"/>
              </w:rPr>
              <w:t xml:space="preserve">of </w:t>
            </w:r>
            <w:r>
              <w:rPr>
                <w:rFonts w:ascii="Calibri"/>
                <w:spacing w:val="-1"/>
              </w:rPr>
              <w:t>persons</w:t>
            </w:r>
          </w:p>
        </w:tc>
        <w:tc>
          <w:tcPr>
            <w:tcW w:w="1286" w:type="dxa"/>
            <w:tcBorders>
              <w:top w:val="single" w:sz="5" w:space="0" w:color="000000"/>
              <w:left w:val="single" w:sz="4" w:space="0" w:color="000000"/>
              <w:bottom w:val="single" w:sz="120" w:space="0" w:color="000000"/>
              <w:right w:val="single" w:sz="4" w:space="0" w:color="000000"/>
            </w:tcBorders>
          </w:tcPr>
          <w:p w14:paraId="785FE0C7" w14:textId="77777777" w:rsidR="005A26EC" w:rsidRDefault="005A26EC" w:rsidP="005A26EC">
            <w:pPr>
              <w:pStyle w:val="TableParagraph"/>
              <w:spacing w:before="17"/>
              <w:jc w:val="both"/>
              <w:rPr>
                <w:rFonts w:ascii="Malgun Gothic" w:eastAsia="Malgun Gothic" w:hAnsi="Malgun Gothic" w:cs="Malgun Gothic"/>
                <w:sz w:val="24"/>
                <w:szCs w:val="24"/>
              </w:rPr>
            </w:pPr>
          </w:p>
          <w:p w14:paraId="113F2B9B" w14:textId="77777777" w:rsidR="005A26EC" w:rsidRDefault="005A26EC" w:rsidP="005A26EC">
            <w:pPr>
              <w:pStyle w:val="TableParagraph"/>
              <w:ind w:left="99"/>
              <w:jc w:val="both"/>
              <w:rPr>
                <w:rFonts w:ascii="Calibri" w:eastAsia="Calibri" w:hAnsi="Calibri" w:cs="Calibri"/>
              </w:rPr>
            </w:pPr>
            <w:r>
              <w:rPr>
                <w:rFonts w:ascii="Calibri"/>
                <w:spacing w:val="-1"/>
              </w:rPr>
              <w:t>20.000.000</w:t>
            </w:r>
          </w:p>
        </w:tc>
        <w:tc>
          <w:tcPr>
            <w:tcW w:w="1287" w:type="dxa"/>
            <w:tcBorders>
              <w:top w:val="single" w:sz="5" w:space="0" w:color="000000"/>
              <w:left w:val="single" w:sz="4" w:space="0" w:color="000000"/>
              <w:bottom w:val="single" w:sz="120" w:space="0" w:color="000000"/>
              <w:right w:val="single" w:sz="4" w:space="0" w:color="000000"/>
            </w:tcBorders>
          </w:tcPr>
          <w:p w14:paraId="3F788FC8" w14:textId="77777777" w:rsidR="005A26EC" w:rsidRDefault="005A26EC" w:rsidP="005A26EC">
            <w:pPr>
              <w:pStyle w:val="TableParagraph"/>
              <w:ind w:left="99" w:right="260"/>
              <w:jc w:val="both"/>
              <w:rPr>
                <w:rFonts w:ascii="Calibri" w:eastAsia="Calibri" w:hAnsi="Calibri" w:cs="Calibri"/>
                <w:sz w:val="18"/>
                <w:szCs w:val="18"/>
              </w:rPr>
            </w:pPr>
            <w:r>
              <w:rPr>
                <w:rFonts w:ascii="Calibri"/>
                <w:spacing w:val="-1"/>
              </w:rPr>
              <w:t xml:space="preserve">28.1 </w:t>
            </w:r>
            <w:r>
              <w:rPr>
                <w:rFonts w:ascii="Calibri"/>
              </w:rPr>
              <w:t>%</w:t>
            </w:r>
            <w:r>
              <w:rPr>
                <w:rFonts w:ascii="Calibri"/>
                <w:spacing w:val="-2"/>
              </w:rPr>
              <w:t xml:space="preserve"> </w:t>
            </w:r>
            <w:r>
              <w:rPr>
                <w:rFonts w:ascii="Calibri"/>
                <w:sz w:val="18"/>
              </w:rPr>
              <w:t>of</w:t>
            </w:r>
            <w:r>
              <w:rPr>
                <w:rFonts w:ascii="Calibri"/>
                <w:spacing w:val="23"/>
                <w:sz w:val="18"/>
              </w:rPr>
              <w:t xml:space="preserve"> </w:t>
            </w:r>
            <w:r>
              <w:rPr>
                <w:rFonts w:ascii="Calibri"/>
                <w:spacing w:val="-1"/>
                <w:sz w:val="18"/>
              </w:rPr>
              <w:t>the</w:t>
            </w:r>
            <w:r>
              <w:rPr>
                <w:rFonts w:ascii="Calibri"/>
                <w:spacing w:val="21"/>
                <w:w w:val="99"/>
                <w:sz w:val="18"/>
              </w:rPr>
              <w:t xml:space="preserve"> </w:t>
            </w:r>
            <w:r>
              <w:rPr>
                <w:rFonts w:ascii="Calibri"/>
                <w:spacing w:val="-1"/>
                <w:sz w:val="18"/>
              </w:rPr>
              <w:t>population</w:t>
            </w:r>
            <w:r>
              <w:rPr>
                <w:rFonts w:ascii="Calibri"/>
                <w:spacing w:val="25"/>
                <w:sz w:val="18"/>
              </w:rPr>
              <w:t xml:space="preserve"> </w:t>
            </w:r>
            <w:r>
              <w:rPr>
                <w:rFonts w:ascii="Calibri"/>
                <w:sz w:val="18"/>
              </w:rPr>
              <w:t>(60.6</w:t>
            </w:r>
            <w:r>
              <w:rPr>
                <w:rFonts w:ascii="Calibri"/>
                <w:spacing w:val="-5"/>
                <w:sz w:val="18"/>
              </w:rPr>
              <w:t xml:space="preserve"> </w:t>
            </w:r>
            <w:r>
              <w:rPr>
                <w:rFonts w:ascii="Calibri"/>
                <w:spacing w:val="-1"/>
                <w:sz w:val="18"/>
              </w:rPr>
              <w:t>million</w:t>
            </w:r>
            <w:r>
              <w:rPr>
                <w:rFonts w:ascii="Calibri"/>
                <w:spacing w:val="24"/>
                <w:sz w:val="18"/>
              </w:rPr>
              <w:t xml:space="preserve"> </w:t>
            </w:r>
            <w:r>
              <w:rPr>
                <w:rFonts w:ascii="Calibri"/>
                <w:spacing w:val="-1"/>
                <w:sz w:val="18"/>
              </w:rPr>
              <w:t>persons)</w:t>
            </w:r>
          </w:p>
        </w:tc>
        <w:tc>
          <w:tcPr>
            <w:tcW w:w="1286" w:type="dxa"/>
            <w:tcBorders>
              <w:top w:val="single" w:sz="5" w:space="0" w:color="000000"/>
              <w:left w:val="single" w:sz="4" w:space="0" w:color="000000"/>
              <w:bottom w:val="single" w:sz="120" w:space="0" w:color="000000"/>
              <w:right w:val="single" w:sz="5" w:space="0" w:color="000000"/>
            </w:tcBorders>
          </w:tcPr>
          <w:p w14:paraId="0F30C786" w14:textId="77777777" w:rsidR="005A26EC" w:rsidRDefault="005A26EC" w:rsidP="005A26EC">
            <w:pPr>
              <w:pStyle w:val="TableParagraph"/>
              <w:spacing w:before="17"/>
              <w:jc w:val="both"/>
              <w:rPr>
                <w:rFonts w:ascii="Malgun Gothic" w:eastAsia="Malgun Gothic" w:hAnsi="Malgun Gothic" w:cs="Malgun Gothic"/>
                <w:sz w:val="24"/>
                <w:szCs w:val="24"/>
              </w:rPr>
            </w:pPr>
          </w:p>
          <w:p w14:paraId="5D630751" w14:textId="77777777" w:rsidR="005A26EC" w:rsidRDefault="005A26EC" w:rsidP="005A26EC">
            <w:pPr>
              <w:pStyle w:val="TableParagraph"/>
              <w:ind w:left="102"/>
              <w:jc w:val="both"/>
              <w:rPr>
                <w:rFonts w:ascii="Calibri" w:eastAsia="Calibri" w:hAnsi="Calibri" w:cs="Calibri"/>
              </w:rPr>
            </w:pPr>
            <w:r>
              <w:rPr>
                <w:rFonts w:ascii="Calibri"/>
                <w:spacing w:val="-1"/>
              </w:rPr>
              <w:t>2.200.000</w:t>
            </w:r>
          </w:p>
        </w:tc>
      </w:tr>
      <w:tr w:rsidR="005A26EC" w14:paraId="30F25B58" w14:textId="77777777" w:rsidTr="005A26EC">
        <w:trPr>
          <w:trHeight w:hRule="exact" w:val="1157"/>
        </w:trPr>
        <w:tc>
          <w:tcPr>
            <w:tcW w:w="9856" w:type="dxa"/>
            <w:gridSpan w:val="4"/>
            <w:tcBorders>
              <w:top w:val="single" w:sz="120" w:space="0" w:color="000000"/>
            </w:tcBorders>
          </w:tcPr>
          <w:p w14:paraId="5125C48E" w14:textId="77777777" w:rsidR="005A26EC" w:rsidRDefault="005A26EC" w:rsidP="005A26EC">
            <w:pPr>
              <w:pStyle w:val="TableParagraph"/>
              <w:spacing w:before="17"/>
              <w:jc w:val="both"/>
              <w:rPr>
                <w:rFonts w:ascii="Malgun Gothic" w:eastAsia="Malgun Gothic" w:hAnsi="Malgun Gothic" w:cs="Malgun Gothic"/>
                <w:sz w:val="24"/>
                <w:szCs w:val="24"/>
              </w:rPr>
            </w:pPr>
            <w:r>
              <w:rPr>
                <w:rFonts w:ascii="Calibri"/>
                <w:b/>
                <w:spacing w:val="-1"/>
              </w:rPr>
              <w:t>SUMMARY</w:t>
            </w:r>
            <w:r>
              <w:rPr>
                <w:rFonts w:ascii="Calibri"/>
                <w:b/>
              </w:rPr>
              <w:t xml:space="preserve"> </w:t>
            </w:r>
            <w:r>
              <w:rPr>
                <w:rFonts w:ascii="Calibri"/>
                <w:b/>
                <w:spacing w:val="-1"/>
              </w:rPr>
              <w:t>OF STRATEGY</w:t>
            </w:r>
            <w:r>
              <w:rPr>
                <w:rFonts w:ascii="Calibri"/>
                <w:b/>
                <w:spacing w:val="-2"/>
              </w:rPr>
              <w:t xml:space="preserve"> </w:t>
            </w:r>
            <w:r>
              <w:rPr>
                <w:rFonts w:ascii="Calibri"/>
                <w:b/>
                <w:spacing w:val="-1"/>
              </w:rPr>
              <w:t>2020</w:t>
            </w:r>
            <w:r>
              <w:rPr>
                <w:rFonts w:ascii="Calibri"/>
                <w:b/>
              </w:rPr>
              <w:t xml:space="preserve"> </w:t>
            </w:r>
            <w:r>
              <w:rPr>
                <w:rFonts w:ascii="Calibri"/>
                <w:b/>
                <w:spacing w:val="-1"/>
              </w:rPr>
              <w:t>OBJECTIVES</w:t>
            </w:r>
          </w:p>
        </w:tc>
      </w:tr>
    </w:tbl>
    <w:p w14:paraId="5CA71E0D" w14:textId="77777777" w:rsidR="00962D10" w:rsidRPr="00430383" w:rsidRDefault="008D75AF" w:rsidP="002E5374">
      <w:pPr>
        <w:pStyle w:val="BodyText"/>
        <w:numPr>
          <w:ilvl w:val="0"/>
          <w:numId w:val="14"/>
        </w:numPr>
        <w:tabs>
          <w:tab w:val="left" w:pos="938"/>
        </w:tabs>
        <w:spacing w:before="120"/>
        <w:ind w:left="937" w:hanging="360"/>
        <w:jc w:val="both"/>
        <w:rPr>
          <w:rFonts w:ascii="Helvetica Neue" w:eastAsiaTheme="minorEastAsia" w:hAnsi="Helvetica Neue" w:cs="Times New Roman"/>
        </w:rPr>
      </w:pPr>
      <w:r w:rsidRPr="00430383">
        <w:rPr>
          <w:rFonts w:ascii="Helvetica Neue" w:eastAsiaTheme="minorEastAsia" w:hAnsi="Helvetica Neue" w:cs="Times New Roman"/>
        </w:rPr>
        <w:t>Labour market, wage setting and education;</w:t>
      </w:r>
    </w:p>
    <w:p w14:paraId="1238C5D2" w14:textId="77777777" w:rsidR="00962D10" w:rsidRPr="005F18F9" w:rsidRDefault="008D75AF" w:rsidP="002E5374">
      <w:pPr>
        <w:pStyle w:val="BodyText"/>
        <w:numPr>
          <w:ilvl w:val="0"/>
          <w:numId w:val="14"/>
        </w:numPr>
        <w:tabs>
          <w:tab w:val="left" w:pos="938"/>
        </w:tabs>
        <w:spacing w:before="117"/>
        <w:ind w:left="937" w:hanging="360"/>
        <w:jc w:val="both"/>
        <w:rPr>
          <w:rFonts w:ascii="Helvetica Neue" w:eastAsiaTheme="minorEastAsia" w:hAnsi="Helvetica Neue" w:cs="Times New Roman"/>
          <w:lang w:val="it-IT"/>
        </w:rPr>
      </w:pPr>
      <w:proofErr w:type="spellStart"/>
      <w:r w:rsidRPr="005F18F9">
        <w:rPr>
          <w:rFonts w:ascii="Helvetica Neue" w:eastAsiaTheme="minorEastAsia" w:hAnsi="Helvetica Neue" w:cs="Times New Roman"/>
          <w:lang w:val="it-IT"/>
        </w:rPr>
        <w:t>Simplification</w:t>
      </w:r>
      <w:proofErr w:type="spellEnd"/>
      <w:r w:rsidRPr="005F18F9">
        <w:rPr>
          <w:rFonts w:ascii="Helvetica Neue" w:eastAsiaTheme="minorEastAsia" w:hAnsi="Helvetica Neue" w:cs="Times New Roman"/>
          <w:lang w:val="it-IT"/>
        </w:rPr>
        <w:t xml:space="preserve"> and </w:t>
      </w:r>
      <w:proofErr w:type="spellStart"/>
      <w:r w:rsidRPr="005F18F9">
        <w:rPr>
          <w:rFonts w:ascii="Helvetica Neue" w:eastAsiaTheme="minorEastAsia" w:hAnsi="Helvetica Neue" w:cs="Times New Roman"/>
          <w:lang w:val="it-IT"/>
        </w:rPr>
        <w:t>competition</w:t>
      </w:r>
      <w:proofErr w:type="spellEnd"/>
      <w:r w:rsidRPr="005F18F9">
        <w:rPr>
          <w:rFonts w:ascii="Helvetica Neue" w:eastAsiaTheme="minorEastAsia" w:hAnsi="Helvetica Neue" w:cs="Times New Roman"/>
          <w:lang w:val="it-IT"/>
        </w:rPr>
        <w:t>.</w:t>
      </w:r>
    </w:p>
    <w:p w14:paraId="2709CEC0" w14:textId="77777777" w:rsidR="00962D10" w:rsidRDefault="00962D10" w:rsidP="002E5374">
      <w:pPr>
        <w:spacing w:before="16"/>
        <w:jc w:val="both"/>
        <w:rPr>
          <w:rFonts w:ascii="Malgun Gothic" w:eastAsia="Malgun Gothic" w:hAnsi="Malgun Gothic" w:cs="Malgun Gothic"/>
          <w:sz w:val="13"/>
          <w:szCs w:val="13"/>
        </w:rPr>
      </w:pPr>
    </w:p>
    <w:tbl>
      <w:tblPr>
        <w:tblW w:w="0" w:type="auto"/>
        <w:tblInd w:w="103" w:type="dxa"/>
        <w:tblLayout w:type="fixed"/>
        <w:tblCellMar>
          <w:left w:w="0" w:type="dxa"/>
          <w:right w:w="0" w:type="dxa"/>
        </w:tblCellMar>
        <w:tblLook w:val="01E0" w:firstRow="1" w:lastRow="1" w:firstColumn="1" w:lastColumn="1" w:noHBand="0" w:noVBand="0"/>
      </w:tblPr>
      <w:tblGrid>
        <w:gridCol w:w="5997"/>
        <w:gridCol w:w="1286"/>
        <w:gridCol w:w="1287"/>
        <w:gridCol w:w="1286"/>
      </w:tblGrid>
      <w:tr w:rsidR="00962D10" w14:paraId="19166002" w14:textId="77777777">
        <w:trPr>
          <w:trHeight w:hRule="exact" w:val="499"/>
        </w:trPr>
        <w:tc>
          <w:tcPr>
            <w:tcW w:w="5997" w:type="dxa"/>
            <w:tcBorders>
              <w:top w:val="single" w:sz="5" w:space="0" w:color="000000"/>
              <w:left w:val="single" w:sz="5" w:space="0" w:color="000000"/>
              <w:bottom w:val="single" w:sz="5" w:space="0" w:color="000000"/>
              <w:right w:val="single" w:sz="5" w:space="0" w:color="000000"/>
            </w:tcBorders>
          </w:tcPr>
          <w:p w14:paraId="3E4D5DD6" w14:textId="77777777" w:rsidR="00962D10" w:rsidRDefault="008D75AF" w:rsidP="002E5374">
            <w:pPr>
              <w:pStyle w:val="TableParagraph"/>
              <w:spacing w:line="242" w:lineRule="exact"/>
              <w:ind w:left="102"/>
              <w:jc w:val="both"/>
              <w:rPr>
                <w:rFonts w:ascii="Calibri" w:eastAsia="Calibri" w:hAnsi="Calibri" w:cs="Calibri"/>
                <w:sz w:val="20"/>
                <w:szCs w:val="20"/>
              </w:rPr>
            </w:pPr>
            <w:r>
              <w:rPr>
                <w:rFonts w:ascii="Calibri"/>
                <w:b/>
                <w:sz w:val="20"/>
              </w:rPr>
              <w:t>2020</w:t>
            </w:r>
            <w:r>
              <w:rPr>
                <w:rFonts w:ascii="Calibri"/>
                <w:b/>
                <w:spacing w:val="-15"/>
                <w:sz w:val="20"/>
              </w:rPr>
              <w:t xml:space="preserve"> </w:t>
            </w:r>
            <w:r>
              <w:rPr>
                <w:rFonts w:ascii="Calibri"/>
                <w:b/>
                <w:spacing w:val="-1"/>
                <w:sz w:val="20"/>
              </w:rPr>
              <w:t>OBJECTIVES</w:t>
            </w:r>
          </w:p>
        </w:tc>
        <w:tc>
          <w:tcPr>
            <w:tcW w:w="1286" w:type="dxa"/>
            <w:tcBorders>
              <w:top w:val="single" w:sz="5" w:space="0" w:color="000000"/>
              <w:left w:val="single" w:sz="5" w:space="0" w:color="000000"/>
              <w:bottom w:val="single" w:sz="5" w:space="0" w:color="000000"/>
              <w:right w:val="single" w:sz="5" w:space="0" w:color="000000"/>
            </w:tcBorders>
          </w:tcPr>
          <w:p w14:paraId="3915BC86" w14:textId="77777777" w:rsidR="00962D10" w:rsidRDefault="008D75AF" w:rsidP="002E5374">
            <w:pPr>
              <w:pStyle w:val="TableParagraph"/>
              <w:spacing w:line="242" w:lineRule="exact"/>
              <w:ind w:left="99"/>
              <w:jc w:val="both"/>
              <w:rPr>
                <w:rFonts w:ascii="Calibri" w:eastAsia="Calibri" w:hAnsi="Calibri" w:cs="Calibri"/>
                <w:sz w:val="20"/>
                <w:szCs w:val="20"/>
              </w:rPr>
            </w:pPr>
            <w:r>
              <w:rPr>
                <w:rFonts w:ascii="Calibri"/>
                <w:b/>
                <w:spacing w:val="-1"/>
                <w:sz w:val="20"/>
              </w:rPr>
              <w:t>EU</w:t>
            </w:r>
            <w:r>
              <w:rPr>
                <w:rFonts w:ascii="Calibri"/>
                <w:b/>
                <w:spacing w:val="-10"/>
                <w:sz w:val="20"/>
              </w:rPr>
              <w:t xml:space="preserve"> </w:t>
            </w:r>
            <w:r>
              <w:rPr>
                <w:rFonts w:ascii="Calibri"/>
                <w:b/>
                <w:sz w:val="20"/>
              </w:rPr>
              <w:t>TARGET</w:t>
            </w:r>
          </w:p>
        </w:tc>
        <w:tc>
          <w:tcPr>
            <w:tcW w:w="1287" w:type="dxa"/>
            <w:tcBorders>
              <w:top w:val="single" w:sz="5" w:space="0" w:color="000000"/>
              <w:left w:val="single" w:sz="5" w:space="0" w:color="000000"/>
              <w:bottom w:val="single" w:sz="5" w:space="0" w:color="000000"/>
              <w:right w:val="single" w:sz="5" w:space="0" w:color="000000"/>
            </w:tcBorders>
          </w:tcPr>
          <w:p w14:paraId="11EE3C18" w14:textId="77777777" w:rsidR="00962D10" w:rsidRDefault="008D75AF" w:rsidP="002E5374">
            <w:pPr>
              <w:pStyle w:val="TableParagraph"/>
              <w:ind w:left="99" w:right="269"/>
              <w:jc w:val="both"/>
              <w:rPr>
                <w:rFonts w:ascii="Calibri" w:eastAsia="Calibri" w:hAnsi="Calibri" w:cs="Calibri"/>
                <w:sz w:val="20"/>
                <w:szCs w:val="20"/>
              </w:rPr>
            </w:pPr>
            <w:r>
              <w:rPr>
                <w:rFonts w:ascii="Calibri"/>
                <w:b/>
                <w:sz w:val="20"/>
              </w:rPr>
              <w:t>ITALY</w:t>
            </w:r>
            <w:r>
              <w:rPr>
                <w:rFonts w:ascii="Calibri"/>
                <w:b/>
                <w:spacing w:val="-10"/>
                <w:sz w:val="20"/>
              </w:rPr>
              <w:t xml:space="preserve"> </w:t>
            </w:r>
            <w:r>
              <w:rPr>
                <w:rFonts w:ascii="Calibri"/>
                <w:b/>
                <w:sz w:val="20"/>
              </w:rPr>
              <w:t>LAST</w:t>
            </w:r>
            <w:r>
              <w:rPr>
                <w:rFonts w:ascii="Calibri"/>
                <w:b/>
                <w:w w:val="99"/>
                <w:sz w:val="20"/>
              </w:rPr>
              <w:t xml:space="preserve"> </w:t>
            </w:r>
            <w:r>
              <w:rPr>
                <w:rFonts w:ascii="Calibri"/>
                <w:b/>
                <w:spacing w:val="-1"/>
                <w:sz w:val="20"/>
              </w:rPr>
              <w:t>OBSERVED</w:t>
            </w:r>
          </w:p>
        </w:tc>
        <w:tc>
          <w:tcPr>
            <w:tcW w:w="1286" w:type="dxa"/>
            <w:tcBorders>
              <w:top w:val="single" w:sz="5" w:space="0" w:color="000000"/>
              <w:left w:val="single" w:sz="5" w:space="0" w:color="000000"/>
              <w:bottom w:val="single" w:sz="5" w:space="0" w:color="000000"/>
              <w:right w:val="single" w:sz="5" w:space="0" w:color="000000"/>
            </w:tcBorders>
          </w:tcPr>
          <w:p w14:paraId="7B842F45" w14:textId="77777777" w:rsidR="00962D10" w:rsidRDefault="008D75AF" w:rsidP="002E5374">
            <w:pPr>
              <w:pStyle w:val="TableParagraph"/>
              <w:ind w:left="102" w:right="515"/>
              <w:jc w:val="both"/>
              <w:rPr>
                <w:rFonts w:ascii="Calibri" w:eastAsia="Calibri" w:hAnsi="Calibri" w:cs="Calibri"/>
                <w:sz w:val="20"/>
                <w:szCs w:val="20"/>
              </w:rPr>
            </w:pPr>
            <w:r>
              <w:rPr>
                <w:rFonts w:ascii="Calibri"/>
                <w:b/>
                <w:sz w:val="20"/>
              </w:rPr>
              <w:t>ITALY</w:t>
            </w:r>
            <w:r>
              <w:rPr>
                <w:rFonts w:ascii="Calibri"/>
                <w:b/>
                <w:w w:val="99"/>
                <w:sz w:val="20"/>
              </w:rPr>
              <w:t xml:space="preserve"> </w:t>
            </w:r>
            <w:r>
              <w:rPr>
                <w:rFonts w:ascii="Calibri"/>
                <w:b/>
                <w:spacing w:val="-1"/>
                <w:sz w:val="20"/>
              </w:rPr>
              <w:t>TARGET</w:t>
            </w:r>
          </w:p>
        </w:tc>
      </w:tr>
      <w:tr w:rsidR="00962D10" w14:paraId="66799B40" w14:textId="77777777">
        <w:trPr>
          <w:trHeight w:hRule="exact" w:val="816"/>
        </w:trPr>
        <w:tc>
          <w:tcPr>
            <w:tcW w:w="5997" w:type="dxa"/>
            <w:tcBorders>
              <w:top w:val="single" w:sz="5" w:space="0" w:color="000000"/>
              <w:left w:val="single" w:sz="5" w:space="0" w:color="000000"/>
              <w:bottom w:val="single" w:sz="5" w:space="0" w:color="000000"/>
              <w:right w:val="single" w:sz="5" w:space="0" w:color="000000"/>
            </w:tcBorders>
          </w:tcPr>
          <w:p w14:paraId="0A6DDC9C" w14:textId="77777777" w:rsidR="00962D10" w:rsidRDefault="00962D10" w:rsidP="002E5374">
            <w:pPr>
              <w:pStyle w:val="TableParagraph"/>
              <w:spacing w:before="4"/>
              <w:jc w:val="both"/>
              <w:rPr>
                <w:rFonts w:ascii="Malgun Gothic" w:eastAsia="Malgun Gothic" w:hAnsi="Malgun Gothic" w:cs="Malgun Gothic"/>
                <w:sz w:val="15"/>
                <w:szCs w:val="15"/>
              </w:rPr>
            </w:pPr>
          </w:p>
          <w:p w14:paraId="33B502C5" w14:textId="77777777" w:rsidR="00962D10" w:rsidRDefault="008D75AF" w:rsidP="002E5374">
            <w:pPr>
              <w:pStyle w:val="TableParagraph"/>
              <w:ind w:left="102"/>
              <w:jc w:val="both"/>
              <w:rPr>
                <w:rFonts w:ascii="Calibri" w:eastAsia="Calibri" w:hAnsi="Calibri" w:cs="Calibri"/>
              </w:rPr>
            </w:pPr>
            <w:r>
              <w:rPr>
                <w:rFonts w:ascii="Calibri"/>
                <w:spacing w:val="-1"/>
              </w:rPr>
              <w:t>Employment</w:t>
            </w:r>
            <w:r>
              <w:rPr>
                <w:rFonts w:ascii="Calibri"/>
                <w:spacing w:val="-3"/>
              </w:rPr>
              <w:t xml:space="preserve"> </w:t>
            </w:r>
            <w:r>
              <w:rPr>
                <w:rFonts w:ascii="Calibri"/>
              </w:rPr>
              <w:t>rate</w:t>
            </w:r>
            <w:r>
              <w:rPr>
                <w:rFonts w:ascii="Calibri"/>
                <w:spacing w:val="-2"/>
              </w:rPr>
              <w:t xml:space="preserve"> </w:t>
            </w:r>
            <w:r>
              <w:rPr>
                <w:rFonts w:ascii="Calibri"/>
              </w:rPr>
              <w:t>(in</w:t>
            </w:r>
            <w:r>
              <w:rPr>
                <w:rFonts w:ascii="Calibri"/>
                <w:spacing w:val="-1"/>
              </w:rPr>
              <w:t xml:space="preserve"> %)</w:t>
            </w:r>
          </w:p>
        </w:tc>
        <w:tc>
          <w:tcPr>
            <w:tcW w:w="1286" w:type="dxa"/>
            <w:tcBorders>
              <w:top w:val="single" w:sz="5" w:space="0" w:color="000000"/>
              <w:left w:val="single" w:sz="5" w:space="0" w:color="000000"/>
              <w:bottom w:val="single" w:sz="5" w:space="0" w:color="000000"/>
              <w:right w:val="single" w:sz="5" w:space="0" w:color="000000"/>
            </w:tcBorders>
          </w:tcPr>
          <w:p w14:paraId="42381EF3" w14:textId="77777777" w:rsidR="00962D10" w:rsidRDefault="00962D10" w:rsidP="002E5374">
            <w:pPr>
              <w:pStyle w:val="TableParagraph"/>
              <w:spacing w:before="4"/>
              <w:jc w:val="both"/>
              <w:rPr>
                <w:rFonts w:ascii="Malgun Gothic" w:eastAsia="Malgun Gothic" w:hAnsi="Malgun Gothic" w:cs="Malgun Gothic"/>
                <w:sz w:val="15"/>
                <w:szCs w:val="15"/>
              </w:rPr>
            </w:pPr>
          </w:p>
          <w:p w14:paraId="7E0832E1" w14:textId="77777777" w:rsidR="00962D10" w:rsidRDefault="008D75AF" w:rsidP="002E5374">
            <w:pPr>
              <w:pStyle w:val="TableParagraph"/>
              <w:ind w:left="99"/>
              <w:jc w:val="both"/>
              <w:rPr>
                <w:rFonts w:ascii="Calibri" w:eastAsia="Calibri" w:hAnsi="Calibri" w:cs="Calibri"/>
              </w:rPr>
            </w:pPr>
            <w:r>
              <w:rPr>
                <w:rFonts w:ascii="Calibri"/>
              </w:rPr>
              <w:t>75</w:t>
            </w:r>
            <w:r>
              <w:rPr>
                <w:rFonts w:ascii="Calibri"/>
                <w:spacing w:val="-1"/>
              </w:rPr>
              <w:t xml:space="preserve"> </w:t>
            </w:r>
            <w:r>
              <w:rPr>
                <w:rFonts w:ascii="Calibri"/>
              </w:rPr>
              <w:t>%</w:t>
            </w:r>
          </w:p>
        </w:tc>
        <w:tc>
          <w:tcPr>
            <w:tcW w:w="1287" w:type="dxa"/>
            <w:tcBorders>
              <w:top w:val="single" w:sz="5" w:space="0" w:color="000000"/>
              <w:left w:val="single" w:sz="5" w:space="0" w:color="000000"/>
              <w:bottom w:val="single" w:sz="5" w:space="0" w:color="000000"/>
              <w:right w:val="single" w:sz="5" w:space="0" w:color="000000"/>
            </w:tcBorders>
          </w:tcPr>
          <w:p w14:paraId="1B94E371" w14:textId="77777777" w:rsidR="00962D10" w:rsidRDefault="008D75AF" w:rsidP="002E5374">
            <w:pPr>
              <w:pStyle w:val="TableParagraph"/>
              <w:ind w:left="99" w:right="196"/>
              <w:jc w:val="both"/>
              <w:rPr>
                <w:rFonts w:ascii="Calibri" w:eastAsia="Calibri" w:hAnsi="Calibri" w:cs="Calibri"/>
              </w:rPr>
            </w:pPr>
            <w:r>
              <w:rPr>
                <w:rFonts w:ascii="Calibri"/>
                <w:spacing w:val="-1"/>
              </w:rPr>
              <w:t xml:space="preserve">60.4 </w:t>
            </w:r>
            <w:r>
              <w:rPr>
                <w:rFonts w:ascii="Calibri"/>
              </w:rPr>
              <w:t>%</w:t>
            </w:r>
            <w:r>
              <w:rPr>
                <w:rFonts w:ascii="Calibri"/>
                <w:spacing w:val="23"/>
              </w:rPr>
              <w:t xml:space="preserve"> </w:t>
            </w:r>
            <w:r>
              <w:rPr>
                <w:rFonts w:ascii="Calibri"/>
                <w:spacing w:val="-1"/>
              </w:rPr>
              <w:t>(50.5</w:t>
            </w:r>
            <w:r>
              <w:rPr>
                <w:rFonts w:ascii="Calibri"/>
                <w:spacing w:val="2"/>
              </w:rPr>
              <w:t xml:space="preserve"> </w:t>
            </w:r>
            <w:r>
              <w:rPr>
                <w:rFonts w:ascii="Calibri"/>
              </w:rPr>
              <w:t>%</w:t>
            </w:r>
            <w:r>
              <w:rPr>
                <w:rFonts w:ascii="Calibri"/>
                <w:spacing w:val="-2"/>
              </w:rPr>
              <w:t xml:space="preserve"> </w:t>
            </w:r>
            <w:r>
              <w:rPr>
                <w:rFonts w:ascii="Calibri"/>
              </w:rPr>
              <w:t>for</w:t>
            </w:r>
            <w:r>
              <w:rPr>
                <w:rFonts w:ascii="Calibri"/>
                <w:spacing w:val="21"/>
              </w:rPr>
              <w:t xml:space="preserve"> </w:t>
            </w:r>
            <w:r>
              <w:rPr>
                <w:rFonts w:ascii="Calibri"/>
                <w:spacing w:val="-1"/>
              </w:rPr>
              <w:t>women)</w:t>
            </w:r>
          </w:p>
        </w:tc>
        <w:tc>
          <w:tcPr>
            <w:tcW w:w="1286" w:type="dxa"/>
            <w:tcBorders>
              <w:top w:val="single" w:sz="5" w:space="0" w:color="000000"/>
              <w:left w:val="single" w:sz="5" w:space="0" w:color="000000"/>
              <w:bottom w:val="single" w:sz="5" w:space="0" w:color="000000"/>
              <w:right w:val="single" w:sz="5" w:space="0" w:color="000000"/>
            </w:tcBorders>
          </w:tcPr>
          <w:p w14:paraId="39E629B6" w14:textId="77777777" w:rsidR="00962D10" w:rsidRDefault="00962D10" w:rsidP="002E5374">
            <w:pPr>
              <w:pStyle w:val="TableParagraph"/>
              <w:spacing w:before="4"/>
              <w:jc w:val="both"/>
              <w:rPr>
                <w:rFonts w:ascii="Malgun Gothic" w:eastAsia="Malgun Gothic" w:hAnsi="Malgun Gothic" w:cs="Malgun Gothic"/>
                <w:sz w:val="15"/>
                <w:szCs w:val="15"/>
              </w:rPr>
            </w:pPr>
          </w:p>
          <w:p w14:paraId="4DDB05C8" w14:textId="77777777" w:rsidR="00962D10" w:rsidRDefault="008D75AF" w:rsidP="002E5374">
            <w:pPr>
              <w:pStyle w:val="TableParagraph"/>
              <w:ind w:left="102"/>
              <w:jc w:val="both"/>
              <w:rPr>
                <w:rFonts w:ascii="Calibri" w:eastAsia="Calibri" w:hAnsi="Calibri" w:cs="Calibri"/>
              </w:rPr>
            </w:pPr>
            <w:r>
              <w:rPr>
                <w:rFonts w:ascii="Calibri"/>
              </w:rPr>
              <w:t>67</w:t>
            </w:r>
            <w:r>
              <w:rPr>
                <w:rFonts w:ascii="Calibri"/>
                <w:spacing w:val="-1"/>
              </w:rPr>
              <w:t xml:space="preserve"> </w:t>
            </w:r>
            <w:r>
              <w:rPr>
                <w:rFonts w:ascii="Calibri"/>
              </w:rPr>
              <w:t>%</w:t>
            </w:r>
            <w:r>
              <w:rPr>
                <w:rFonts w:ascii="Calibri"/>
                <w:spacing w:val="1"/>
              </w:rPr>
              <w:t xml:space="preserve"> </w:t>
            </w:r>
            <w:r>
              <w:rPr>
                <w:rFonts w:ascii="Calibri"/>
              </w:rPr>
              <w:t>-</w:t>
            </w:r>
            <w:r>
              <w:rPr>
                <w:rFonts w:ascii="Calibri"/>
                <w:spacing w:val="-3"/>
              </w:rPr>
              <w:t xml:space="preserve"> </w:t>
            </w:r>
            <w:r>
              <w:rPr>
                <w:rFonts w:ascii="Calibri"/>
              </w:rPr>
              <w:t>69</w:t>
            </w:r>
            <w:r>
              <w:rPr>
                <w:rFonts w:ascii="Calibri"/>
                <w:spacing w:val="-1"/>
              </w:rPr>
              <w:t xml:space="preserve"> </w:t>
            </w:r>
            <w:r>
              <w:rPr>
                <w:rFonts w:ascii="Calibri"/>
              </w:rPr>
              <w:t>%</w:t>
            </w:r>
          </w:p>
        </w:tc>
      </w:tr>
      <w:tr w:rsidR="00962D10" w14:paraId="536AD5DF" w14:textId="77777777">
        <w:trPr>
          <w:trHeight w:hRule="exact" w:val="463"/>
        </w:trPr>
        <w:tc>
          <w:tcPr>
            <w:tcW w:w="5997" w:type="dxa"/>
            <w:tcBorders>
              <w:top w:val="single" w:sz="5" w:space="0" w:color="000000"/>
              <w:left w:val="single" w:sz="5" w:space="0" w:color="000000"/>
              <w:bottom w:val="single" w:sz="5" w:space="0" w:color="000000"/>
              <w:right w:val="single" w:sz="5" w:space="0" w:color="000000"/>
            </w:tcBorders>
          </w:tcPr>
          <w:p w14:paraId="6245DF08" w14:textId="77777777" w:rsidR="00962D10" w:rsidRDefault="008D75AF" w:rsidP="002E5374">
            <w:pPr>
              <w:pStyle w:val="TableParagraph"/>
              <w:spacing w:before="87"/>
              <w:ind w:left="102"/>
              <w:jc w:val="both"/>
              <w:rPr>
                <w:rFonts w:ascii="Calibri" w:eastAsia="Calibri" w:hAnsi="Calibri" w:cs="Calibri"/>
              </w:rPr>
            </w:pPr>
            <w:r>
              <w:rPr>
                <w:rFonts w:ascii="Calibri"/>
              </w:rPr>
              <w:t>R&amp;D</w:t>
            </w:r>
            <w:r>
              <w:rPr>
                <w:rFonts w:ascii="Calibri"/>
                <w:spacing w:val="-2"/>
              </w:rPr>
              <w:t xml:space="preserve"> </w:t>
            </w:r>
            <w:r>
              <w:rPr>
                <w:rFonts w:ascii="Calibri"/>
              </w:rPr>
              <w:t>(in</w:t>
            </w:r>
            <w:r>
              <w:rPr>
                <w:rFonts w:ascii="Calibri"/>
                <w:spacing w:val="-1"/>
              </w:rPr>
              <w:t xml:space="preserve"> </w:t>
            </w:r>
            <w:r>
              <w:rPr>
                <w:rFonts w:ascii="Calibri"/>
              </w:rPr>
              <w:t>%</w:t>
            </w:r>
            <w:r>
              <w:rPr>
                <w:rFonts w:ascii="Calibri"/>
                <w:spacing w:val="-2"/>
              </w:rPr>
              <w:t xml:space="preserve"> </w:t>
            </w:r>
            <w:r>
              <w:rPr>
                <w:rFonts w:ascii="Calibri"/>
              </w:rPr>
              <w:t>of</w:t>
            </w:r>
            <w:r>
              <w:rPr>
                <w:rFonts w:ascii="Calibri"/>
                <w:spacing w:val="-3"/>
              </w:rPr>
              <w:t xml:space="preserve"> </w:t>
            </w:r>
            <w:r>
              <w:rPr>
                <w:rFonts w:ascii="Calibri"/>
                <w:spacing w:val="-1"/>
              </w:rPr>
              <w:t>GDP)</w:t>
            </w:r>
          </w:p>
        </w:tc>
        <w:tc>
          <w:tcPr>
            <w:tcW w:w="1286" w:type="dxa"/>
            <w:tcBorders>
              <w:top w:val="single" w:sz="5" w:space="0" w:color="000000"/>
              <w:left w:val="single" w:sz="5" w:space="0" w:color="000000"/>
              <w:bottom w:val="single" w:sz="5" w:space="0" w:color="000000"/>
              <w:right w:val="single" w:sz="5" w:space="0" w:color="000000"/>
            </w:tcBorders>
          </w:tcPr>
          <w:p w14:paraId="2D8A2E9E" w14:textId="77777777" w:rsidR="00962D10" w:rsidRDefault="008D75AF" w:rsidP="002E5374">
            <w:pPr>
              <w:pStyle w:val="TableParagraph"/>
              <w:spacing w:before="87"/>
              <w:ind w:left="99"/>
              <w:jc w:val="both"/>
              <w:rPr>
                <w:rFonts w:ascii="Calibri" w:eastAsia="Calibri" w:hAnsi="Calibri" w:cs="Calibri"/>
              </w:rPr>
            </w:pPr>
            <w:r>
              <w:rPr>
                <w:rFonts w:ascii="Calibri"/>
              </w:rPr>
              <w:t>3</w:t>
            </w:r>
            <w:r>
              <w:rPr>
                <w:rFonts w:ascii="Calibri"/>
                <w:spacing w:val="1"/>
              </w:rPr>
              <w:t xml:space="preserve"> </w:t>
            </w:r>
            <w:r>
              <w:rPr>
                <w:rFonts w:ascii="Calibri"/>
              </w:rPr>
              <w:t>%</w:t>
            </w:r>
          </w:p>
        </w:tc>
        <w:tc>
          <w:tcPr>
            <w:tcW w:w="1287" w:type="dxa"/>
            <w:tcBorders>
              <w:top w:val="single" w:sz="5" w:space="0" w:color="000000"/>
              <w:left w:val="single" w:sz="5" w:space="0" w:color="000000"/>
              <w:bottom w:val="single" w:sz="5" w:space="0" w:color="000000"/>
              <w:right w:val="single" w:sz="5" w:space="0" w:color="000000"/>
            </w:tcBorders>
          </w:tcPr>
          <w:p w14:paraId="292B2EC7" w14:textId="77777777" w:rsidR="00962D10" w:rsidRDefault="008D75AF" w:rsidP="002E5374">
            <w:pPr>
              <w:pStyle w:val="TableParagraph"/>
              <w:spacing w:before="87"/>
              <w:ind w:left="99"/>
              <w:jc w:val="both"/>
              <w:rPr>
                <w:rFonts w:ascii="Calibri" w:eastAsia="Calibri" w:hAnsi="Calibri" w:cs="Calibri"/>
              </w:rPr>
            </w:pPr>
            <w:r>
              <w:rPr>
                <w:rFonts w:ascii="Calibri"/>
                <w:spacing w:val="-1"/>
              </w:rPr>
              <w:t xml:space="preserve">1.29 </w:t>
            </w:r>
            <w:r>
              <w:rPr>
                <w:rFonts w:ascii="Calibri"/>
              </w:rPr>
              <w:t>%</w:t>
            </w:r>
          </w:p>
        </w:tc>
        <w:tc>
          <w:tcPr>
            <w:tcW w:w="1286" w:type="dxa"/>
            <w:tcBorders>
              <w:top w:val="single" w:sz="5" w:space="0" w:color="000000"/>
              <w:left w:val="single" w:sz="5" w:space="0" w:color="000000"/>
              <w:bottom w:val="single" w:sz="5" w:space="0" w:color="000000"/>
              <w:right w:val="single" w:sz="5" w:space="0" w:color="000000"/>
            </w:tcBorders>
          </w:tcPr>
          <w:p w14:paraId="78AE57CA" w14:textId="77777777" w:rsidR="00962D10" w:rsidRDefault="008D75AF" w:rsidP="002E5374">
            <w:pPr>
              <w:pStyle w:val="TableParagraph"/>
              <w:spacing w:before="87"/>
              <w:ind w:left="102"/>
              <w:jc w:val="both"/>
              <w:rPr>
                <w:rFonts w:ascii="Calibri" w:eastAsia="Calibri" w:hAnsi="Calibri" w:cs="Calibri"/>
              </w:rPr>
            </w:pPr>
            <w:r>
              <w:rPr>
                <w:rFonts w:ascii="Calibri"/>
                <w:spacing w:val="-1"/>
              </w:rPr>
              <w:t xml:space="preserve">1.53 </w:t>
            </w:r>
            <w:r>
              <w:rPr>
                <w:rFonts w:ascii="Calibri"/>
              </w:rPr>
              <w:t>%</w:t>
            </w:r>
          </w:p>
        </w:tc>
      </w:tr>
      <w:tr w:rsidR="00962D10" w14:paraId="5F10A840" w14:textId="77777777">
        <w:trPr>
          <w:trHeight w:hRule="exact" w:val="463"/>
        </w:trPr>
        <w:tc>
          <w:tcPr>
            <w:tcW w:w="5997" w:type="dxa"/>
            <w:tcBorders>
              <w:top w:val="single" w:sz="5" w:space="0" w:color="000000"/>
              <w:left w:val="single" w:sz="5" w:space="0" w:color="000000"/>
              <w:bottom w:val="single" w:sz="5" w:space="0" w:color="000000"/>
              <w:right w:val="single" w:sz="5" w:space="0" w:color="000000"/>
            </w:tcBorders>
          </w:tcPr>
          <w:p w14:paraId="449B9EA8" w14:textId="77777777" w:rsidR="00962D10" w:rsidRDefault="008D75AF" w:rsidP="002E5374">
            <w:pPr>
              <w:pStyle w:val="TableParagraph"/>
              <w:spacing w:before="89"/>
              <w:ind w:left="102"/>
              <w:jc w:val="both"/>
              <w:rPr>
                <w:rFonts w:ascii="Calibri" w:eastAsia="Calibri" w:hAnsi="Calibri" w:cs="Calibri"/>
              </w:rPr>
            </w:pPr>
            <w:r>
              <w:rPr>
                <w:rFonts w:ascii="Calibri"/>
                <w:spacing w:val="-1"/>
              </w:rPr>
              <w:t>Emissions</w:t>
            </w:r>
            <w:r>
              <w:rPr>
                <w:rFonts w:ascii="Calibri"/>
              </w:rPr>
              <w:t xml:space="preserve"> </w:t>
            </w:r>
            <w:r>
              <w:rPr>
                <w:rFonts w:ascii="Calibri"/>
                <w:spacing w:val="-1"/>
              </w:rPr>
              <w:t>reduction</w:t>
            </w:r>
            <w:r>
              <w:rPr>
                <w:rFonts w:ascii="Calibri"/>
                <w:spacing w:val="-3"/>
              </w:rPr>
              <w:t xml:space="preserve"> </w:t>
            </w:r>
            <w:r>
              <w:rPr>
                <w:rFonts w:ascii="Calibri"/>
                <w:spacing w:val="-1"/>
              </w:rPr>
              <w:t>targets</w:t>
            </w:r>
            <w:r>
              <w:rPr>
                <w:rFonts w:ascii="Calibri"/>
              </w:rPr>
              <w:t xml:space="preserve"> </w:t>
            </w:r>
            <w:r>
              <w:rPr>
                <w:rFonts w:ascii="Calibri"/>
                <w:spacing w:val="-1"/>
              </w:rPr>
              <w:t>(compared</w:t>
            </w:r>
            <w:r>
              <w:rPr>
                <w:rFonts w:ascii="Calibri"/>
              </w:rPr>
              <w:t xml:space="preserve"> </w:t>
            </w:r>
            <w:r>
              <w:rPr>
                <w:rFonts w:ascii="Calibri"/>
                <w:spacing w:val="-1"/>
              </w:rPr>
              <w:t>to 2005</w:t>
            </w:r>
            <w:r>
              <w:rPr>
                <w:rFonts w:ascii="Calibri"/>
              </w:rPr>
              <w:t xml:space="preserve"> </w:t>
            </w:r>
            <w:r>
              <w:rPr>
                <w:rFonts w:ascii="Calibri"/>
                <w:spacing w:val="-1"/>
              </w:rPr>
              <w:t>level)</w:t>
            </w:r>
          </w:p>
        </w:tc>
        <w:tc>
          <w:tcPr>
            <w:tcW w:w="1286" w:type="dxa"/>
            <w:tcBorders>
              <w:top w:val="single" w:sz="5" w:space="0" w:color="000000"/>
              <w:left w:val="single" w:sz="5" w:space="0" w:color="000000"/>
              <w:bottom w:val="single" w:sz="5" w:space="0" w:color="000000"/>
              <w:right w:val="single" w:sz="5" w:space="0" w:color="000000"/>
            </w:tcBorders>
          </w:tcPr>
          <w:p w14:paraId="21227A49" w14:textId="77777777" w:rsidR="00962D10" w:rsidRDefault="008D75AF" w:rsidP="002E5374">
            <w:pPr>
              <w:pStyle w:val="TableParagraph"/>
              <w:spacing w:before="89"/>
              <w:ind w:left="99"/>
              <w:jc w:val="both"/>
              <w:rPr>
                <w:rFonts w:ascii="Calibri" w:eastAsia="Calibri" w:hAnsi="Calibri" w:cs="Calibri"/>
              </w:rPr>
            </w:pPr>
            <w:r>
              <w:rPr>
                <w:rFonts w:ascii="Calibri"/>
              </w:rPr>
              <w:t>20</w:t>
            </w:r>
            <w:r>
              <w:rPr>
                <w:rFonts w:ascii="Calibri"/>
                <w:spacing w:val="-1"/>
              </w:rPr>
              <w:t xml:space="preserve"> </w:t>
            </w:r>
            <w:r>
              <w:rPr>
                <w:rFonts w:ascii="Calibri"/>
              </w:rPr>
              <w:t>%</w:t>
            </w:r>
          </w:p>
        </w:tc>
        <w:tc>
          <w:tcPr>
            <w:tcW w:w="1287" w:type="dxa"/>
            <w:tcBorders>
              <w:top w:val="single" w:sz="5" w:space="0" w:color="000000"/>
              <w:left w:val="single" w:sz="5" w:space="0" w:color="000000"/>
              <w:bottom w:val="single" w:sz="5" w:space="0" w:color="000000"/>
              <w:right w:val="single" w:sz="5" w:space="0" w:color="000000"/>
            </w:tcBorders>
          </w:tcPr>
          <w:p w14:paraId="42BA0189" w14:textId="77777777" w:rsidR="00962D10" w:rsidRDefault="008D75AF" w:rsidP="002E5374">
            <w:pPr>
              <w:pStyle w:val="TableParagraph"/>
              <w:spacing w:before="89"/>
              <w:ind w:left="99"/>
              <w:jc w:val="both"/>
              <w:rPr>
                <w:rFonts w:ascii="Calibri" w:eastAsia="Calibri" w:hAnsi="Calibri" w:cs="Calibri"/>
              </w:rPr>
            </w:pPr>
            <w:r>
              <w:rPr>
                <w:rFonts w:ascii="Calibri"/>
              </w:rPr>
              <w:t>22</w:t>
            </w:r>
            <w:r>
              <w:rPr>
                <w:rFonts w:ascii="Calibri"/>
                <w:spacing w:val="-2"/>
              </w:rPr>
              <w:t xml:space="preserve"> </w:t>
            </w:r>
            <w:r>
              <w:rPr>
                <w:rFonts w:ascii="Calibri"/>
              </w:rPr>
              <w:t>%</w:t>
            </w:r>
          </w:p>
        </w:tc>
        <w:tc>
          <w:tcPr>
            <w:tcW w:w="1286" w:type="dxa"/>
            <w:tcBorders>
              <w:top w:val="single" w:sz="5" w:space="0" w:color="000000"/>
              <w:left w:val="single" w:sz="5" w:space="0" w:color="000000"/>
              <w:bottom w:val="single" w:sz="5" w:space="0" w:color="000000"/>
              <w:right w:val="single" w:sz="5" w:space="0" w:color="000000"/>
            </w:tcBorders>
          </w:tcPr>
          <w:p w14:paraId="74D9B564" w14:textId="77777777" w:rsidR="00962D10" w:rsidRDefault="008D75AF" w:rsidP="002E5374">
            <w:pPr>
              <w:pStyle w:val="TableParagraph"/>
              <w:spacing w:before="89"/>
              <w:ind w:left="102"/>
              <w:jc w:val="both"/>
              <w:rPr>
                <w:rFonts w:ascii="Calibri" w:eastAsia="Calibri" w:hAnsi="Calibri" w:cs="Calibri"/>
              </w:rPr>
            </w:pPr>
            <w:r>
              <w:rPr>
                <w:rFonts w:ascii="Calibri"/>
              </w:rPr>
              <w:t>13</w:t>
            </w:r>
            <w:r>
              <w:rPr>
                <w:rFonts w:ascii="Calibri"/>
                <w:spacing w:val="-2"/>
              </w:rPr>
              <w:t xml:space="preserve"> </w:t>
            </w:r>
            <w:r>
              <w:rPr>
                <w:rFonts w:ascii="Calibri"/>
              </w:rPr>
              <w:t>%</w:t>
            </w:r>
          </w:p>
        </w:tc>
      </w:tr>
    </w:tbl>
    <w:p w14:paraId="1D1380E2" w14:textId="77777777" w:rsidR="00962D10" w:rsidRDefault="00962D10" w:rsidP="002E5374">
      <w:pPr>
        <w:jc w:val="both"/>
        <w:rPr>
          <w:rFonts w:ascii="Calibri" w:eastAsia="Calibri" w:hAnsi="Calibri" w:cs="Calibri"/>
        </w:rPr>
        <w:sectPr w:rsidR="00962D10" w:rsidSect="00D40779">
          <w:footerReference w:type="default" r:id="rId11"/>
          <w:pgSz w:w="11900" w:h="16850"/>
          <w:pgMar w:top="1460" w:right="760" w:bottom="940" w:left="1134" w:header="0" w:footer="753" w:gutter="0"/>
          <w:cols w:space="720"/>
        </w:sectPr>
      </w:pPr>
    </w:p>
    <w:p w14:paraId="10442B95" w14:textId="77777777" w:rsidR="00962D10" w:rsidRDefault="00962D10" w:rsidP="002E5374">
      <w:pPr>
        <w:spacing w:before="10"/>
        <w:jc w:val="both"/>
        <w:rPr>
          <w:rFonts w:ascii="Calibri" w:eastAsia="Calibri" w:hAnsi="Calibri" w:cs="Calibri"/>
          <w:b/>
          <w:bCs/>
          <w:sz w:val="25"/>
          <w:szCs w:val="25"/>
        </w:rPr>
      </w:pPr>
    </w:p>
    <w:p w14:paraId="22489F90" w14:textId="77777777" w:rsidR="00962D10" w:rsidRDefault="008D75AF" w:rsidP="002E5374">
      <w:pPr>
        <w:pStyle w:val="Heading1"/>
        <w:numPr>
          <w:ilvl w:val="0"/>
          <w:numId w:val="15"/>
        </w:numPr>
        <w:tabs>
          <w:tab w:val="left" w:pos="938"/>
        </w:tabs>
        <w:ind w:left="937"/>
        <w:jc w:val="both"/>
        <w:rPr>
          <w:b w:val="0"/>
          <w:bCs w:val="0"/>
        </w:rPr>
      </w:pPr>
      <w:r>
        <w:rPr>
          <w:spacing w:val="-1"/>
        </w:rPr>
        <w:t>LABOUR</w:t>
      </w:r>
      <w:r>
        <w:t xml:space="preserve"> </w:t>
      </w:r>
      <w:r>
        <w:rPr>
          <w:spacing w:val="-1"/>
        </w:rPr>
        <w:t>MARKET POLICIES</w:t>
      </w:r>
    </w:p>
    <w:p w14:paraId="571E2623" w14:textId="77777777" w:rsidR="00D40779" w:rsidRPr="00D40779" w:rsidRDefault="008D75AF" w:rsidP="00D40779">
      <w:pPr>
        <w:numPr>
          <w:ilvl w:val="1"/>
          <w:numId w:val="15"/>
        </w:numPr>
        <w:tabs>
          <w:tab w:val="left" w:pos="1720"/>
        </w:tabs>
        <w:spacing w:before="139" w:line="220" w:lineRule="auto"/>
        <w:ind w:right="79" w:firstLine="1080"/>
        <w:jc w:val="both"/>
        <w:rPr>
          <w:rFonts w:ascii="Malgun Gothic" w:eastAsia="Malgun Gothic" w:hAnsi="Malgun Gothic" w:cs="Malgun Gothic"/>
          <w:sz w:val="20"/>
          <w:szCs w:val="20"/>
        </w:rPr>
      </w:pPr>
      <w:r>
        <w:rPr>
          <w:rFonts w:ascii="Calibri"/>
          <w:b/>
          <w:spacing w:val="-1"/>
          <w:sz w:val="24"/>
        </w:rPr>
        <w:t>IMPROVING</w:t>
      </w:r>
      <w:r>
        <w:rPr>
          <w:rFonts w:ascii="Calibri"/>
          <w:b/>
          <w:spacing w:val="-6"/>
          <w:sz w:val="24"/>
        </w:rPr>
        <w:t xml:space="preserve"> </w:t>
      </w:r>
      <w:r>
        <w:rPr>
          <w:rFonts w:ascii="Calibri"/>
          <w:b/>
          <w:sz w:val="24"/>
        </w:rPr>
        <w:t>THE</w:t>
      </w:r>
      <w:r>
        <w:rPr>
          <w:rFonts w:ascii="Calibri"/>
          <w:b/>
          <w:spacing w:val="-6"/>
          <w:sz w:val="24"/>
        </w:rPr>
        <w:t xml:space="preserve"> </w:t>
      </w:r>
      <w:r>
        <w:rPr>
          <w:rFonts w:ascii="Calibri"/>
          <w:b/>
          <w:spacing w:val="-1"/>
          <w:sz w:val="24"/>
        </w:rPr>
        <w:t>FUNCTIONING</w:t>
      </w:r>
      <w:r>
        <w:rPr>
          <w:rFonts w:ascii="Calibri"/>
          <w:b/>
          <w:spacing w:val="-5"/>
          <w:sz w:val="24"/>
        </w:rPr>
        <w:t xml:space="preserve"> </w:t>
      </w:r>
      <w:r>
        <w:rPr>
          <w:rFonts w:ascii="Calibri"/>
          <w:b/>
          <w:sz w:val="24"/>
        </w:rPr>
        <w:t>OF</w:t>
      </w:r>
      <w:r>
        <w:rPr>
          <w:rFonts w:ascii="Calibri"/>
          <w:b/>
          <w:spacing w:val="-8"/>
          <w:sz w:val="24"/>
        </w:rPr>
        <w:t xml:space="preserve"> </w:t>
      </w:r>
      <w:r>
        <w:rPr>
          <w:rFonts w:ascii="Calibri"/>
          <w:b/>
          <w:sz w:val="24"/>
        </w:rPr>
        <w:t>THE</w:t>
      </w:r>
      <w:r>
        <w:rPr>
          <w:rFonts w:ascii="Calibri"/>
          <w:b/>
          <w:spacing w:val="-7"/>
          <w:sz w:val="24"/>
        </w:rPr>
        <w:t xml:space="preserve"> </w:t>
      </w:r>
      <w:r>
        <w:rPr>
          <w:rFonts w:ascii="Calibri"/>
          <w:b/>
          <w:spacing w:val="-1"/>
          <w:sz w:val="24"/>
        </w:rPr>
        <w:t>LABOUR</w:t>
      </w:r>
      <w:r>
        <w:rPr>
          <w:rFonts w:ascii="Calibri"/>
          <w:b/>
          <w:spacing w:val="-10"/>
          <w:sz w:val="24"/>
        </w:rPr>
        <w:t xml:space="preserve"> </w:t>
      </w:r>
      <w:r>
        <w:rPr>
          <w:rFonts w:ascii="Calibri"/>
          <w:b/>
          <w:spacing w:val="-1"/>
          <w:sz w:val="24"/>
        </w:rPr>
        <w:t>MARKET</w:t>
      </w:r>
      <w:r>
        <w:rPr>
          <w:rFonts w:ascii="Calibri"/>
          <w:b/>
          <w:spacing w:val="31"/>
          <w:w w:val="99"/>
          <w:sz w:val="24"/>
        </w:rPr>
        <w:t xml:space="preserve"> </w:t>
      </w:r>
    </w:p>
    <w:p w14:paraId="3AA9E9DA" w14:textId="77777777" w:rsidR="00962D10" w:rsidRDefault="008D75AF" w:rsidP="00D40779">
      <w:pPr>
        <w:tabs>
          <w:tab w:val="left" w:pos="1720"/>
        </w:tabs>
        <w:spacing w:before="139" w:line="220" w:lineRule="auto"/>
        <w:ind w:right="5"/>
        <w:rPr>
          <w:rFonts w:ascii="Malgun Gothic" w:eastAsia="Malgun Gothic" w:hAnsi="Malgun Gothic" w:cs="Malgun Gothic"/>
          <w:sz w:val="20"/>
          <w:szCs w:val="20"/>
        </w:rPr>
      </w:pPr>
      <w:r>
        <w:rPr>
          <w:rFonts w:ascii="Malgun Gothic"/>
          <w:spacing w:val="-1"/>
          <w:w w:val="95"/>
          <w:sz w:val="20"/>
        </w:rPr>
        <w:t>Source:</w:t>
      </w:r>
      <w:r>
        <w:rPr>
          <w:rFonts w:ascii="Malgun Gothic"/>
          <w:w w:val="95"/>
          <w:sz w:val="20"/>
        </w:rPr>
        <w:t xml:space="preserve">   </w:t>
      </w:r>
      <w:r>
        <w:rPr>
          <w:rFonts w:ascii="Malgun Gothic"/>
          <w:spacing w:val="49"/>
          <w:w w:val="95"/>
          <w:sz w:val="20"/>
        </w:rPr>
        <w:t xml:space="preserve"> </w:t>
      </w:r>
      <w:hyperlink r:id="rId12">
        <w:r>
          <w:rPr>
            <w:rFonts w:ascii="Malgun Gothic"/>
            <w:color w:val="0000FF"/>
            <w:w w:val="95"/>
            <w:sz w:val="20"/>
            <w:u w:val="single" w:color="0000FF"/>
          </w:rPr>
          <w:t>http://www.oecd.org/italy/Employment-Outlook-Italy-EN.pdf</w:t>
        </w:r>
      </w:hyperlink>
      <w:r>
        <w:rPr>
          <w:rFonts w:ascii="Malgun Gothic"/>
          <w:color w:val="0000FF"/>
          <w:w w:val="99"/>
          <w:sz w:val="20"/>
        </w:rPr>
        <w:t xml:space="preserve"> </w:t>
      </w:r>
      <w:hyperlink r:id="rId13">
        <w:r>
          <w:rPr>
            <w:rFonts w:ascii="Malgun Gothic"/>
            <w:color w:val="0000FF"/>
            <w:w w:val="99"/>
            <w:sz w:val="20"/>
          </w:rPr>
          <w:t xml:space="preserve"> </w:t>
        </w:r>
        <w:r>
          <w:rPr>
            <w:rFonts w:ascii="Malgun Gothic"/>
            <w:color w:val="0000FF"/>
            <w:spacing w:val="-1"/>
            <w:sz w:val="20"/>
            <w:u w:val="single" w:color="0000FF"/>
          </w:rPr>
          <w:t>http://www.naspi.biz/anpal-il-portale-governativo-per-i-disoccupati/</w:t>
        </w:r>
      </w:hyperlink>
    </w:p>
    <w:p w14:paraId="237D2192" w14:textId="77777777" w:rsidR="00962D10" w:rsidRDefault="00962D10" w:rsidP="002E5374">
      <w:pPr>
        <w:spacing w:before="1"/>
        <w:jc w:val="both"/>
        <w:rPr>
          <w:rFonts w:ascii="Malgun Gothic" w:eastAsia="Malgun Gothic" w:hAnsi="Malgun Gothic" w:cs="Malgun Gothic"/>
          <w:sz w:val="9"/>
          <w:szCs w:val="9"/>
        </w:rPr>
      </w:pPr>
    </w:p>
    <w:p w14:paraId="127D9B8F" w14:textId="77777777" w:rsidR="00962D10" w:rsidRPr="00430383" w:rsidRDefault="008D75AF" w:rsidP="006258A1">
      <w:pPr>
        <w:pStyle w:val="BodyText"/>
        <w:spacing w:line="310"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In general, after many years of crisis in the OECD area, labour market conditions are beginning to</w:t>
      </w:r>
      <w:r w:rsidR="00D40779">
        <w:rPr>
          <w:rFonts w:ascii="Helvetica Neue" w:eastAsiaTheme="minorEastAsia" w:hAnsi="Helvetica Neue" w:cs="Times New Roman"/>
        </w:rPr>
        <w:t xml:space="preserve"> </w:t>
      </w:r>
      <w:r w:rsidRPr="00430383">
        <w:rPr>
          <w:rFonts w:ascii="Helvetica Neue" w:eastAsiaTheme="minorEastAsia" w:hAnsi="Helvetica Neue" w:cs="Times New Roman"/>
        </w:rPr>
        <w:t>improve, and although many differences still exist between countries and groups of workers, the average employment rate is expected to return to pre-crisis levels in 2017, almost ten years after the onset of the global financial crisis. Wage growth in real terms has, however, been weak since 2007, highlighting the risk of lasting wage stagnation.</w:t>
      </w:r>
    </w:p>
    <w:p w14:paraId="77C5754B" w14:textId="77777777" w:rsidR="00962D10" w:rsidRPr="00430383" w:rsidRDefault="008D75AF" w:rsidP="006258A1">
      <w:pPr>
        <w:pStyle w:val="BodyText"/>
        <w:spacing w:before="140" w:line="346"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In Italy, the labour market "is slowly improving". </w:t>
      </w:r>
      <w:proofErr w:type="gramStart"/>
      <w:r w:rsidRPr="00430383">
        <w:rPr>
          <w:rFonts w:ascii="Helvetica Neue" w:eastAsiaTheme="minorEastAsia" w:hAnsi="Helvetica Neue" w:cs="Times New Roman"/>
        </w:rPr>
        <w:t>This was s</w:t>
      </w:r>
      <w:r w:rsidR="00D40779">
        <w:rPr>
          <w:rFonts w:ascii="Helvetica Neue" w:eastAsiaTheme="minorEastAsia" w:hAnsi="Helvetica Neue" w:cs="Times New Roman"/>
        </w:rPr>
        <w:t xml:space="preserve">tated by the OECD in its annual </w:t>
      </w:r>
      <w:r w:rsidRPr="00430383">
        <w:rPr>
          <w:rFonts w:ascii="Helvetica Neue" w:eastAsiaTheme="minorEastAsia" w:hAnsi="Helvetica Neue" w:cs="Times New Roman"/>
        </w:rPr>
        <w:t>employment report</w:t>
      </w:r>
      <w:proofErr w:type="gramEnd"/>
      <w:r w:rsidRPr="00430383">
        <w:rPr>
          <w:rFonts w:ascii="Helvetica Neue" w:eastAsiaTheme="minorEastAsia" w:hAnsi="Helvetica Neue" w:cs="Times New Roman"/>
        </w:rPr>
        <w:t>. "The employment rate for the population aged between 15 and 74 years is on the increase again from the first quarter of 2015 and now stands at 49.4 %": however, it is envisaged that this rate will remain below pre-crisis levels even in 2017.</w:t>
      </w:r>
    </w:p>
    <w:p w14:paraId="6D31AEDC" w14:textId="77777777" w:rsidR="00962D10" w:rsidRPr="00430383" w:rsidRDefault="008D75AF" w:rsidP="006258A1">
      <w:pPr>
        <w:pStyle w:val="BodyText"/>
        <w:spacing w:before="96" w:line="347"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Meanwhile, the unemployment rate fell from a peak of 12.8 % to 11.5 %, and is projected to fall to 10.5% by the end of 2017.</w:t>
      </w:r>
    </w:p>
    <w:p w14:paraId="260E2E6D" w14:textId="77777777" w:rsidR="00962D10" w:rsidRPr="00430383" w:rsidRDefault="008D75AF" w:rsidP="006258A1">
      <w:pPr>
        <w:pStyle w:val="BodyText"/>
        <w:spacing w:before="117"/>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The long-term unemployed, </w:t>
      </w:r>
      <w:r w:rsidR="00656097" w:rsidRPr="00430383">
        <w:rPr>
          <w:rFonts w:ascii="Helvetica Neue" w:eastAsiaTheme="minorEastAsia" w:hAnsi="Helvetica Neue" w:cs="Times New Roman"/>
        </w:rPr>
        <w:t>namely</w:t>
      </w:r>
      <w:r w:rsidRPr="00430383">
        <w:rPr>
          <w:rFonts w:ascii="Helvetica Neue" w:eastAsiaTheme="minorEastAsia" w:hAnsi="Helvetica Neue" w:cs="Times New Roman"/>
        </w:rPr>
        <w:t xml:space="preserve"> people seeking employment for more than one year, </w:t>
      </w:r>
      <w:r w:rsidR="00656097" w:rsidRPr="00430383">
        <w:rPr>
          <w:rFonts w:ascii="Helvetica Neue" w:eastAsiaTheme="minorEastAsia" w:hAnsi="Helvetica Neue" w:cs="Times New Roman"/>
        </w:rPr>
        <w:t>are the</w:t>
      </w:r>
      <w:r w:rsidR="00D40779">
        <w:rPr>
          <w:rFonts w:ascii="Helvetica Neue" w:eastAsiaTheme="minorEastAsia" w:hAnsi="Helvetica Neue" w:cs="Times New Roman"/>
        </w:rPr>
        <w:t xml:space="preserve"> </w:t>
      </w:r>
      <w:r w:rsidRPr="00430383">
        <w:rPr>
          <w:rFonts w:ascii="Helvetica Neue" w:eastAsiaTheme="minorEastAsia" w:hAnsi="Helvetica Neue" w:cs="Times New Roman"/>
        </w:rPr>
        <w:t>58.7% of the total unemployed, a lower share of 3.5 percentage points over the peak reached in 2014.</w:t>
      </w:r>
    </w:p>
    <w:p w14:paraId="0917D2DC" w14:textId="77777777" w:rsidR="00962D10" w:rsidRPr="00430383" w:rsidRDefault="008D75AF" w:rsidP="006258A1">
      <w:pPr>
        <w:pStyle w:val="BodyText"/>
        <w:spacing w:before="140" w:line="346"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With the labour market reforms and particularly the Jobs Act, the OECD states that Italy has managed to avert the risk of “short-term undesirable effects", both because of its highly segmented market and the promotion of the </w:t>
      </w:r>
      <w:r w:rsidR="005F18F9" w:rsidRPr="00430383">
        <w:rPr>
          <w:rFonts w:ascii="Helvetica Neue" w:eastAsiaTheme="minorEastAsia" w:hAnsi="Helvetica Neue" w:cs="Times New Roman"/>
          <w:i/>
        </w:rPr>
        <w:t xml:space="preserve">Increasing law </w:t>
      </w:r>
      <w:r w:rsidRPr="00430383">
        <w:rPr>
          <w:rFonts w:ascii="Helvetica Neue" w:eastAsiaTheme="minorEastAsia" w:hAnsi="Helvetica Neue" w:cs="Times New Roman"/>
          <w:i/>
        </w:rPr>
        <w:t>protections employment contract</w:t>
      </w:r>
      <w:r w:rsidRPr="00430383">
        <w:rPr>
          <w:rFonts w:ascii="Helvetica Neue" w:eastAsiaTheme="minorEastAsia" w:hAnsi="Helvetica Neue" w:cs="Times New Roman"/>
        </w:rPr>
        <w:t xml:space="preserve"> (permanent employment contract with increasing protection related to the tenure) which has fostered "a </w:t>
      </w:r>
      <w:r w:rsidR="00EA4453">
        <w:rPr>
          <w:rFonts w:ascii="Helvetica Neue" w:eastAsiaTheme="minorEastAsia" w:hAnsi="Helvetica Neue" w:cs="Times New Roman"/>
        </w:rPr>
        <w:t>clear</w:t>
      </w:r>
      <w:r w:rsidR="00EA4453" w:rsidRPr="00430383">
        <w:rPr>
          <w:rFonts w:ascii="Helvetica Neue" w:eastAsiaTheme="minorEastAsia" w:hAnsi="Helvetica Neue" w:cs="Times New Roman"/>
        </w:rPr>
        <w:t xml:space="preserve"> </w:t>
      </w:r>
      <w:r w:rsidRPr="00430383">
        <w:rPr>
          <w:rFonts w:ascii="Helvetica Neue" w:eastAsiaTheme="minorEastAsia" w:hAnsi="Helvetica Neue" w:cs="Times New Roman"/>
        </w:rPr>
        <w:t>creation of jobs".</w:t>
      </w:r>
    </w:p>
    <w:p w14:paraId="7200EB6E" w14:textId="77777777" w:rsidR="00962D10" w:rsidRPr="00EA4453" w:rsidRDefault="008D75AF" w:rsidP="006258A1">
      <w:pPr>
        <w:pStyle w:val="BodyText"/>
        <w:spacing w:before="96"/>
        <w:ind w:left="0" w:right="19"/>
        <w:jc w:val="both"/>
        <w:rPr>
          <w:rFonts w:ascii="Helvetica Neue" w:eastAsiaTheme="minorEastAsia" w:hAnsi="Helvetica Neue" w:cs="Times New Roman"/>
        </w:rPr>
      </w:pPr>
      <w:r w:rsidRPr="00EA4453">
        <w:rPr>
          <w:rFonts w:ascii="Helvetica Neue" w:eastAsiaTheme="minorEastAsia" w:hAnsi="Helvetica Neue" w:cs="Times New Roman"/>
        </w:rPr>
        <w:t xml:space="preserve">The Employment Outlook 2016 analyses in detail the effects of structural reforms </w:t>
      </w:r>
      <w:r w:rsidR="00EA4453">
        <w:rPr>
          <w:rFonts w:ascii="Helvetica Neue" w:eastAsiaTheme="minorEastAsia" w:hAnsi="Helvetica Neue" w:cs="Times New Roman"/>
        </w:rPr>
        <w:t>included those related to</w:t>
      </w:r>
      <w:r w:rsidR="00EA4453" w:rsidRPr="00EA4453">
        <w:rPr>
          <w:rFonts w:ascii="Helvetica Neue" w:eastAsiaTheme="minorEastAsia" w:hAnsi="Helvetica Neue" w:cs="Times New Roman"/>
        </w:rPr>
        <w:t xml:space="preserve"> </w:t>
      </w:r>
      <w:r w:rsidRPr="00EA4453">
        <w:rPr>
          <w:rFonts w:ascii="Helvetica Neue" w:eastAsiaTheme="minorEastAsia" w:hAnsi="Helvetica Neue" w:cs="Times New Roman"/>
        </w:rPr>
        <w:t>the labour market.</w:t>
      </w:r>
    </w:p>
    <w:p w14:paraId="2854CCEE" w14:textId="77777777" w:rsidR="00962D10" w:rsidRPr="00430383" w:rsidRDefault="008D75AF" w:rsidP="006258A1">
      <w:pPr>
        <w:spacing w:line="238" w:lineRule="auto"/>
        <w:ind w:right="17"/>
        <w:jc w:val="both"/>
        <w:rPr>
          <w:rFonts w:ascii="Helvetica Neue" w:eastAsiaTheme="minorEastAsia" w:hAnsi="Helvetica Neue" w:cs="Times New Roman"/>
          <w:sz w:val="20"/>
          <w:szCs w:val="20"/>
        </w:rPr>
      </w:pPr>
      <w:r w:rsidRPr="00947F27">
        <w:rPr>
          <w:rFonts w:ascii="Helvetica Neue" w:eastAsiaTheme="minorEastAsia" w:hAnsi="Helvetica Neue" w:cs="Times New Roman"/>
          <w:sz w:val="20"/>
          <w:szCs w:val="20"/>
        </w:rPr>
        <w:t xml:space="preserve">“In the Italian case, in particular, the Jobs Act has stimulated the use of </w:t>
      </w:r>
      <w:r w:rsidR="00C05DE3" w:rsidRPr="00C05DE3">
        <w:rPr>
          <w:rFonts w:ascii="Helvetica Neue" w:eastAsiaTheme="minorEastAsia" w:hAnsi="Helvetica Neue" w:cs="Times New Roman"/>
          <w:sz w:val="20"/>
          <w:szCs w:val="20"/>
        </w:rPr>
        <w:t>Increasing law protections employment contract</w:t>
      </w:r>
      <w:r w:rsidR="00947F27" w:rsidRPr="00947F27">
        <w:rPr>
          <w:rFonts w:ascii="Helvetica Neue" w:eastAsiaTheme="minorEastAsia" w:hAnsi="Helvetica Neue" w:cs="Times New Roman"/>
          <w:sz w:val="20"/>
          <w:szCs w:val="20"/>
        </w:rPr>
        <w:t xml:space="preserve"> </w:t>
      </w:r>
      <w:r w:rsidRPr="00947F27">
        <w:rPr>
          <w:rFonts w:ascii="Helvetica Neue" w:eastAsiaTheme="minorEastAsia" w:hAnsi="Helvetica Neue" w:cs="Times New Roman"/>
          <w:sz w:val="20"/>
          <w:szCs w:val="20"/>
        </w:rPr>
        <w:t xml:space="preserve">instead of temporary contracts with a </w:t>
      </w:r>
      <w:r w:rsidR="00711A11">
        <w:rPr>
          <w:rFonts w:ascii="Helvetica Neue" w:eastAsiaTheme="minorEastAsia" w:hAnsi="Helvetica Neue" w:cs="Times New Roman"/>
          <w:sz w:val="20"/>
          <w:szCs w:val="20"/>
        </w:rPr>
        <w:t>clear</w:t>
      </w:r>
      <w:r w:rsidR="00711A11" w:rsidRPr="00947F27">
        <w:rPr>
          <w:rFonts w:ascii="Helvetica Neue" w:eastAsiaTheme="minorEastAsia" w:hAnsi="Helvetica Neue" w:cs="Times New Roman"/>
          <w:sz w:val="20"/>
          <w:szCs w:val="20"/>
        </w:rPr>
        <w:t xml:space="preserve"> </w:t>
      </w:r>
      <w:r w:rsidRPr="00947F27">
        <w:rPr>
          <w:rFonts w:ascii="Helvetica Neue" w:eastAsiaTheme="minorEastAsia" w:hAnsi="Helvetica Neue" w:cs="Times New Roman"/>
          <w:sz w:val="20"/>
          <w:szCs w:val="20"/>
        </w:rPr>
        <w:t xml:space="preserve">creation of jobs. </w:t>
      </w:r>
      <w:r w:rsidRPr="00430383">
        <w:rPr>
          <w:rFonts w:ascii="Helvetica Neue" w:eastAsiaTheme="minorEastAsia" w:hAnsi="Helvetica Neue" w:cs="Times New Roman"/>
          <w:sz w:val="20"/>
          <w:szCs w:val="20"/>
        </w:rPr>
        <w:t xml:space="preserve">Moreover - the Paris-based </w:t>
      </w:r>
      <w:proofErr w:type="spellStart"/>
      <w:r w:rsidRPr="00430383">
        <w:rPr>
          <w:rFonts w:ascii="Helvetica Neue" w:eastAsiaTheme="minorEastAsia" w:hAnsi="Helvetica Neue" w:cs="Times New Roman"/>
          <w:sz w:val="20"/>
          <w:szCs w:val="20"/>
        </w:rPr>
        <w:t>organisation</w:t>
      </w:r>
      <w:proofErr w:type="spellEnd"/>
      <w:r w:rsidRPr="00430383">
        <w:rPr>
          <w:rFonts w:ascii="Helvetica Neue" w:eastAsiaTheme="minorEastAsia" w:hAnsi="Helvetica Neue" w:cs="Times New Roman"/>
          <w:sz w:val="20"/>
          <w:szCs w:val="20"/>
        </w:rPr>
        <w:t xml:space="preserve"> continues - the new rules only apply to new </w:t>
      </w:r>
      <w:r w:rsidR="00434CCF" w:rsidRPr="00430383">
        <w:rPr>
          <w:rFonts w:ascii="Helvetica Neue" w:eastAsiaTheme="minorEastAsia" w:hAnsi="Helvetica Neue" w:cs="Times New Roman"/>
          <w:sz w:val="20"/>
          <w:szCs w:val="20"/>
        </w:rPr>
        <w:t xml:space="preserve">employees </w:t>
      </w:r>
      <w:r w:rsidRPr="00430383">
        <w:rPr>
          <w:rFonts w:ascii="Helvetica Neue" w:eastAsiaTheme="minorEastAsia" w:hAnsi="Helvetica Neue" w:cs="Times New Roman"/>
          <w:sz w:val="20"/>
          <w:szCs w:val="20"/>
        </w:rPr>
        <w:t>and therefore encourage recruitment</w:t>
      </w:r>
      <w:r w:rsidR="00434CCF">
        <w:rPr>
          <w:rFonts w:ascii="Helvetica Neue" w:eastAsiaTheme="minorEastAsia" w:hAnsi="Helvetica Neue" w:cs="Times New Roman"/>
          <w:sz w:val="20"/>
          <w:szCs w:val="20"/>
        </w:rPr>
        <w:t>s</w:t>
      </w:r>
      <w:r w:rsidRPr="00430383">
        <w:rPr>
          <w:rFonts w:ascii="Helvetica Neue" w:eastAsiaTheme="minorEastAsia" w:hAnsi="Helvetica Neue" w:cs="Times New Roman"/>
          <w:sz w:val="20"/>
          <w:szCs w:val="20"/>
        </w:rPr>
        <w:t xml:space="preserve"> without the elimination of existing </w:t>
      </w:r>
      <w:r w:rsidR="00434CCF">
        <w:rPr>
          <w:rFonts w:ascii="Helvetica Neue" w:eastAsiaTheme="minorEastAsia" w:hAnsi="Helvetica Neue" w:cs="Times New Roman"/>
          <w:sz w:val="20"/>
          <w:szCs w:val="20"/>
        </w:rPr>
        <w:t>positions</w:t>
      </w:r>
      <w:r w:rsidRPr="00430383">
        <w:rPr>
          <w:rFonts w:ascii="Helvetica Neue" w:eastAsiaTheme="minorEastAsia" w:hAnsi="Helvetica Neue" w:cs="Times New Roman"/>
          <w:sz w:val="20"/>
          <w:szCs w:val="20"/>
        </w:rPr>
        <w:t>. Finally, the Jobs Act has extended unemployment benefits coverage and reinforced active support policies for job searching."</w:t>
      </w:r>
    </w:p>
    <w:p w14:paraId="58468493" w14:textId="77777777" w:rsidR="00962D10" w:rsidRPr="00430383" w:rsidRDefault="008D75AF" w:rsidP="006258A1">
      <w:pPr>
        <w:pStyle w:val="BodyText"/>
        <w:spacing w:before="101" w:line="238" w:lineRule="auto"/>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The Italian Stability Law 208/2015 has introduced measures to assist older workers. </w:t>
      </w:r>
      <w:r w:rsidRPr="00EE70B1">
        <w:rPr>
          <w:rFonts w:ascii="Helvetica Neue" w:eastAsiaTheme="minorEastAsia" w:hAnsi="Helvetica Neue" w:cs="Times New Roman"/>
        </w:rPr>
        <w:t>Such w</w:t>
      </w:r>
      <w:r w:rsidR="00EE70B1">
        <w:rPr>
          <w:rFonts w:ascii="Helvetica Neue" w:eastAsiaTheme="minorEastAsia" w:hAnsi="Helvetica Neue" w:cs="Times New Roman"/>
        </w:rPr>
        <w:t xml:space="preserve">orkers may request a </w:t>
      </w:r>
      <w:r w:rsidRPr="00EE70B1">
        <w:rPr>
          <w:rFonts w:ascii="Helvetica Neue" w:eastAsiaTheme="minorEastAsia" w:hAnsi="Helvetica Neue" w:cs="Times New Roman"/>
        </w:rPr>
        <w:t>reduction</w:t>
      </w:r>
      <w:r w:rsidR="00FC4AE9">
        <w:rPr>
          <w:rFonts w:ascii="Helvetica Neue" w:eastAsiaTheme="minorEastAsia" w:hAnsi="Helvetica Neue" w:cs="Times New Roman"/>
        </w:rPr>
        <w:t xml:space="preserve"> from 40</w:t>
      </w:r>
      <w:r w:rsidR="00FC4AE9" w:rsidRPr="00EE70B1">
        <w:rPr>
          <w:rFonts w:ascii="Helvetica Neue" w:eastAsiaTheme="minorEastAsia" w:hAnsi="Helvetica Neue" w:cs="Times New Roman"/>
        </w:rPr>
        <w:t>% to 60%</w:t>
      </w:r>
      <w:r w:rsidRPr="00EE70B1">
        <w:rPr>
          <w:rFonts w:ascii="Helvetica Neue" w:eastAsiaTheme="minorEastAsia" w:hAnsi="Helvetica Neue" w:cs="Times New Roman"/>
        </w:rPr>
        <w:t xml:space="preserve"> in working hours while maintaining the same contributions that </w:t>
      </w:r>
      <w:r w:rsidR="00D434AD">
        <w:rPr>
          <w:rFonts w:ascii="Helvetica Neue" w:eastAsiaTheme="minorEastAsia" w:hAnsi="Helvetica Neue" w:cs="Times New Roman"/>
        </w:rPr>
        <w:t xml:space="preserve">were </w:t>
      </w:r>
      <w:r w:rsidRPr="00EE70B1">
        <w:rPr>
          <w:rFonts w:ascii="Helvetica Neue" w:eastAsiaTheme="minorEastAsia" w:hAnsi="Helvetica Neue" w:cs="Times New Roman"/>
        </w:rPr>
        <w:t xml:space="preserve">ensured </w:t>
      </w:r>
      <w:r w:rsidR="00D434AD">
        <w:rPr>
          <w:rFonts w:ascii="Helvetica Neue" w:eastAsiaTheme="minorEastAsia" w:hAnsi="Helvetica Neue" w:cs="Times New Roman"/>
        </w:rPr>
        <w:t xml:space="preserve">by the </w:t>
      </w:r>
      <w:r w:rsidRPr="00EE70B1">
        <w:rPr>
          <w:rFonts w:ascii="Helvetica Neue" w:eastAsiaTheme="minorEastAsia" w:hAnsi="Helvetica Neue" w:cs="Times New Roman"/>
        </w:rPr>
        <w:t xml:space="preserve">full-time employment. </w:t>
      </w:r>
      <w:r w:rsidRPr="00430383">
        <w:rPr>
          <w:rFonts w:ascii="Helvetica Neue" w:eastAsiaTheme="minorEastAsia" w:hAnsi="Helvetica Neue" w:cs="Times New Roman"/>
        </w:rPr>
        <w:t xml:space="preserve">These </w:t>
      </w:r>
      <w:r w:rsidR="00D434AD" w:rsidRPr="00430383">
        <w:rPr>
          <w:rFonts w:ascii="Helvetica Neue" w:eastAsiaTheme="minorEastAsia" w:hAnsi="Helvetica Neue" w:cs="Times New Roman"/>
        </w:rPr>
        <w:t xml:space="preserve">people </w:t>
      </w:r>
      <w:r w:rsidRPr="00430383">
        <w:rPr>
          <w:rFonts w:ascii="Helvetica Neue" w:eastAsiaTheme="minorEastAsia" w:hAnsi="Helvetica Neue" w:cs="Times New Roman"/>
        </w:rPr>
        <w:t xml:space="preserve">receive a supplement with their pay </w:t>
      </w:r>
      <w:proofErr w:type="spellStart"/>
      <w:r w:rsidRPr="00430383">
        <w:rPr>
          <w:rFonts w:ascii="Helvetica Neue" w:eastAsiaTheme="minorEastAsia" w:hAnsi="Helvetica Neue" w:cs="Times New Roman"/>
        </w:rPr>
        <w:t>cheque</w:t>
      </w:r>
      <w:proofErr w:type="spellEnd"/>
      <w:r w:rsidRPr="00430383">
        <w:rPr>
          <w:rFonts w:ascii="Helvetica Neue" w:eastAsiaTheme="minorEastAsia" w:hAnsi="Helvetica Neue" w:cs="Times New Roman"/>
        </w:rPr>
        <w:t xml:space="preserve"> from the Company corresponding to the amount of contributions that the company would have had to pay in relation to the amount of </w:t>
      </w:r>
      <w:r w:rsidR="00D434AD">
        <w:rPr>
          <w:rFonts w:ascii="Helvetica Neue" w:eastAsiaTheme="minorEastAsia" w:hAnsi="Helvetica Neue" w:cs="Times New Roman"/>
        </w:rPr>
        <w:t>compensation</w:t>
      </w:r>
      <w:r w:rsidR="00D434AD" w:rsidRPr="00430383">
        <w:rPr>
          <w:rFonts w:ascii="Helvetica Neue" w:eastAsiaTheme="minorEastAsia" w:hAnsi="Helvetica Neue" w:cs="Times New Roman"/>
        </w:rPr>
        <w:t xml:space="preserve"> </w:t>
      </w:r>
      <w:r w:rsidRPr="00430383">
        <w:rPr>
          <w:rFonts w:ascii="Helvetica Neue" w:eastAsiaTheme="minorEastAsia" w:hAnsi="Helvetica Neue" w:cs="Times New Roman"/>
        </w:rPr>
        <w:t>that will cease to be paid as a result of the reduction in working hours. The cover</w:t>
      </w:r>
      <w:r w:rsidR="00B47ED7" w:rsidRPr="00430383">
        <w:rPr>
          <w:rFonts w:ascii="Helvetica Neue" w:eastAsiaTheme="minorEastAsia" w:hAnsi="Helvetica Neue" w:cs="Times New Roman"/>
        </w:rPr>
        <w:t>age</w:t>
      </w:r>
      <w:r w:rsidRPr="00430383">
        <w:rPr>
          <w:rFonts w:ascii="Helvetica Neue" w:eastAsiaTheme="minorEastAsia" w:hAnsi="Helvetica Neue" w:cs="Times New Roman"/>
        </w:rPr>
        <w:t xml:space="preserve"> of the missing contributions is notionally </w:t>
      </w:r>
      <w:proofErr w:type="spellStart"/>
      <w:r w:rsidRPr="00430383">
        <w:rPr>
          <w:rFonts w:ascii="Helvetica Neue" w:eastAsiaTheme="minorEastAsia" w:hAnsi="Helvetica Neue" w:cs="Times New Roman"/>
        </w:rPr>
        <w:t>recognised</w:t>
      </w:r>
      <w:proofErr w:type="spellEnd"/>
      <w:r w:rsidRPr="00430383">
        <w:rPr>
          <w:rFonts w:ascii="Helvetica Neue" w:eastAsiaTheme="minorEastAsia" w:hAnsi="Helvetica Neue" w:cs="Times New Roman"/>
        </w:rPr>
        <w:t xml:space="preserve"> and financed through general taxation.</w:t>
      </w:r>
    </w:p>
    <w:p w14:paraId="2458EB7F" w14:textId="77777777" w:rsidR="00962D10" w:rsidRPr="00430383" w:rsidRDefault="008D75AF" w:rsidP="006258A1">
      <w:pPr>
        <w:pStyle w:val="BodyText"/>
        <w:spacing w:before="119" w:line="238" w:lineRule="auto"/>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Those affected are private sector employees recruited on a permanent contract who, from 2016 to 2018, will be 63 years and 7 months of age and reach the statutory retirement age for the old-age pension by the end of 2018 (however, the rule does not apply </w:t>
      </w:r>
      <w:r w:rsidR="00191D63" w:rsidRPr="00430383">
        <w:rPr>
          <w:rFonts w:ascii="Helvetica Neue" w:eastAsiaTheme="minorEastAsia" w:hAnsi="Helvetica Neue" w:cs="Times New Roman"/>
        </w:rPr>
        <w:t xml:space="preserve">to </w:t>
      </w:r>
      <w:r w:rsidRPr="00430383">
        <w:rPr>
          <w:rFonts w:ascii="Helvetica Neue" w:eastAsiaTheme="minorEastAsia" w:hAnsi="Helvetica Neue" w:cs="Times New Roman"/>
        </w:rPr>
        <w:t>early retirement), and are already in possession of the minimum requirement of 20 years of contributions, taking into consideration any contribution paid or otherwise credited, even notionally.</w:t>
      </w:r>
    </w:p>
    <w:p w14:paraId="024F36CA" w14:textId="77777777" w:rsidR="00962D10" w:rsidRPr="00430383" w:rsidRDefault="008D75AF" w:rsidP="006258A1">
      <w:pPr>
        <w:pStyle w:val="BodyText"/>
        <w:spacing w:before="124" w:line="234" w:lineRule="auto"/>
        <w:ind w:left="0" w:right="19"/>
        <w:jc w:val="both"/>
        <w:rPr>
          <w:rFonts w:ascii="Helvetica Neue" w:eastAsiaTheme="minorEastAsia" w:hAnsi="Helvetica Neue" w:cs="Times New Roman"/>
        </w:rPr>
      </w:pPr>
      <w:r w:rsidRPr="00430383">
        <w:rPr>
          <w:rFonts w:ascii="Helvetica Neue" w:eastAsiaTheme="minorEastAsia" w:hAnsi="Helvetica Neue" w:cs="Times New Roman"/>
        </w:rPr>
        <w:t>To access the benefit, the worker concerned must request</w:t>
      </w:r>
      <w:r w:rsidR="00191D63" w:rsidRPr="00430383">
        <w:rPr>
          <w:rFonts w:ascii="Helvetica Neue" w:eastAsiaTheme="minorEastAsia" w:hAnsi="Helvetica Neue" w:cs="Times New Roman"/>
        </w:rPr>
        <w:t xml:space="preserve"> a</w:t>
      </w:r>
      <w:r w:rsidRPr="00430383">
        <w:rPr>
          <w:rFonts w:ascii="Helvetica Neue" w:eastAsiaTheme="minorEastAsia" w:hAnsi="Helvetica Neue" w:cs="Times New Roman"/>
        </w:rPr>
        <w:t xml:space="preserve"> certification </w:t>
      </w:r>
      <w:r w:rsidR="00191D63">
        <w:rPr>
          <w:rFonts w:ascii="Helvetica Neue" w:eastAsiaTheme="minorEastAsia" w:hAnsi="Helvetica Neue" w:cs="Times New Roman"/>
        </w:rPr>
        <w:t>to</w:t>
      </w:r>
      <w:r w:rsidRPr="00430383">
        <w:rPr>
          <w:rFonts w:ascii="Helvetica Neue" w:eastAsiaTheme="minorEastAsia" w:hAnsi="Helvetica Neue" w:cs="Times New Roman"/>
        </w:rPr>
        <w:t xml:space="preserve"> INPS that attests the possession of </w:t>
      </w:r>
      <w:r w:rsidR="00191D63">
        <w:rPr>
          <w:rFonts w:ascii="Helvetica Neue" w:eastAsiaTheme="minorEastAsia" w:hAnsi="Helvetica Neue" w:cs="Times New Roman"/>
        </w:rPr>
        <w:t xml:space="preserve">the </w:t>
      </w:r>
      <w:r w:rsidRPr="00430383">
        <w:rPr>
          <w:rFonts w:ascii="Helvetica Neue" w:eastAsiaTheme="minorEastAsia" w:hAnsi="Helvetica Neue" w:cs="Times New Roman"/>
        </w:rPr>
        <w:t xml:space="preserve">contributory requirements and the </w:t>
      </w:r>
      <w:r w:rsidR="00191D63">
        <w:rPr>
          <w:rFonts w:ascii="Helvetica Neue" w:eastAsiaTheme="minorEastAsia" w:hAnsi="Helvetica Neue" w:cs="Times New Roman"/>
        </w:rPr>
        <w:t>maturation of the personal data requirement</w:t>
      </w:r>
      <w:r w:rsidRPr="00430383">
        <w:rPr>
          <w:rFonts w:ascii="Helvetica Neue" w:eastAsiaTheme="minorEastAsia" w:hAnsi="Helvetica Neue" w:cs="Times New Roman"/>
        </w:rPr>
        <w:t xml:space="preserve"> by 31 December 2018. On the release of the certification by INPS, the worker and the employer shall </w:t>
      </w:r>
      <w:r w:rsidR="00C827E7" w:rsidRPr="00430383">
        <w:rPr>
          <w:rFonts w:ascii="Helvetica Neue" w:eastAsiaTheme="minorEastAsia" w:hAnsi="Helvetica Neue" w:cs="Times New Roman"/>
        </w:rPr>
        <w:t xml:space="preserve">draw up </w:t>
      </w:r>
      <w:r w:rsidRPr="00430383">
        <w:rPr>
          <w:rFonts w:ascii="Helvetica Neue" w:eastAsiaTheme="minorEastAsia" w:hAnsi="Helvetica Neue" w:cs="Times New Roman"/>
        </w:rPr>
        <w:t>into a “</w:t>
      </w:r>
      <w:r w:rsidR="00C827E7" w:rsidRPr="0024244B">
        <w:rPr>
          <w:rFonts w:ascii="Helvetica Neue" w:eastAsiaTheme="minorEastAsia" w:hAnsi="Helvetica Neue" w:cs="Times New Roman"/>
          <w:i/>
        </w:rPr>
        <w:t>F</w:t>
      </w:r>
      <w:r w:rsidR="00C827E7" w:rsidRPr="00430383">
        <w:rPr>
          <w:rFonts w:ascii="Helvetica Neue" w:eastAsiaTheme="minorEastAsia" w:hAnsi="Helvetica Neue" w:cs="Times New Roman"/>
          <w:i/>
        </w:rPr>
        <w:t>avored Part-time contract</w:t>
      </w:r>
      <w:r w:rsidRPr="00430383">
        <w:rPr>
          <w:rFonts w:ascii="Helvetica Neue" w:eastAsiaTheme="minorEastAsia" w:hAnsi="Helvetica Neue" w:cs="Times New Roman"/>
        </w:rPr>
        <w:t>” (contract with facilitated access to part-time work) in which the extent of the reduction in working hours is indicated. The contract duration is equal to the period between the date of access to the benefit and the date in which the worker reaches the age of entitlement to an old-age pension.</w:t>
      </w:r>
    </w:p>
    <w:p w14:paraId="33F59A15" w14:textId="77777777" w:rsidR="00962D10" w:rsidRPr="00430383" w:rsidRDefault="008D75AF" w:rsidP="006258A1">
      <w:pPr>
        <w:pStyle w:val="BodyText"/>
        <w:spacing w:before="141" w:line="346"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The reform must therefore continue "to make the National Agency for Active Labour Market Policies (</w:t>
      </w:r>
      <w:proofErr w:type="spellStart"/>
      <w:r w:rsidRPr="00430383">
        <w:rPr>
          <w:rFonts w:ascii="Helvetica Neue" w:eastAsiaTheme="minorEastAsia" w:hAnsi="Helvetica Neue" w:cs="Times New Roman"/>
        </w:rPr>
        <w:t>ANPAL</w:t>
      </w:r>
      <w:proofErr w:type="spellEnd"/>
      <w:r w:rsidRPr="00430383">
        <w:rPr>
          <w:rFonts w:ascii="Helvetica Neue" w:eastAsiaTheme="minorEastAsia" w:hAnsi="Helvetica Neue" w:cs="Times New Roman"/>
        </w:rPr>
        <w:t xml:space="preserve">) </w:t>
      </w:r>
      <w:r w:rsidRPr="00430383">
        <w:rPr>
          <w:rFonts w:ascii="Helvetica Neue" w:eastAsiaTheme="minorEastAsia" w:hAnsi="Helvetica Neue" w:cs="Times New Roman"/>
        </w:rPr>
        <w:lastRenderedPageBreak/>
        <w:t>fully operational”.</w:t>
      </w:r>
    </w:p>
    <w:p w14:paraId="7024E208" w14:textId="77777777" w:rsidR="00962D10" w:rsidRDefault="008D75AF" w:rsidP="006258A1">
      <w:pPr>
        <w:spacing w:before="119" w:line="346" w:lineRule="exact"/>
        <w:ind w:right="19"/>
        <w:jc w:val="both"/>
        <w:rPr>
          <w:rFonts w:ascii="Malgun Gothic" w:eastAsia="Malgun Gothic" w:hAnsi="Malgun Gothic" w:cs="Malgun Gothic"/>
          <w:sz w:val="20"/>
          <w:szCs w:val="20"/>
        </w:rPr>
      </w:pPr>
      <w:proofErr w:type="spellStart"/>
      <w:r w:rsidRPr="00430383">
        <w:rPr>
          <w:rFonts w:ascii="Helvetica Neue" w:eastAsiaTheme="minorEastAsia" w:hAnsi="Helvetica Neue" w:cs="Times New Roman"/>
          <w:sz w:val="20"/>
          <w:szCs w:val="20"/>
        </w:rPr>
        <w:t>ANPAL</w:t>
      </w:r>
      <w:proofErr w:type="spellEnd"/>
      <w:r w:rsidRPr="00430383">
        <w:rPr>
          <w:rFonts w:ascii="Helvetica Neue" w:eastAsiaTheme="minorEastAsia" w:hAnsi="Helvetica Neue" w:cs="Times New Roman"/>
          <w:sz w:val="20"/>
          <w:szCs w:val="20"/>
        </w:rPr>
        <w:t xml:space="preserve">, the National Agency for Active Labour Market Policies, was recently established with the </w:t>
      </w:r>
      <w:r w:rsidRPr="00430383">
        <w:rPr>
          <w:rFonts w:ascii="Helvetica Neue" w:eastAsiaTheme="minorEastAsia" w:hAnsi="Helvetica Neue" w:cs="Times New Roman"/>
          <w:b/>
          <w:sz w:val="20"/>
          <w:szCs w:val="20"/>
        </w:rPr>
        <w:t>Jobs Act</w:t>
      </w:r>
      <w:r w:rsidRPr="00430383">
        <w:rPr>
          <w:rFonts w:ascii="Helvetica Neue" w:eastAsiaTheme="minorEastAsia" w:hAnsi="Helvetica Neue" w:cs="Times New Roman"/>
          <w:sz w:val="20"/>
          <w:szCs w:val="20"/>
        </w:rPr>
        <w:t>,</w:t>
      </w:r>
      <w:r>
        <w:rPr>
          <w:rFonts w:ascii="Malgun Gothic"/>
          <w:spacing w:val="26"/>
          <w:sz w:val="20"/>
        </w:rPr>
        <w:t xml:space="preserve"> </w:t>
      </w:r>
      <w:r w:rsidRPr="00430383">
        <w:rPr>
          <w:rFonts w:ascii="Helvetica Neue" w:eastAsiaTheme="minorEastAsia" w:hAnsi="Helvetica Neue" w:cs="Times New Roman"/>
          <w:i/>
          <w:sz w:val="20"/>
          <w:szCs w:val="20"/>
        </w:rPr>
        <w:t>Labour Reform Law</w:t>
      </w:r>
      <w:r w:rsidRPr="00430383">
        <w:rPr>
          <w:rFonts w:ascii="Helvetica Neue" w:eastAsiaTheme="minorEastAsia" w:hAnsi="Helvetica Neue" w:cs="Times New Roman"/>
          <w:sz w:val="20"/>
          <w:szCs w:val="20"/>
        </w:rPr>
        <w:t xml:space="preserve"> </w:t>
      </w:r>
      <w:r w:rsidR="00841ACD" w:rsidRPr="00430383">
        <w:rPr>
          <w:rFonts w:ascii="Helvetica Neue" w:eastAsiaTheme="minorEastAsia" w:hAnsi="Helvetica Neue" w:cs="Times New Roman"/>
          <w:sz w:val="20"/>
          <w:szCs w:val="20"/>
        </w:rPr>
        <w:t>that</w:t>
      </w:r>
      <w:r w:rsidRPr="00430383">
        <w:rPr>
          <w:rFonts w:ascii="Helvetica Neue" w:eastAsiaTheme="minorEastAsia" w:hAnsi="Helvetica Neue" w:cs="Times New Roman"/>
          <w:sz w:val="20"/>
          <w:szCs w:val="20"/>
        </w:rPr>
        <w:t>, in the case of unemployment, provides the</w:t>
      </w:r>
      <w:r>
        <w:rPr>
          <w:rFonts w:ascii="Malgun Gothic"/>
          <w:spacing w:val="30"/>
          <w:sz w:val="20"/>
        </w:rPr>
        <w:t xml:space="preserve"> </w:t>
      </w:r>
      <w:proofErr w:type="spellStart"/>
      <w:r w:rsidRPr="00430383">
        <w:rPr>
          <w:rFonts w:ascii="Helvetica Neue" w:eastAsiaTheme="minorEastAsia" w:hAnsi="Helvetica Neue" w:cs="Times New Roman"/>
          <w:b/>
          <w:sz w:val="20"/>
          <w:szCs w:val="20"/>
        </w:rPr>
        <w:t>NASpl</w:t>
      </w:r>
      <w:proofErr w:type="spellEnd"/>
      <w:r w:rsidRPr="00430383">
        <w:rPr>
          <w:rFonts w:ascii="Helvetica Neue" w:eastAsiaTheme="minorEastAsia" w:hAnsi="Helvetica Neue" w:cs="Times New Roman"/>
          <w:b/>
          <w:sz w:val="20"/>
          <w:szCs w:val="20"/>
        </w:rPr>
        <w:t xml:space="preserve"> (New Social Insurance Provision for Employment)</w:t>
      </w:r>
      <w:r w:rsidRPr="00430383">
        <w:rPr>
          <w:rFonts w:ascii="Helvetica Neue" w:eastAsiaTheme="minorEastAsia" w:hAnsi="Helvetica Neue" w:cs="Times New Roman"/>
          <w:sz w:val="20"/>
          <w:szCs w:val="20"/>
        </w:rPr>
        <w:t>.</w:t>
      </w:r>
    </w:p>
    <w:p w14:paraId="52004BE9" w14:textId="77777777" w:rsidR="00962D10" w:rsidRDefault="008D75AF" w:rsidP="006258A1">
      <w:pPr>
        <w:pStyle w:val="BodyText"/>
        <w:spacing w:line="230" w:lineRule="auto"/>
        <w:ind w:left="0" w:right="19"/>
        <w:jc w:val="both"/>
      </w:pPr>
      <w:r w:rsidRPr="00430383">
        <w:rPr>
          <w:rFonts w:ascii="Helvetica Neue" w:eastAsiaTheme="minorEastAsia" w:hAnsi="Helvetica Neue" w:cs="Times New Roman"/>
        </w:rPr>
        <w:t xml:space="preserve">The </w:t>
      </w:r>
      <w:proofErr w:type="spellStart"/>
      <w:r w:rsidRPr="00430383">
        <w:rPr>
          <w:rFonts w:ascii="Helvetica Neue" w:eastAsiaTheme="minorEastAsia" w:hAnsi="Helvetica Neue" w:cs="Times New Roman"/>
        </w:rPr>
        <w:t>ANPAL</w:t>
      </w:r>
      <w:proofErr w:type="spellEnd"/>
      <w:r w:rsidRPr="00430383">
        <w:rPr>
          <w:rFonts w:ascii="Helvetica Neue" w:eastAsiaTheme="minorEastAsia" w:hAnsi="Helvetica Neue" w:cs="Times New Roman"/>
        </w:rPr>
        <w:t xml:space="preserve"> coordinates the new National Services Network for Active Policies in Italy and involves the main institutions involved in the provision of </w:t>
      </w:r>
      <w:r w:rsidR="0024244B">
        <w:rPr>
          <w:rFonts w:ascii="Helvetica Neue" w:eastAsiaTheme="minorEastAsia" w:hAnsi="Helvetica Neue" w:cs="Times New Roman"/>
        </w:rPr>
        <w:t>welfare support provisions</w:t>
      </w:r>
      <w:r w:rsidRPr="00430383">
        <w:rPr>
          <w:rFonts w:ascii="Helvetica Neue" w:eastAsiaTheme="minorEastAsia" w:hAnsi="Helvetica Neue" w:cs="Times New Roman"/>
        </w:rPr>
        <w:t xml:space="preserve"> such as </w:t>
      </w:r>
      <w:r w:rsidRPr="00430383">
        <w:rPr>
          <w:rFonts w:ascii="Helvetica Neue" w:eastAsiaTheme="minorEastAsia" w:hAnsi="Helvetica Neue" w:cs="Times New Roman"/>
          <w:i/>
        </w:rPr>
        <w:t>INPS, INAIL,</w:t>
      </w:r>
      <w:r>
        <w:rPr>
          <w:i/>
          <w:spacing w:val="46"/>
          <w:sz w:val="21"/>
        </w:rPr>
        <w:t xml:space="preserve"> </w:t>
      </w:r>
      <w:r w:rsidRPr="00430383">
        <w:rPr>
          <w:rFonts w:ascii="Helvetica Neue" w:eastAsiaTheme="minorEastAsia" w:hAnsi="Helvetica Neue" w:cs="Times New Roman"/>
        </w:rPr>
        <w:t>and the</w:t>
      </w:r>
      <w:r w:rsidR="006258A1">
        <w:rPr>
          <w:spacing w:val="85"/>
          <w:w w:val="99"/>
        </w:rPr>
        <w:t xml:space="preserve"> </w:t>
      </w:r>
      <w:r w:rsidRPr="00430383">
        <w:rPr>
          <w:rFonts w:ascii="Helvetica Neue" w:eastAsiaTheme="minorEastAsia" w:hAnsi="Helvetica Neue" w:cs="Times New Roman"/>
          <w:i/>
        </w:rPr>
        <w:t>Chambers of Commerce,</w:t>
      </w:r>
      <w:r>
        <w:rPr>
          <w:spacing w:val="46"/>
        </w:rPr>
        <w:t xml:space="preserve"> </w:t>
      </w:r>
      <w:r w:rsidRPr="00430383">
        <w:rPr>
          <w:rFonts w:ascii="Helvetica Neue" w:eastAsiaTheme="minorEastAsia" w:hAnsi="Helvetica Neue" w:cs="Times New Roman"/>
        </w:rPr>
        <w:t>but also the institutions operating as intermediaries in the</w:t>
      </w:r>
      <w:r>
        <w:rPr>
          <w:spacing w:val="46"/>
        </w:rPr>
        <w:t xml:space="preserve"> </w:t>
      </w:r>
      <w:r w:rsidRPr="00430383">
        <w:rPr>
          <w:rFonts w:ascii="Helvetica Neue" w:eastAsiaTheme="minorEastAsia" w:hAnsi="Helvetica Neue" w:cs="Times New Roman"/>
          <w:b/>
        </w:rPr>
        <w:t>employment market</w:t>
      </w:r>
      <w:r w:rsidRPr="00430383">
        <w:rPr>
          <w:rFonts w:ascii="Helvetica Neue" w:eastAsiaTheme="minorEastAsia" w:hAnsi="Helvetica Neue" w:cs="Times New Roman"/>
        </w:rPr>
        <w:t>,</w:t>
      </w:r>
      <w:r>
        <w:rPr>
          <w:spacing w:val="-9"/>
        </w:rPr>
        <w:t xml:space="preserve"> </w:t>
      </w:r>
      <w:r w:rsidRPr="00430383">
        <w:rPr>
          <w:rFonts w:ascii="Helvetica Neue" w:eastAsiaTheme="minorEastAsia" w:hAnsi="Helvetica Neue" w:cs="Times New Roman"/>
        </w:rPr>
        <w:t>such as schools and universities.</w:t>
      </w:r>
    </w:p>
    <w:p w14:paraId="706CFEFC" w14:textId="77777777" w:rsidR="00962D10" w:rsidRPr="00430383" w:rsidRDefault="008D75AF" w:rsidP="006258A1">
      <w:pPr>
        <w:pStyle w:val="BodyText"/>
        <w:spacing w:before="22" w:line="346"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The </w:t>
      </w:r>
      <w:proofErr w:type="spellStart"/>
      <w:r w:rsidRPr="00430383">
        <w:rPr>
          <w:rFonts w:ascii="Helvetica Neue" w:eastAsiaTheme="minorEastAsia" w:hAnsi="Helvetica Neue" w:cs="Times New Roman"/>
          <w:b/>
        </w:rPr>
        <w:t>ANPAL</w:t>
      </w:r>
      <w:r w:rsidRPr="00430383">
        <w:rPr>
          <w:rFonts w:ascii="Helvetica Neue" w:eastAsiaTheme="minorEastAsia" w:hAnsi="Helvetica Neue" w:cs="Times New Roman"/>
        </w:rPr>
        <w:t>’s</w:t>
      </w:r>
      <w:proofErr w:type="spellEnd"/>
      <w:r w:rsidRPr="00430383">
        <w:rPr>
          <w:rFonts w:ascii="Helvetica Neue" w:eastAsiaTheme="minorEastAsia" w:hAnsi="Helvetica Neue" w:cs="Times New Roman"/>
        </w:rPr>
        <w:t xml:space="preserve"> tasks include the establishment of active policy programmes financed by the </w:t>
      </w:r>
      <w:proofErr w:type="spellStart"/>
      <w:r w:rsidRPr="00430383">
        <w:rPr>
          <w:rFonts w:ascii="Helvetica Neue" w:eastAsiaTheme="minorEastAsia" w:hAnsi="Helvetica Neue" w:cs="Times New Roman"/>
        </w:rPr>
        <w:t>ESF</w:t>
      </w:r>
      <w:proofErr w:type="spellEnd"/>
      <w:r>
        <w:rPr>
          <w:spacing w:val="58"/>
          <w:w w:val="99"/>
        </w:rPr>
        <w:t xml:space="preserve"> </w:t>
      </w:r>
      <w:r>
        <w:rPr>
          <w:spacing w:val="-1"/>
        </w:rPr>
        <w:t>(</w:t>
      </w:r>
      <w:r w:rsidRPr="00430383">
        <w:rPr>
          <w:rFonts w:ascii="Helvetica Neue" w:eastAsiaTheme="minorEastAsia" w:hAnsi="Helvetica Neue" w:cs="Times New Roman"/>
        </w:rPr>
        <w:t xml:space="preserve">European Social Fund), the supervision of the National Network, the archiving of all </w:t>
      </w:r>
      <w:r w:rsidR="00D40779">
        <w:rPr>
          <w:rFonts w:ascii="Helvetica Neue" w:eastAsiaTheme="minorEastAsia" w:hAnsi="Helvetica Neue" w:cs="Times New Roman"/>
        </w:rPr>
        <w:t xml:space="preserve">workers’ personal files and the </w:t>
      </w:r>
      <w:r w:rsidRPr="00430383">
        <w:rPr>
          <w:rFonts w:ascii="Helvetica Neue" w:eastAsiaTheme="minorEastAsia" w:hAnsi="Helvetica Neue" w:cs="Times New Roman"/>
        </w:rPr>
        <w:t>maintenance of a register of private employment agencies.</w:t>
      </w:r>
    </w:p>
    <w:p w14:paraId="207F057B" w14:textId="77777777" w:rsidR="005A26EC" w:rsidRDefault="008D75AF" w:rsidP="005A26EC">
      <w:pPr>
        <w:pStyle w:val="BodyText"/>
        <w:spacing w:line="325"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The relevant aspect for citizens is that an unemployed person (who has been </w:t>
      </w:r>
      <w:hyperlink r:id="rId14">
        <w:r w:rsidRPr="00430383">
          <w:rPr>
            <w:rFonts w:ascii="Helvetica Neue" w:eastAsiaTheme="minorEastAsia" w:hAnsi="Helvetica Neue" w:cs="Times New Roman"/>
          </w:rPr>
          <w:t>dismissed</w:t>
        </w:r>
      </w:hyperlink>
      <w:r w:rsidRPr="00430383">
        <w:rPr>
          <w:rFonts w:ascii="Helvetica Neue" w:eastAsiaTheme="minorEastAsia" w:hAnsi="Helvetica Neue" w:cs="Times New Roman"/>
        </w:rPr>
        <w:t xml:space="preserve"> or has resigned</w:t>
      </w:r>
      <w:r w:rsidR="00D40779">
        <w:rPr>
          <w:rFonts w:ascii="Helvetica Neue" w:eastAsiaTheme="minorEastAsia" w:hAnsi="Helvetica Neue" w:cs="Times New Roman"/>
        </w:rPr>
        <w:t xml:space="preserve"> </w:t>
      </w:r>
      <w:r w:rsidRPr="00430383">
        <w:rPr>
          <w:rFonts w:ascii="Helvetica Neue" w:eastAsiaTheme="minorEastAsia" w:hAnsi="Helvetica Neue" w:cs="Times New Roman"/>
        </w:rPr>
        <w:t xml:space="preserve">for just cause) may be entitled to the </w:t>
      </w:r>
      <w:proofErr w:type="spellStart"/>
      <w:r w:rsidRPr="00430383">
        <w:rPr>
          <w:rFonts w:ascii="Helvetica Neue" w:eastAsiaTheme="minorEastAsia" w:hAnsi="Helvetica Neue" w:cs="Times New Roman"/>
        </w:rPr>
        <w:t>NASpl</w:t>
      </w:r>
      <w:proofErr w:type="spellEnd"/>
      <w:r w:rsidRPr="00430383">
        <w:rPr>
          <w:rFonts w:ascii="Helvetica Neue" w:eastAsiaTheme="minorEastAsia" w:hAnsi="Helvetica Neue" w:cs="Times New Roman"/>
        </w:rPr>
        <w:t xml:space="preserve"> just by registering with the </w:t>
      </w:r>
      <w:proofErr w:type="spellStart"/>
      <w:r w:rsidRPr="00430383">
        <w:rPr>
          <w:rFonts w:ascii="Helvetica Neue" w:eastAsiaTheme="minorEastAsia" w:hAnsi="Helvetica Neue" w:cs="Times New Roman"/>
        </w:rPr>
        <w:t>ANPAL</w:t>
      </w:r>
      <w:proofErr w:type="spellEnd"/>
      <w:r w:rsidRPr="00430383">
        <w:rPr>
          <w:rFonts w:ascii="Helvetica Neue" w:eastAsiaTheme="minorEastAsia" w:hAnsi="Helvetica Neue" w:cs="Times New Roman"/>
        </w:rPr>
        <w:t>.</w:t>
      </w:r>
    </w:p>
    <w:p w14:paraId="440203F1" w14:textId="77777777" w:rsidR="005A26EC" w:rsidRDefault="005A26EC" w:rsidP="005A26EC">
      <w:pPr>
        <w:pStyle w:val="BodyText"/>
        <w:spacing w:line="325" w:lineRule="exact"/>
        <w:ind w:left="0" w:right="19"/>
        <w:jc w:val="both"/>
        <w:rPr>
          <w:rFonts w:ascii="Helvetica Neue" w:eastAsiaTheme="minorEastAsia" w:hAnsi="Helvetica Neue" w:cs="Times New Roman"/>
        </w:rPr>
      </w:pPr>
    </w:p>
    <w:p w14:paraId="1C5E209A" w14:textId="77777777" w:rsidR="005A26EC" w:rsidRPr="00430383" w:rsidRDefault="005A26EC" w:rsidP="005A26EC">
      <w:pPr>
        <w:spacing w:line="281" w:lineRule="exact"/>
        <w:jc w:val="both"/>
        <w:rPr>
          <w:rFonts w:ascii="Helvetica Neue" w:eastAsiaTheme="minorEastAsia" w:hAnsi="Helvetica Neue" w:cs="Times New Roman"/>
          <w:b/>
          <w:sz w:val="20"/>
          <w:szCs w:val="20"/>
        </w:rPr>
      </w:pPr>
      <w:r w:rsidRPr="00947F27">
        <w:rPr>
          <w:rFonts w:ascii="Helvetica Neue" w:eastAsiaTheme="minorEastAsia" w:hAnsi="Helvetica Neue" w:cs="Times New Roman"/>
          <w:sz w:val="20"/>
          <w:szCs w:val="20"/>
        </w:rPr>
        <w:t xml:space="preserve">Registration </w:t>
      </w:r>
      <w:r>
        <w:rPr>
          <w:rFonts w:ascii="Helvetica Neue" w:eastAsiaTheme="minorEastAsia" w:hAnsi="Helvetica Neue" w:cs="Times New Roman"/>
          <w:sz w:val="20"/>
          <w:szCs w:val="20"/>
        </w:rPr>
        <w:t>to</w:t>
      </w:r>
      <w:r w:rsidRPr="00947F27">
        <w:rPr>
          <w:rFonts w:ascii="Helvetica Neue" w:eastAsiaTheme="minorEastAsia" w:hAnsi="Helvetica Neue" w:cs="Times New Roman"/>
          <w:sz w:val="20"/>
          <w:szCs w:val="20"/>
        </w:rPr>
        <w:t xml:space="preserve"> </w:t>
      </w:r>
      <w:proofErr w:type="spellStart"/>
      <w:r w:rsidRPr="00947F27">
        <w:rPr>
          <w:rFonts w:ascii="Helvetica Neue" w:eastAsiaTheme="minorEastAsia" w:hAnsi="Helvetica Neue" w:cs="Times New Roman"/>
          <w:sz w:val="20"/>
          <w:szCs w:val="20"/>
        </w:rPr>
        <w:t>ANPAL</w:t>
      </w:r>
      <w:proofErr w:type="spellEnd"/>
      <w:r w:rsidRPr="00947F27">
        <w:rPr>
          <w:rFonts w:ascii="Helvetica Neue" w:eastAsiaTheme="minorEastAsia" w:hAnsi="Helvetica Neue" w:cs="Times New Roman"/>
          <w:sz w:val="20"/>
          <w:szCs w:val="20"/>
        </w:rPr>
        <w:t xml:space="preserve"> is carried out by Job </w:t>
      </w:r>
      <w:proofErr w:type="spellStart"/>
      <w:r w:rsidRPr="00947F27">
        <w:rPr>
          <w:rFonts w:ascii="Helvetica Neue" w:eastAsiaTheme="minorEastAsia" w:hAnsi="Helvetica Neue" w:cs="Times New Roman"/>
          <w:sz w:val="20"/>
          <w:szCs w:val="20"/>
        </w:rPr>
        <w:t>Centres</w:t>
      </w:r>
      <w:proofErr w:type="spellEnd"/>
      <w:r w:rsidRPr="00947F27">
        <w:rPr>
          <w:rFonts w:ascii="Malgun Gothic"/>
          <w:spacing w:val="12"/>
          <w:sz w:val="20"/>
          <w:szCs w:val="20"/>
        </w:rPr>
        <w:t xml:space="preserve"> </w:t>
      </w:r>
      <w:r w:rsidRPr="00947F27">
        <w:rPr>
          <w:rFonts w:ascii="Helvetica Neue" w:eastAsiaTheme="minorEastAsia" w:hAnsi="Helvetica Neue" w:cs="Times New Roman"/>
          <w:b/>
          <w:sz w:val="20"/>
          <w:szCs w:val="20"/>
        </w:rPr>
        <w:t>during an interview with the unemployed person</w:t>
      </w:r>
      <w:r w:rsidRPr="00947F27">
        <w:rPr>
          <w:spacing w:val="-1"/>
          <w:sz w:val="20"/>
          <w:szCs w:val="20"/>
        </w:rPr>
        <w:t>:</w:t>
      </w:r>
      <w:r w:rsidRPr="00947F27">
        <w:rPr>
          <w:spacing w:val="35"/>
          <w:sz w:val="20"/>
          <w:szCs w:val="20"/>
        </w:rPr>
        <w:t xml:space="preserve"> </w:t>
      </w:r>
      <w:r w:rsidRPr="00947F27">
        <w:rPr>
          <w:rFonts w:ascii="Helvetica Neue" w:eastAsiaTheme="minorEastAsia" w:hAnsi="Helvetica Neue" w:cs="Times New Roman"/>
          <w:sz w:val="20"/>
          <w:szCs w:val="20"/>
        </w:rPr>
        <w:t xml:space="preserve">the Job Centre has 2 months from the date of dismissal (or </w:t>
      </w:r>
      <w:hyperlink r:id="rId15">
        <w:r w:rsidRPr="00947F27">
          <w:rPr>
            <w:rFonts w:ascii="Helvetica Neue" w:eastAsiaTheme="minorEastAsia" w:hAnsi="Helvetica Neue" w:cs="Times New Roman"/>
            <w:sz w:val="20"/>
            <w:szCs w:val="20"/>
          </w:rPr>
          <w:t>resignation for Just Cause</w:t>
        </w:r>
      </w:hyperlink>
      <w:r w:rsidRPr="00947F27">
        <w:rPr>
          <w:rFonts w:ascii="Helvetica Neue" w:eastAsiaTheme="minorEastAsia" w:hAnsi="Helvetica Neue" w:cs="Times New Roman"/>
          <w:sz w:val="20"/>
          <w:szCs w:val="20"/>
        </w:rPr>
        <w:t xml:space="preserve">) to summon the worker for an interview. </w:t>
      </w:r>
      <w:r w:rsidRPr="00430383">
        <w:rPr>
          <w:rFonts w:ascii="Helvetica Neue" w:eastAsiaTheme="minorEastAsia" w:hAnsi="Helvetica Neue" w:cs="Times New Roman"/>
          <w:sz w:val="20"/>
          <w:szCs w:val="20"/>
        </w:rPr>
        <w:t>After being summoned, the unemployed person has 15 days to report at the</w:t>
      </w:r>
      <w:r w:rsidRPr="00947F27">
        <w:rPr>
          <w:spacing w:val="-5"/>
          <w:sz w:val="20"/>
          <w:szCs w:val="20"/>
        </w:rPr>
        <w:t xml:space="preserve"> </w:t>
      </w:r>
      <w:r w:rsidRPr="00430383">
        <w:rPr>
          <w:rFonts w:ascii="Helvetica Neue" w:eastAsiaTheme="minorEastAsia" w:hAnsi="Helvetica Neue" w:cs="Times New Roman"/>
          <w:b/>
          <w:sz w:val="20"/>
          <w:szCs w:val="20"/>
        </w:rPr>
        <w:t>Job Centre</w:t>
      </w:r>
      <w:r w:rsidRPr="00430383">
        <w:rPr>
          <w:rFonts w:ascii="Helvetica Neue" w:eastAsiaTheme="minorEastAsia" w:hAnsi="Helvetica Neue" w:cs="Times New Roman"/>
          <w:sz w:val="20"/>
          <w:szCs w:val="20"/>
        </w:rPr>
        <w:t xml:space="preserve">, or risk losing a quarter of the unemployment </w:t>
      </w:r>
      <w:r>
        <w:rPr>
          <w:rFonts w:ascii="Helvetica Neue" w:eastAsiaTheme="minorEastAsia" w:hAnsi="Helvetica Neue" w:cs="Times New Roman"/>
          <w:sz w:val="20"/>
          <w:szCs w:val="20"/>
        </w:rPr>
        <w:t>allowance</w:t>
      </w:r>
      <w:r w:rsidRPr="00430383">
        <w:rPr>
          <w:rFonts w:ascii="Helvetica Neue" w:eastAsiaTheme="minorEastAsia" w:hAnsi="Helvetica Neue" w:cs="Times New Roman"/>
          <w:sz w:val="20"/>
          <w:szCs w:val="20"/>
        </w:rPr>
        <w:t>.</w:t>
      </w:r>
    </w:p>
    <w:p w14:paraId="62156492" w14:textId="77777777" w:rsidR="005A26EC" w:rsidRPr="005A26EC" w:rsidRDefault="005A26EC" w:rsidP="005A26EC">
      <w:pPr>
        <w:pStyle w:val="BodyText"/>
        <w:spacing w:line="325" w:lineRule="exact"/>
        <w:ind w:left="0"/>
        <w:jc w:val="both"/>
        <w:sectPr w:rsidR="005A26EC" w:rsidRPr="005A26EC">
          <w:pgSz w:w="11900" w:h="16850"/>
          <w:pgMar w:top="1440" w:right="880" w:bottom="940" w:left="1160" w:header="0" w:footer="753" w:gutter="0"/>
          <w:cols w:space="720"/>
        </w:sectPr>
      </w:pPr>
      <w:r w:rsidRPr="00430383">
        <w:rPr>
          <w:rFonts w:ascii="Helvetica Neue" w:eastAsiaTheme="minorEastAsia" w:hAnsi="Helvetica Neue" w:cs="Times New Roman"/>
        </w:rPr>
        <w:t>During the interview at the Job Centre, the unemployed person must also sign</w:t>
      </w:r>
      <w:r w:rsidRPr="00947F27">
        <w:rPr>
          <w:spacing w:val="27"/>
        </w:rPr>
        <w:t xml:space="preserve"> </w:t>
      </w:r>
      <w:r w:rsidRPr="00430383">
        <w:rPr>
          <w:rFonts w:ascii="Helvetica Neue" w:eastAsiaTheme="minorEastAsia" w:hAnsi="Helvetica Neue" w:cs="Times New Roman"/>
          <w:b/>
        </w:rPr>
        <w:t>a service agreement</w:t>
      </w:r>
      <w:r w:rsidRPr="00947F27">
        <w:t>,</w:t>
      </w:r>
      <w:r>
        <w:t xml:space="preserve"> </w:t>
      </w:r>
      <w:r w:rsidRPr="00430383">
        <w:rPr>
          <w:rFonts w:ascii="Helvetica Neue" w:eastAsiaTheme="minorEastAsia" w:hAnsi="Helvetica Neue" w:cs="Times New Roman"/>
        </w:rPr>
        <w:t xml:space="preserve">namely a programme for the person’s </w:t>
      </w:r>
      <w:r w:rsidRPr="00430383">
        <w:rPr>
          <w:rFonts w:ascii="Helvetica Neue" w:eastAsiaTheme="minorEastAsia" w:hAnsi="Helvetica Neue" w:cs="Times New Roman"/>
          <w:b/>
        </w:rPr>
        <w:t>outplacement on the employment market</w:t>
      </w:r>
      <w:r w:rsidRPr="00430383">
        <w:rPr>
          <w:rFonts w:ascii="Helvetica Neue" w:eastAsiaTheme="minorEastAsia" w:hAnsi="Helvetica Neue" w:cs="Times New Roman"/>
        </w:rPr>
        <w:t>.</w:t>
      </w:r>
      <w:r>
        <w:rPr>
          <w:spacing w:val="20"/>
        </w:rPr>
        <w:t xml:space="preserve"> </w:t>
      </w:r>
      <w:r>
        <w:rPr>
          <w:lang w:val="en"/>
        </w:rPr>
        <w:t>As long as the unemployed person does not find a new job</w:t>
      </w:r>
      <w:r w:rsidRPr="00430383">
        <w:rPr>
          <w:rFonts w:ascii="Helvetica Neue" w:eastAsiaTheme="minorEastAsia" w:hAnsi="Helvetica Neue" w:cs="Times New Roman"/>
        </w:rPr>
        <w:t xml:space="preserve">, </w:t>
      </w:r>
      <w:r>
        <w:rPr>
          <w:rFonts w:ascii="Helvetica Neue" w:eastAsiaTheme="minorEastAsia" w:hAnsi="Helvetica Neue" w:cs="Times New Roman"/>
        </w:rPr>
        <w:t>his</w:t>
      </w:r>
      <w:r w:rsidRPr="00430383">
        <w:rPr>
          <w:rFonts w:ascii="Helvetica Neue" w:eastAsiaTheme="minorEastAsia" w:hAnsi="Helvetica Neue" w:cs="Times New Roman"/>
        </w:rPr>
        <w:t xml:space="preserve"> commitment </w:t>
      </w:r>
      <w:r>
        <w:rPr>
          <w:rFonts w:ascii="Helvetica Neue" w:eastAsiaTheme="minorEastAsia" w:hAnsi="Helvetica Neue" w:cs="Times New Roman"/>
        </w:rPr>
        <w:t>in</w:t>
      </w:r>
      <w:r w:rsidRPr="00430383">
        <w:rPr>
          <w:rFonts w:ascii="Helvetica Neue" w:eastAsiaTheme="minorEastAsia" w:hAnsi="Helvetica Neue" w:cs="Times New Roman"/>
        </w:rPr>
        <w:t xml:space="preserve"> training and outplacement is monitored by a tutor</w:t>
      </w:r>
    </w:p>
    <w:p w14:paraId="69C030D2" w14:textId="77777777" w:rsidR="00962D10" w:rsidRDefault="008D75AF" w:rsidP="005A26EC">
      <w:pPr>
        <w:pStyle w:val="Heading1"/>
        <w:numPr>
          <w:ilvl w:val="1"/>
          <w:numId w:val="15"/>
        </w:numPr>
        <w:tabs>
          <w:tab w:val="left" w:pos="1558"/>
        </w:tabs>
        <w:ind w:left="1553" w:right="1661" w:hanging="357"/>
        <w:jc w:val="both"/>
        <w:rPr>
          <w:b w:val="0"/>
          <w:bCs w:val="0"/>
        </w:rPr>
      </w:pPr>
      <w:bookmarkStart w:id="0" w:name="_GoBack"/>
      <w:bookmarkEnd w:id="0"/>
      <w:r>
        <w:rPr>
          <w:spacing w:val="-1"/>
        </w:rPr>
        <w:lastRenderedPageBreak/>
        <w:t>IMPROVING INCENTIVES</w:t>
      </w:r>
      <w:r>
        <w:rPr>
          <w:spacing w:val="-3"/>
        </w:rPr>
        <w:t xml:space="preserve"> </w:t>
      </w:r>
      <w:r>
        <w:t xml:space="preserve">FOR </w:t>
      </w:r>
      <w:r>
        <w:rPr>
          <w:spacing w:val="-1"/>
        </w:rPr>
        <w:t>RETURNING</w:t>
      </w:r>
      <w:r>
        <w:rPr>
          <w:spacing w:val="-3"/>
        </w:rPr>
        <w:t xml:space="preserve"> </w:t>
      </w:r>
      <w:r>
        <w:rPr>
          <w:spacing w:val="-1"/>
        </w:rPr>
        <w:t xml:space="preserve">TO WORK </w:t>
      </w:r>
      <w:r>
        <w:t>AND</w:t>
      </w:r>
      <w:r>
        <w:rPr>
          <w:spacing w:val="25"/>
        </w:rPr>
        <w:t xml:space="preserve"> </w:t>
      </w:r>
      <w:r>
        <w:rPr>
          <w:spacing w:val="-1"/>
        </w:rPr>
        <w:t>MAINTAINING EMPLOYMENT</w:t>
      </w:r>
    </w:p>
    <w:p w14:paraId="0D1DC4D4" w14:textId="77777777" w:rsidR="00962D10" w:rsidRPr="00430383" w:rsidRDefault="008D75AF" w:rsidP="002E5374">
      <w:pPr>
        <w:pStyle w:val="Heading4"/>
        <w:spacing w:before="215"/>
        <w:jc w:val="both"/>
        <w:rPr>
          <w:rFonts w:ascii="Helvetica Neue" w:eastAsiaTheme="minorEastAsia" w:hAnsi="Helvetica Neue" w:cs="Times New Roman"/>
          <w:bCs w:val="0"/>
          <w:sz w:val="20"/>
          <w:szCs w:val="20"/>
        </w:rPr>
      </w:pPr>
      <w:r w:rsidRPr="00430383">
        <w:rPr>
          <w:rFonts w:ascii="Helvetica Neue" w:eastAsiaTheme="minorEastAsia" w:hAnsi="Helvetica Neue" w:cs="Times New Roman"/>
          <w:bCs w:val="0"/>
          <w:sz w:val="20"/>
          <w:szCs w:val="20"/>
        </w:rPr>
        <w:t xml:space="preserve">THE </w:t>
      </w:r>
      <w:proofErr w:type="spellStart"/>
      <w:r w:rsidRPr="00430383">
        <w:rPr>
          <w:rFonts w:ascii="Helvetica Neue" w:eastAsiaTheme="minorEastAsia" w:hAnsi="Helvetica Neue" w:cs="Times New Roman"/>
          <w:bCs w:val="0"/>
          <w:sz w:val="20"/>
          <w:szCs w:val="20"/>
        </w:rPr>
        <w:t>SIA</w:t>
      </w:r>
      <w:proofErr w:type="spellEnd"/>
      <w:r w:rsidRPr="00430383">
        <w:rPr>
          <w:rFonts w:ascii="Helvetica Neue" w:eastAsiaTheme="minorEastAsia" w:hAnsi="Helvetica Neue" w:cs="Times New Roman"/>
          <w:bCs w:val="0"/>
          <w:sz w:val="20"/>
          <w:szCs w:val="20"/>
        </w:rPr>
        <w:t xml:space="preserve"> (SUPPORT FOR ACTIVE INCLUSION) EXPERIMENT</w:t>
      </w:r>
    </w:p>
    <w:p w14:paraId="4A14B901" w14:textId="77777777" w:rsidR="00962D10" w:rsidRDefault="00962D10" w:rsidP="002E5374">
      <w:pPr>
        <w:spacing w:before="16"/>
        <w:jc w:val="both"/>
        <w:rPr>
          <w:rFonts w:ascii="Malgun Gothic" w:eastAsia="Malgun Gothic" w:hAnsi="Malgun Gothic" w:cs="Malgun Gothic"/>
          <w:b/>
          <w:bCs/>
          <w:i/>
          <w:sz w:val="15"/>
          <w:szCs w:val="15"/>
        </w:rPr>
      </w:pPr>
    </w:p>
    <w:p w14:paraId="180A39DA" w14:textId="77777777" w:rsidR="00962D10" w:rsidRPr="00430383" w:rsidRDefault="008D75AF" w:rsidP="00D40779">
      <w:pPr>
        <w:pStyle w:val="BodyText"/>
        <w:spacing w:line="238" w:lineRule="auto"/>
        <w:ind w:left="0" w:right="19"/>
        <w:jc w:val="both"/>
        <w:rPr>
          <w:rFonts w:ascii="Helvetica Neue" w:eastAsiaTheme="minorEastAsia" w:hAnsi="Helvetica Neue" w:cs="Times New Roman"/>
        </w:rPr>
      </w:pPr>
      <w:r w:rsidRPr="00430383">
        <w:rPr>
          <w:rFonts w:ascii="Helvetica Neue" w:eastAsiaTheme="minorEastAsia" w:hAnsi="Helvetica Neue" w:cs="Times New Roman"/>
        </w:rPr>
        <w:t>Support for Active Inclusion (</w:t>
      </w:r>
      <w:proofErr w:type="spellStart"/>
      <w:r w:rsidRPr="00430383">
        <w:rPr>
          <w:rFonts w:ascii="Helvetica Neue" w:eastAsiaTheme="minorEastAsia" w:hAnsi="Helvetica Neue" w:cs="Times New Roman"/>
        </w:rPr>
        <w:t>SIA</w:t>
      </w:r>
      <w:proofErr w:type="spellEnd"/>
      <w:r w:rsidRPr="00430383">
        <w:rPr>
          <w:rFonts w:ascii="Helvetica Neue" w:eastAsiaTheme="minorEastAsia" w:hAnsi="Helvetica Neue" w:cs="Times New Roman"/>
        </w:rPr>
        <w:t xml:space="preserve">) is a measure to counter poverty and an active labour policy </w:t>
      </w:r>
      <w:r w:rsidR="00D40779">
        <w:rPr>
          <w:rFonts w:ascii="Helvetica Neue" w:eastAsiaTheme="minorEastAsia" w:hAnsi="Helvetica Neue" w:cs="Times New Roman"/>
        </w:rPr>
        <w:t xml:space="preserve">according to </w:t>
      </w:r>
      <w:r w:rsidRPr="00430383">
        <w:rPr>
          <w:rFonts w:ascii="Helvetica Neue" w:eastAsiaTheme="minorEastAsia" w:hAnsi="Helvetica Neue" w:cs="Times New Roman"/>
        </w:rPr>
        <w:t>Art. 1, paragraph 386 of Italian Law No. 208/2015 (Stability Law 2016) which provides for the granting of a financial subsidy to financially disadvantaged families in which minors, disabled children or pregnant women are present.</w:t>
      </w:r>
    </w:p>
    <w:p w14:paraId="5B5A158B" w14:textId="77777777" w:rsidR="00962D10" w:rsidRPr="00430383" w:rsidRDefault="008D75AF" w:rsidP="00D40779">
      <w:pPr>
        <w:pStyle w:val="BodyText"/>
        <w:spacing w:before="120" w:line="238" w:lineRule="auto"/>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The </w:t>
      </w:r>
      <w:r w:rsidR="00DA26A1">
        <w:rPr>
          <w:rFonts w:ascii="Helvetica Neue" w:eastAsiaTheme="minorEastAsia" w:hAnsi="Helvetica Neue" w:cs="Times New Roman"/>
        </w:rPr>
        <w:t xml:space="preserve">measure extends to </w:t>
      </w:r>
      <w:r w:rsidR="00A13DB5">
        <w:rPr>
          <w:rFonts w:ascii="Helvetica Neue" w:eastAsiaTheme="minorEastAsia" w:hAnsi="Helvetica Neue" w:cs="Times New Roman"/>
        </w:rPr>
        <w:t>nationwide</w:t>
      </w:r>
      <w:r w:rsidR="00DA26A1">
        <w:rPr>
          <w:rFonts w:ascii="Helvetica Neue" w:eastAsiaTheme="minorEastAsia" w:hAnsi="Helvetica Neue" w:cs="Times New Roman"/>
        </w:rPr>
        <w:t xml:space="preserve"> level, with some special features, the </w:t>
      </w:r>
      <w:r w:rsidRPr="00430383">
        <w:rPr>
          <w:rFonts w:ascii="Helvetica Neue" w:eastAsiaTheme="minorEastAsia" w:hAnsi="Helvetica Neue" w:cs="Times New Roman"/>
        </w:rPr>
        <w:t>experimental Social Card</w:t>
      </w:r>
      <w:r w:rsidR="00B865AA">
        <w:rPr>
          <w:rFonts w:ascii="Helvetica Neue" w:eastAsiaTheme="minorEastAsia" w:hAnsi="Helvetica Neue" w:cs="Times New Roman"/>
        </w:rPr>
        <w:t>, according to</w:t>
      </w:r>
      <w:r w:rsidRPr="00430383">
        <w:rPr>
          <w:rFonts w:ascii="Helvetica Neue" w:eastAsiaTheme="minorEastAsia" w:hAnsi="Helvetica Neue" w:cs="Times New Roman"/>
        </w:rPr>
        <w:t xml:space="preserve"> Art. 60, Italian Decree Law No. 5 of 9 February 2012, implemented on an experimental basis in Municipalities with more than 250,000 inhabitants</w:t>
      </w:r>
      <w:r w:rsidR="00DA26A1">
        <w:rPr>
          <w:rFonts w:ascii="Helvetica Neue" w:eastAsiaTheme="minorEastAsia" w:hAnsi="Helvetica Neue" w:cs="Times New Roman"/>
        </w:rPr>
        <w:t>.</w:t>
      </w:r>
      <w:r w:rsidRPr="00430383">
        <w:rPr>
          <w:rFonts w:ascii="Helvetica Neue" w:eastAsiaTheme="minorEastAsia" w:hAnsi="Helvetica Neue" w:cs="Times New Roman"/>
        </w:rPr>
        <w:t xml:space="preserve"> Instead, the </w:t>
      </w:r>
      <w:r w:rsidR="00063B84">
        <w:rPr>
          <w:rFonts w:ascii="Helvetica Neue" w:eastAsiaTheme="minorEastAsia" w:hAnsi="Helvetica Neue" w:cs="Times New Roman"/>
        </w:rPr>
        <w:t>operative range</w:t>
      </w:r>
      <w:r w:rsidR="00063B84" w:rsidRPr="00430383">
        <w:rPr>
          <w:rFonts w:ascii="Helvetica Neue" w:eastAsiaTheme="minorEastAsia" w:hAnsi="Helvetica Neue" w:cs="Times New Roman"/>
        </w:rPr>
        <w:t xml:space="preserve"> </w:t>
      </w:r>
      <w:r w:rsidRPr="00430383">
        <w:rPr>
          <w:rFonts w:ascii="Helvetica Neue" w:eastAsiaTheme="minorEastAsia" w:hAnsi="Helvetica Neue" w:cs="Times New Roman"/>
        </w:rPr>
        <w:t xml:space="preserve">of the </w:t>
      </w:r>
      <w:proofErr w:type="spellStart"/>
      <w:r w:rsidRPr="00430383">
        <w:rPr>
          <w:rFonts w:ascii="Helvetica Neue" w:eastAsiaTheme="minorEastAsia" w:hAnsi="Helvetica Neue" w:cs="Times New Roman"/>
        </w:rPr>
        <w:t>SIA</w:t>
      </w:r>
      <w:proofErr w:type="spellEnd"/>
      <w:r w:rsidRPr="00430383">
        <w:rPr>
          <w:rFonts w:ascii="Helvetica Neue" w:eastAsiaTheme="minorEastAsia" w:hAnsi="Helvetica Neue" w:cs="Times New Roman"/>
        </w:rPr>
        <w:t xml:space="preserve"> </w:t>
      </w:r>
      <w:r w:rsidR="00063B84">
        <w:rPr>
          <w:rFonts w:ascii="Helvetica Neue" w:eastAsiaTheme="minorEastAsia" w:hAnsi="Helvetica Neue" w:cs="Times New Roman"/>
        </w:rPr>
        <w:t>foresees</w:t>
      </w:r>
      <w:r w:rsidRPr="00430383">
        <w:rPr>
          <w:rFonts w:ascii="Helvetica Neue" w:eastAsiaTheme="minorEastAsia" w:hAnsi="Helvetica Neue" w:cs="Times New Roman"/>
        </w:rPr>
        <w:t xml:space="preserve"> the direct involvement of </w:t>
      </w:r>
      <w:r w:rsidR="00A46AD8">
        <w:rPr>
          <w:rFonts w:ascii="Helvetica Neue" w:eastAsiaTheme="minorEastAsia" w:hAnsi="Helvetica Neue" w:cs="Times New Roman"/>
        </w:rPr>
        <w:t xml:space="preserve">all the </w:t>
      </w:r>
      <w:r w:rsidRPr="00430383">
        <w:rPr>
          <w:rFonts w:ascii="Helvetica Neue" w:eastAsiaTheme="minorEastAsia" w:hAnsi="Helvetica Neue" w:cs="Times New Roman"/>
        </w:rPr>
        <w:t>over 8,000 Italian Municipalities.</w:t>
      </w:r>
    </w:p>
    <w:p w14:paraId="29F95BED" w14:textId="77777777" w:rsidR="00962D10" w:rsidRPr="00430383" w:rsidRDefault="008D75AF" w:rsidP="00D40779">
      <w:pPr>
        <w:pStyle w:val="BodyText"/>
        <w:spacing w:before="119" w:line="238" w:lineRule="auto"/>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The subsidy – paid in the form of a periodic deposit on a purchasing card - is subject to a </w:t>
      </w:r>
      <w:proofErr w:type="spellStart"/>
      <w:r w:rsidRPr="00430383">
        <w:rPr>
          <w:rFonts w:ascii="Helvetica Neue" w:eastAsiaTheme="minorEastAsia" w:hAnsi="Helvetica Neue" w:cs="Times New Roman"/>
        </w:rPr>
        <w:t>personalised</w:t>
      </w:r>
      <w:proofErr w:type="spellEnd"/>
      <w:r w:rsidRPr="00430383">
        <w:rPr>
          <w:rFonts w:ascii="Helvetica Neue" w:eastAsiaTheme="minorEastAsia" w:hAnsi="Helvetica Neue" w:cs="Times New Roman"/>
        </w:rPr>
        <w:t xml:space="preserve"> social and work activation project </w:t>
      </w:r>
      <w:proofErr w:type="spellStart"/>
      <w:r w:rsidR="00947F27" w:rsidRPr="00430383">
        <w:rPr>
          <w:rFonts w:ascii="Helvetica Neue" w:eastAsiaTheme="minorEastAsia" w:hAnsi="Helvetica Neue" w:cs="Times New Roman"/>
        </w:rPr>
        <w:t>organised</w:t>
      </w:r>
      <w:proofErr w:type="spellEnd"/>
      <w:r w:rsidR="00947F27" w:rsidRPr="00430383">
        <w:rPr>
          <w:rFonts w:ascii="Helvetica Neue" w:eastAsiaTheme="minorEastAsia" w:hAnsi="Helvetica Neue" w:cs="Times New Roman"/>
        </w:rPr>
        <w:t xml:space="preserve"> by</w:t>
      </w:r>
      <w:r w:rsidRPr="00430383">
        <w:rPr>
          <w:rFonts w:ascii="Helvetica Neue" w:eastAsiaTheme="minorEastAsia" w:hAnsi="Helvetica Neue" w:cs="Times New Roman"/>
        </w:rPr>
        <w:t xml:space="preserve"> the Municipal social services together with the employment services, health services and schools, as well as with private entities and non-profit organisations.</w:t>
      </w:r>
    </w:p>
    <w:p w14:paraId="5E485230" w14:textId="77777777" w:rsidR="00962D10" w:rsidRPr="00430383" w:rsidRDefault="008D75AF" w:rsidP="00D40779">
      <w:pPr>
        <w:pStyle w:val="BodyText"/>
        <w:spacing w:before="140" w:line="346"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In fact, the </w:t>
      </w:r>
      <w:proofErr w:type="spellStart"/>
      <w:r w:rsidRPr="00430383">
        <w:rPr>
          <w:rFonts w:ascii="Helvetica Neue" w:eastAsiaTheme="minorEastAsia" w:hAnsi="Helvetica Neue" w:cs="Times New Roman"/>
        </w:rPr>
        <w:t>SIA</w:t>
      </w:r>
      <w:proofErr w:type="spellEnd"/>
      <w:r w:rsidRPr="00430383">
        <w:rPr>
          <w:rFonts w:ascii="Helvetica Neue" w:eastAsiaTheme="minorEastAsia" w:hAnsi="Helvetica Neue" w:cs="Times New Roman"/>
        </w:rPr>
        <w:t xml:space="preserve"> involves all</w:t>
      </w:r>
      <w:r w:rsidR="00CB4EA8">
        <w:rPr>
          <w:rFonts w:ascii="Helvetica Neue" w:eastAsiaTheme="minorEastAsia" w:hAnsi="Helvetica Neue" w:cs="Times New Roman"/>
        </w:rPr>
        <w:t xml:space="preserve"> family unit </w:t>
      </w:r>
      <w:r w:rsidRPr="00430383">
        <w:rPr>
          <w:rFonts w:ascii="Helvetica Neue" w:eastAsiaTheme="minorEastAsia" w:hAnsi="Helvetica Neue" w:cs="Times New Roman"/>
        </w:rPr>
        <w:t xml:space="preserve">members and provides specific commitments for adults and children on the basis of an overall assessment of issues and needs. The objective is to help families </w:t>
      </w:r>
      <w:r w:rsidR="00807635">
        <w:rPr>
          <w:rFonts w:ascii="Helvetica Neue" w:eastAsiaTheme="minorEastAsia" w:hAnsi="Helvetica Neue" w:cs="Times New Roman"/>
        </w:rPr>
        <w:t xml:space="preserve">to </w:t>
      </w:r>
      <w:r w:rsidRPr="00430383">
        <w:rPr>
          <w:rFonts w:ascii="Helvetica Neue" w:eastAsiaTheme="minorEastAsia" w:hAnsi="Helvetica Neue" w:cs="Times New Roman"/>
        </w:rPr>
        <w:t>overcome poverty and gradually regain autonomy.</w:t>
      </w:r>
    </w:p>
    <w:p w14:paraId="1785D308" w14:textId="77777777" w:rsidR="00962D10" w:rsidRPr="00430383" w:rsidRDefault="008D75AF" w:rsidP="00D40779">
      <w:pPr>
        <w:pStyle w:val="BodyText"/>
        <w:spacing w:before="96"/>
        <w:ind w:left="0" w:right="19"/>
        <w:jc w:val="both"/>
        <w:rPr>
          <w:rFonts w:ascii="Helvetica Neue" w:eastAsiaTheme="minorEastAsia" w:hAnsi="Helvetica Neue" w:cs="Times New Roman"/>
        </w:rPr>
      </w:pPr>
      <w:r w:rsidRPr="00430383">
        <w:rPr>
          <w:rFonts w:ascii="Helvetica Neue" w:eastAsiaTheme="minorEastAsia" w:hAnsi="Helvetica Neue" w:cs="Times New Roman"/>
        </w:rPr>
        <w:t>The decree entrusts</w:t>
      </w:r>
      <w:r w:rsidR="00807635">
        <w:rPr>
          <w:rFonts w:ascii="Helvetica Neue" w:eastAsiaTheme="minorEastAsia" w:hAnsi="Helvetica Neue" w:cs="Times New Roman"/>
        </w:rPr>
        <w:t xml:space="preserve"> to</w:t>
      </w:r>
      <w:r w:rsidRPr="00430383">
        <w:rPr>
          <w:rFonts w:ascii="Helvetica Neue" w:eastAsiaTheme="minorEastAsia" w:hAnsi="Helvetica Neue" w:cs="Times New Roman"/>
        </w:rPr>
        <w:t xml:space="preserve"> Municipalities the operational management of applications and </w:t>
      </w:r>
      <w:r w:rsidR="00807635">
        <w:rPr>
          <w:rFonts w:ascii="Helvetica Neue" w:eastAsiaTheme="minorEastAsia" w:hAnsi="Helvetica Neue" w:cs="Times New Roman"/>
        </w:rPr>
        <w:t>the related</w:t>
      </w:r>
      <w:r w:rsidR="00807635" w:rsidRPr="00430383">
        <w:rPr>
          <w:rFonts w:ascii="Helvetica Neue" w:eastAsiaTheme="minorEastAsia" w:hAnsi="Helvetica Neue" w:cs="Times New Roman"/>
        </w:rPr>
        <w:t xml:space="preserve"> </w:t>
      </w:r>
      <w:r w:rsidRPr="00430383">
        <w:rPr>
          <w:rFonts w:ascii="Helvetica Neue" w:eastAsiaTheme="minorEastAsia" w:hAnsi="Helvetica Neue" w:cs="Times New Roman"/>
        </w:rPr>
        <w:t xml:space="preserve">acceptance/rejection, while INPS is required to carry out checks on the situations of the applicants </w:t>
      </w:r>
      <w:r w:rsidR="00807635">
        <w:rPr>
          <w:rFonts w:ascii="Helvetica Neue" w:eastAsiaTheme="minorEastAsia" w:hAnsi="Helvetica Neue" w:cs="Times New Roman"/>
        </w:rPr>
        <w:t xml:space="preserve">in order </w:t>
      </w:r>
      <w:r w:rsidRPr="00430383">
        <w:rPr>
          <w:rFonts w:ascii="Helvetica Neue" w:eastAsiaTheme="minorEastAsia" w:hAnsi="Helvetica Neue" w:cs="Times New Roman"/>
        </w:rPr>
        <w:t>to verify that they meet the requirements established by the law.</w:t>
      </w:r>
    </w:p>
    <w:p w14:paraId="03FD9A59" w14:textId="77777777" w:rsidR="00962D10" w:rsidRPr="00947F27" w:rsidRDefault="008D75AF" w:rsidP="00D40779">
      <w:pPr>
        <w:pStyle w:val="BodyText"/>
        <w:spacing w:before="140" w:line="346" w:lineRule="exact"/>
        <w:ind w:left="0" w:right="19"/>
        <w:jc w:val="both"/>
        <w:rPr>
          <w:rFonts w:ascii="Helvetica Neue" w:eastAsiaTheme="minorEastAsia" w:hAnsi="Helvetica Neue" w:cs="Times New Roman"/>
        </w:rPr>
      </w:pPr>
      <w:r w:rsidRPr="00430383">
        <w:rPr>
          <w:rFonts w:ascii="Helvetica Neue" w:eastAsiaTheme="minorEastAsia" w:hAnsi="Helvetica Neue" w:cs="Times New Roman"/>
        </w:rPr>
        <w:t xml:space="preserve">To gain access to the </w:t>
      </w:r>
      <w:proofErr w:type="spellStart"/>
      <w:r w:rsidRPr="00430383">
        <w:rPr>
          <w:rFonts w:ascii="Helvetica Neue" w:eastAsiaTheme="minorEastAsia" w:hAnsi="Helvetica Neue" w:cs="Times New Roman"/>
        </w:rPr>
        <w:t>SIA</w:t>
      </w:r>
      <w:proofErr w:type="spellEnd"/>
      <w:r w:rsidRPr="00430383">
        <w:rPr>
          <w:rFonts w:ascii="Helvetica Neue" w:eastAsiaTheme="minorEastAsia" w:hAnsi="Helvetica Neue" w:cs="Times New Roman"/>
        </w:rPr>
        <w:t xml:space="preserve">, a multidimensional assessment of the needs of the </w:t>
      </w:r>
      <w:r w:rsidR="00E930A0">
        <w:rPr>
          <w:rFonts w:ascii="Helvetica Neue" w:eastAsiaTheme="minorEastAsia" w:hAnsi="Helvetica Neue" w:cs="Times New Roman"/>
        </w:rPr>
        <w:t>family unit</w:t>
      </w:r>
      <w:r w:rsidR="00E930A0" w:rsidRPr="00430383">
        <w:rPr>
          <w:rFonts w:ascii="Helvetica Neue" w:eastAsiaTheme="minorEastAsia" w:hAnsi="Helvetica Neue" w:cs="Times New Roman"/>
        </w:rPr>
        <w:t xml:space="preserve"> </w:t>
      </w:r>
      <w:r w:rsidRPr="00430383">
        <w:rPr>
          <w:rFonts w:ascii="Helvetica Neue" w:eastAsiaTheme="minorEastAsia" w:hAnsi="Helvetica Neue" w:cs="Times New Roman"/>
        </w:rPr>
        <w:t>members together with the establishment of an agreement with the Municipal social services</w:t>
      </w:r>
      <w:r w:rsidR="00E930A0">
        <w:rPr>
          <w:rFonts w:ascii="Helvetica Neue" w:eastAsiaTheme="minorEastAsia" w:hAnsi="Helvetica Neue" w:cs="Times New Roman"/>
        </w:rPr>
        <w:t xml:space="preserve"> are necessary</w:t>
      </w:r>
      <w:r w:rsidRPr="00430383">
        <w:rPr>
          <w:rFonts w:ascii="Helvetica Neue" w:eastAsiaTheme="minorEastAsia" w:hAnsi="Helvetica Neue" w:cs="Times New Roman"/>
        </w:rPr>
        <w:t xml:space="preserve">. This pact entails, </w:t>
      </w:r>
      <w:r w:rsidR="00731AB5">
        <w:rPr>
          <w:rFonts w:ascii="Helvetica Neue" w:eastAsiaTheme="minorEastAsia" w:hAnsi="Helvetica Neue" w:cs="Times New Roman"/>
        </w:rPr>
        <w:t>as far as the social services are concerned</w:t>
      </w:r>
      <w:r w:rsidRPr="00430383">
        <w:rPr>
          <w:rFonts w:ascii="Helvetica Neue" w:eastAsiaTheme="minorEastAsia" w:hAnsi="Helvetica Neue" w:cs="Times New Roman"/>
        </w:rPr>
        <w:t xml:space="preserve">, the taking charge of improving the family’s </w:t>
      </w:r>
      <w:proofErr w:type="gramStart"/>
      <w:r w:rsidRPr="00430383">
        <w:rPr>
          <w:rFonts w:ascii="Helvetica Neue" w:eastAsiaTheme="minorEastAsia" w:hAnsi="Helvetica Neue" w:cs="Times New Roman"/>
        </w:rPr>
        <w:t>well-being</w:t>
      </w:r>
      <w:proofErr w:type="gramEnd"/>
      <w:r w:rsidRPr="00430383">
        <w:rPr>
          <w:rFonts w:ascii="Helvetica Neue" w:eastAsiaTheme="minorEastAsia" w:hAnsi="Helvetica Neue" w:cs="Times New Roman"/>
        </w:rPr>
        <w:t xml:space="preserve"> and the creation of conditions to lift poverty. </w:t>
      </w:r>
      <w:r w:rsidRPr="00947F27">
        <w:rPr>
          <w:rFonts w:ascii="Helvetica Neue" w:eastAsiaTheme="minorEastAsia" w:hAnsi="Helvetica Neue" w:cs="Times New Roman"/>
        </w:rPr>
        <w:t xml:space="preserve">It provides, </w:t>
      </w:r>
      <w:r w:rsidR="00731AB5">
        <w:rPr>
          <w:rFonts w:ascii="Helvetica Neue" w:eastAsiaTheme="minorEastAsia" w:hAnsi="Helvetica Neue" w:cs="Times New Roman"/>
        </w:rPr>
        <w:t>with regard to</w:t>
      </w:r>
      <w:r w:rsidRPr="00947F27">
        <w:rPr>
          <w:rFonts w:ascii="Helvetica Neue" w:eastAsiaTheme="minorEastAsia" w:hAnsi="Helvetica Neue" w:cs="Times New Roman"/>
        </w:rPr>
        <w:t xml:space="preserve"> the beneficiaries, a commitment to the agreement with the consequent adoption of a series of good practices, such as active job searching, participation in work inclusion projects (internships, work experience grants, etc.), school attendance for under-age children, and adherence to specific </w:t>
      </w:r>
      <w:r w:rsidR="009D5329">
        <w:rPr>
          <w:rFonts w:ascii="Helvetica Neue" w:eastAsiaTheme="minorEastAsia" w:hAnsi="Helvetica Neue" w:cs="Times New Roman"/>
        </w:rPr>
        <w:t>courses</w:t>
      </w:r>
      <w:r w:rsidR="009D5329"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possibly identified by specialist services (for</w:t>
      </w:r>
      <w:r w:rsidR="00947F27"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example, preventive and treatment procedures for the protection of health, rehabilitation processes,</w:t>
      </w:r>
      <w:r w:rsidR="00947F27">
        <w:rPr>
          <w:rFonts w:ascii="Helvetica Neue" w:eastAsiaTheme="minorEastAsia" w:hAnsi="Helvetica Neue" w:cs="Times New Roman"/>
        </w:rPr>
        <w:t xml:space="preserve"> </w:t>
      </w:r>
      <w:proofErr w:type="spellStart"/>
      <w:r w:rsidRPr="00947F27">
        <w:rPr>
          <w:rFonts w:ascii="Helvetica Neue" w:eastAsiaTheme="minorEastAsia" w:hAnsi="Helvetica Neue" w:cs="Times New Roman"/>
        </w:rPr>
        <w:t>etc</w:t>
      </w:r>
      <w:proofErr w:type="spellEnd"/>
      <w:proofErr w:type="gramStart"/>
      <w:r w:rsidRPr="00947F27">
        <w:rPr>
          <w:rFonts w:ascii="Helvetica Neue" w:eastAsiaTheme="minorEastAsia" w:hAnsi="Helvetica Neue" w:cs="Times New Roman"/>
        </w:rPr>
        <w:t>..</w:t>
      </w:r>
      <w:proofErr w:type="gramEnd"/>
      <w:r w:rsidRPr="00947F27">
        <w:rPr>
          <w:rFonts w:ascii="Helvetica Neue" w:eastAsiaTheme="minorEastAsia" w:hAnsi="Helvetica Neue" w:cs="Times New Roman"/>
        </w:rPr>
        <w:t>.).</w:t>
      </w:r>
    </w:p>
    <w:p w14:paraId="331703E7" w14:textId="77777777" w:rsidR="00962D10" w:rsidRPr="00947F27" w:rsidRDefault="008D75AF" w:rsidP="00D40779">
      <w:pPr>
        <w:pStyle w:val="BodyText"/>
        <w:spacing w:before="140" w:line="346" w:lineRule="exact"/>
        <w:ind w:left="0" w:right="19"/>
        <w:jc w:val="both"/>
        <w:rPr>
          <w:rFonts w:ascii="Helvetica Neue" w:eastAsiaTheme="minorEastAsia" w:hAnsi="Helvetica Neue" w:cs="Times New Roman"/>
        </w:rPr>
      </w:pPr>
      <w:r w:rsidRPr="00947F27">
        <w:rPr>
          <w:rFonts w:ascii="Helvetica Neue" w:eastAsiaTheme="minorEastAsia" w:hAnsi="Helvetica Neue" w:cs="Times New Roman"/>
        </w:rPr>
        <w:t>The financial benefit is granted every two months, depending on the composition of the beneficiary</w:t>
      </w:r>
      <w:r w:rsidR="00947F27">
        <w:rPr>
          <w:rFonts w:ascii="Helvetica Neue" w:eastAsiaTheme="minorEastAsia" w:hAnsi="Helvetica Neue" w:cs="Times New Roman"/>
        </w:rPr>
        <w:t xml:space="preserve"> </w:t>
      </w:r>
      <w:r w:rsidR="00CB4EA8">
        <w:rPr>
          <w:rFonts w:ascii="Helvetica Neue" w:eastAsiaTheme="minorEastAsia" w:hAnsi="Helvetica Neue" w:cs="Times New Roman"/>
        </w:rPr>
        <w:t xml:space="preserve">family </w:t>
      </w:r>
      <w:r w:rsidR="00A13DB5">
        <w:rPr>
          <w:rFonts w:ascii="Helvetica Neue" w:eastAsiaTheme="minorEastAsia" w:hAnsi="Helvetica Neue" w:cs="Times New Roman"/>
        </w:rPr>
        <w:t>unit</w:t>
      </w:r>
      <w:r w:rsidRPr="00947F27">
        <w:rPr>
          <w:rFonts w:ascii="Helvetica Neue" w:eastAsiaTheme="minorEastAsia" w:hAnsi="Helvetica Neue" w:cs="Times New Roman"/>
        </w:rPr>
        <w:t>, according to the following breakdown:</w:t>
      </w:r>
    </w:p>
    <w:p w14:paraId="14FD77E8" w14:textId="77777777" w:rsidR="00962D10" w:rsidRDefault="00962D10" w:rsidP="002E5374">
      <w:pPr>
        <w:spacing w:before="9"/>
        <w:jc w:val="both"/>
        <w:rPr>
          <w:rFonts w:ascii="Malgun Gothic" w:eastAsia="Malgun Gothic" w:hAnsi="Malgun Gothic" w:cs="Malgun Gothic"/>
          <w:sz w:val="8"/>
          <w:szCs w:val="8"/>
        </w:rPr>
      </w:pPr>
    </w:p>
    <w:tbl>
      <w:tblPr>
        <w:tblW w:w="0" w:type="auto"/>
        <w:tblInd w:w="2033" w:type="dxa"/>
        <w:tblLayout w:type="fixed"/>
        <w:tblCellMar>
          <w:left w:w="0" w:type="dxa"/>
          <w:right w:w="0" w:type="dxa"/>
        </w:tblCellMar>
        <w:tblLook w:val="01E0" w:firstRow="1" w:lastRow="1" w:firstColumn="1" w:lastColumn="1" w:noHBand="0" w:noVBand="0"/>
      </w:tblPr>
      <w:tblGrid>
        <w:gridCol w:w="2972"/>
        <w:gridCol w:w="2823"/>
      </w:tblGrid>
      <w:tr w:rsidR="00962D10" w14:paraId="2AA3078C" w14:textId="77777777">
        <w:trPr>
          <w:trHeight w:hRule="exact" w:val="659"/>
        </w:trPr>
        <w:tc>
          <w:tcPr>
            <w:tcW w:w="2972" w:type="dxa"/>
            <w:tcBorders>
              <w:top w:val="single" w:sz="5" w:space="0" w:color="000009"/>
              <w:left w:val="single" w:sz="5" w:space="0" w:color="000009"/>
              <w:bottom w:val="single" w:sz="5" w:space="0" w:color="000009"/>
              <w:right w:val="single" w:sz="5" w:space="0" w:color="000009"/>
            </w:tcBorders>
            <w:shd w:val="clear" w:color="auto" w:fill="C5D9F0"/>
          </w:tcPr>
          <w:p w14:paraId="5AEDC197" w14:textId="77777777" w:rsidR="00962D10" w:rsidRDefault="00CB4EA8" w:rsidP="00CB4EA8">
            <w:pPr>
              <w:pStyle w:val="TableParagraph"/>
              <w:spacing w:before="20"/>
              <w:ind w:left="100"/>
              <w:jc w:val="center"/>
              <w:rPr>
                <w:rFonts w:ascii="Malgun Gothic" w:eastAsia="Malgun Gothic" w:hAnsi="Malgun Gothic" w:cs="Malgun Gothic"/>
                <w:sz w:val="20"/>
                <w:szCs w:val="20"/>
              </w:rPr>
            </w:pPr>
            <w:r>
              <w:rPr>
                <w:rFonts w:ascii="Malgun Gothic"/>
                <w:b/>
                <w:spacing w:val="-1"/>
                <w:sz w:val="20"/>
              </w:rPr>
              <w:t xml:space="preserve">FAMILY UNIT </w:t>
            </w:r>
          </w:p>
        </w:tc>
        <w:tc>
          <w:tcPr>
            <w:tcW w:w="2823" w:type="dxa"/>
            <w:tcBorders>
              <w:top w:val="single" w:sz="5" w:space="0" w:color="000009"/>
              <w:left w:val="single" w:sz="5" w:space="0" w:color="000009"/>
              <w:bottom w:val="single" w:sz="5" w:space="0" w:color="000009"/>
              <w:right w:val="single" w:sz="5" w:space="0" w:color="000009"/>
            </w:tcBorders>
            <w:shd w:val="clear" w:color="auto" w:fill="C5D9F0"/>
          </w:tcPr>
          <w:p w14:paraId="6E28B48A" w14:textId="77777777" w:rsidR="00962D10" w:rsidRDefault="008D75AF" w:rsidP="002E5374">
            <w:pPr>
              <w:pStyle w:val="TableParagraph"/>
              <w:spacing w:before="20"/>
              <w:ind w:left="344"/>
              <w:jc w:val="both"/>
              <w:rPr>
                <w:rFonts w:ascii="Malgun Gothic" w:eastAsia="Malgun Gothic" w:hAnsi="Malgun Gothic" w:cs="Malgun Gothic"/>
                <w:sz w:val="20"/>
                <w:szCs w:val="20"/>
              </w:rPr>
            </w:pPr>
            <w:r>
              <w:rPr>
                <w:rFonts w:ascii="Malgun Gothic"/>
                <w:b/>
                <w:spacing w:val="-1"/>
                <w:sz w:val="20"/>
              </w:rPr>
              <w:t>MONTHLY</w:t>
            </w:r>
            <w:r>
              <w:rPr>
                <w:rFonts w:ascii="Malgun Gothic"/>
                <w:b/>
                <w:spacing w:val="-9"/>
                <w:sz w:val="20"/>
              </w:rPr>
              <w:t xml:space="preserve"> </w:t>
            </w:r>
            <w:r>
              <w:rPr>
                <w:rFonts w:ascii="Malgun Gothic"/>
                <w:b/>
                <w:sz w:val="20"/>
              </w:rPr>
              <w:t>SUM</w:t>
            </w:r>
            <w:r>
              <w:rPr>
                <w:rFonts w:ascii="Malgun Gothic"/>
                <w:b/>
                <w:spacing w:val="-8"/>
                <w:sz w:val="20"/>
              </w:rPr>
              <w:t xml:space="preserve"> </w:t>
            </w:r>
            <w:r>
              <w:rPr>
                <w:rFonts w:ascii="Malgun Gothic"/>
                <w:b/>
                <w:spacing w:val="-1"/>
                <w:sz w:val="20"/>
              </w:rPr>
              <w:t>(</w:t>
            </w:r>
            <w:proofErr w:type="spellStart"/>
            <w:r>
              <w:rPr>
                <w:rFonts w:ascii="Malgun Gothic"/>
                <w:b/>
                <w:spacing w:val="-1"/>
                <w:sz w:val="20"/>
              </w:rPr>
              <w:t>EUR</w:t>
            </w:r>
            <w:proofErr w:type="spellEnd"/>
            <w:r>
              <w:rPr>
                <w:rFonts w:ascii="Malgun Gothic"/>
                <w:b/>
                <w:spacing w:val="-1"/>
                <w:sz w:val="20"/>
              </w:rPr>
              <w:t>)</w:t>
            </w:r>
          </w:p>
        </w:tc>
      </w:tr>
      <w:tr w:rsidR="00962D10" w14:paraId="49EB13F9" w14:textId="77777777">
        <w:trPr>
          <w:trHeight w:hRule="exact" w:val="528"/>
        </w:trPr>
        <w:tc>
          <w:tcPr>
            <w:tcW w:w="2972" w:type="dxa"/>
            <w:tcBorders>
              <w:top w:val="single" w:sz="5" w:space="0" w:color="000009"/>
              <w:left w:val="single" w:sz="5" w:space="0" w:color="000009"/>
              <w:bottom w:val="single" w:sz="5" w:space="0" w:color="000009"/>
              <w:right w:val="single" w:sz="5" w:space="0" w:color="000009"/>
            </w:tcBorders>
          </w:tcPr>
          <w:p w14:paraId="4B65519D" w14:textId="77777777" w:rsidR="00962D10" w:rsidRDefault="008D75AF" w:rsidP="00CB4EA8">
            <w:pPr>
              <w:pStyle w:val="TableParagraph"/>
              <w:spacing w:line="302" w:lineRule="exact"/>
              <w:jc w:val="center"/>
              <w:rPr>
                <w:rFonts w:ascii="Malgun Gothic" w:eastAsia="Malgun Gothic" w:hAnsi="Malgun Gothic" w:cs="Malgun Gothic"/>
                <w:sz w:val="20"/>
                <w:szCs w:val="20"/>
              </w:rPr>
            </w:pPr>
            <w:r>
              <w:rPr>
                <w:rFonts w:ascii="Malgun Gothic"/>
                <w:sz w:val="20"/>
              </w:rPr>
              <w:t>1</w:t>
            </w:r>
            <w:r>
              <w:rPr>
                <w:rFonts w:ascii="Malgun Gothic"/>
                <w:spacing w:val="-9"/>
                <w:sz w:val="20"/>
              </w:rPr>
              <w:t xml:space="preserve"> </w:t>
            </w:r>
            <w:r>
              <w:rPr>
                <w:rFonts w:ascii="Malgun Gothic"/>
                <w:sz w:val="20"/>
              </w:rPr>
              <w:t>member</w:t>
            </w:r>
          </w:p>
        </w:tc>
        <w:tc>
          <w:tcPr>
            <w:tcW w:w="2823" w:type="dxa"/>
            <w:tcBorders>
              <w:top w:val="single" w:sz="5" w:space="0" w:color="000009"/>
              <w:left w:val="single" w:sz="5" w:space="0" w:color="000009"/>
              <w:bottom w:val="single" w:sz="5" w:space="0" w:color="000009"/>
              <w:right w:val="single" w:sz="5" w:space="0" w:color="000009"/>
            </w:tcBorders>
          </w:tcPr>
          <w:p w14:paraId="08F8C004" w14:textId="77777777" w:rsidR="00962D10" w:rsidRDefault="008D75AF" w:rsidP="00904326">
            <w:pPr>
              <w:pStyle w:val="TableParagraph"/>
              <w:spacing w:line="302" w:lineRule="exact"/>
              <w:ind w:right="100"/>
              <w:jc w:val="center"/>
              <w:rPr>
                <w:rFonts w:ascii="Malgun Gothic" w:eastAsia="Malgun Gothic" w:hAnsi="Malgun Gothic" w:cs="Malgun Gothic"/>
                <w:sz w:val="20"/>
                <w:szCs w:val="20"/>
              </w:rPr>
            </w:pPr>
            <w:r>
              <w:rPr>
                <w:rFonts w:ascii="Malgun Gothic"/>
                <w:w w:val="95"/>
                <w:sz w:val="20"/>
              </w:rPr>
              <w:t>80.00</w:t>
            </w:r>
          </w:p>
        </w:tc>
      </w:tr>
      <w:tr w:rsidR="00962D10" w14:paraId="700DDF4E" w14:textId="77777777">
        <w:trPr>
          <w:trHeight w:hRule="exact" w:val="530"/>
        </w:trPr>
        <w:tc>
          <w:tcPr>
            <w:tcW w:w="2972" w:type="dxa"/>
            <w:tcBorders>
              <w:top w:val="single" w:sz="5" w:space="0" w:color="000009"/>
              <w:left w:val="single" w:sz="5" w:space="0" w:color="000009"/>
              <w:bottom w:val="single" w:sz="5" w:space="0" w:color="000009"/>
              <w:right w:val="single" w:sz="5" w:space="0" w:color="000009"/>
            </w:tcBorders>
          </w:tcPr>
          <w:p w14:paraId="5A6A0BFA" w14:textId="77777777" w:rsidR="00962D10" w:rsidRDefault="008D75AF" w:rsidP="002E5374">
            <w:pPr>
              <w:pStyle w:val="TableParagraph"/>
              <w:spacing w:line="304" w:lineRule="exact"/>
              <w:ind w:left="966"/>
              <w:jc w:val="both"/>
              <w:rPr>
                <w:rFonts w:ascii="Malgun Gothic" w:eastAsia="Malgun Gothic" w:hAnsi="Malgun Gothic" w:cs="Malgun Gothic"/>
                <w:sz w:val="20"/>
                <w:szCs w:val="20"/>
              </w:rPr>
            </w:pPr>
            <w:r>
              <w:rPr>
                <w:rFonts w:ascii="Malgun Gothic"/>
                <w:sz w:val="20"/>
              </w:rPr>
              <w:t>2</w:t>
            </w:r>
            <w:r>
              <w:rPr>
                <w:rFonts w:ascii="Malgun Gothic"/>
                <w:spacing w:val="-11"/>
                <w:sz w:val="20"/>
              </w:rPr>
              <w:t xml:space="preserve"> </w:t>
            </w:r>
            <w:r>
              <w:rPr>
                <w:rFonts w:ascii="Malgun Gothic"/>
                <w:spacing w:val="-1"/>
                <w:sz w:val="20"/>
              </w:rPr>
              <w:t>members</w:t>
            </w:r>
          </w:p>
        </w:tc>
        <w:tc>
          <w:tcPr>
            <w:tcW w:w="2823" w:type="dxa"/>
            <w:tcBorders>
              <w:top w:val="single" w:sz="5" w:space="0" w:color="000009"/>
              <w:left w:val="single" w:sz="5" w:space="0" w:color="000009"/>
              <w:bottom w:val="single" w:sz="5" w:space="0" w:color="000009"/>
              <w:right w:val="single" w:sz="5" w:space="0" w:color="000009"/>
            </w:tcBorders>
          </w:tcPr>
          <w:p w14:paraId="315A4B77" w14:textId="77777777" w:rsidR="00962D10" w:rsidRDefault="008D75AF" w:rsidP="00904326">
            <w:pPr>
              <w:pStyle w:val="TableParagraph"/>
              <w:spacing w:line="304" w:lineRule="exact"/>
              <w:ind w:right="100"/>
              <w:jc w:val="center"/>
              <w:rPr>
                <w:rFonts w:ascii="Malgun Gothic" w:eastAsia="Malgun Gothic" w:hAnsi="Malgun Gothic" w:cs="Malgun Gothic"/>
                <w:sz w:val="20"/>
                <w:szCs w:val="20"/>
              </w:rPr>
            </w:pPr>
            <w:r>
              <w:rPr>
                <w:rFonts w:ascii="Malgun Gothic"/>
                <w:w w:val="95"/>
                <w:sz w:val="20"/>
              </w:rPr>
              <w:t>160.00</w:t>
            </w:r>
          </w:p>
        </w:tc>
      </w:tr>
      <w:tr w:rsidR="00962D10" w14:paraId="6F9019E0" w14:textId="77777777">
        <w:trPr>
          <w:trHeight w:hRule="exact" w:val="528"/>
        </w:trPr>
        <w:tc>
          <w:tcPr>
            <w:tcW w:w="2972" w:type="dxa"/>
            <w:tcBorders>
              <w:top w:val="single" w:sz="5" w:space="0" w:color="000009"/>
              <w:left w:val="single" w:sz="5" w:space="0" w:color="000009"/>
              <w:bottom w:val="single" w:sz="5" w:space="0" w:color="000009"/>
              <w:right w:val="single" w:sz="5" w:space="0" w:color="000009"/>
            </w:tcBorders>
          </w:tcPr>
          <w:p w14:paraId="5F3CB3B0" w14:textId="77777777" w:rsidR="00962D10" w:rsidRDefault="008D75AF" w:rsidP="002E5374">
            <w:pPr>
              <w:pStyle w:val="TableParagraph"/>
              <w:spacing w:line="302" w:lineRule="exact"/>
              <w:ind w:left="966"/>
              <w:jc w:val="both"/>
              <w:rPr>
                <w:rFonts w:ascii="Malgun Gothic" w:eastAsia="Malgun Gothic" w:hAnsi="Malgun Gothic" w:cs="Malgun Gothic"/>
                <w:sz w:val="20"/>
                <w:szCs w:val="20"/>
              </w:rPr>
            </w:pPr>
            <w:r>
              <w:rPr>
                <w:rFonts w:ascii="Malgun Gothic"/>
                <w:sz w:val="20"/>
              </w:rPr>
              <w:t>3</w:t>
            </w:r>
            <w:r>
              <w:rPr>
                <w:rFonts w:ascii="Malgun Gothic"/>
                <w:spacing w:val="-10"/>
                <w:sz w:val="20"/>
              </w:rPr>
              <w:t xml:space="preserve"> </w:t>
            </w:r>
            <w:r>
              <w:rPr>
                <w:rFonts w:ascii="Malgun Gothic"/>
                <w:spacing w:val="-1"/>
                <w:sz w:val="20"/>
              </w:rPr>
              <w:t>members</w:t>
            </w:r>
          </w:p>
        </w:tc>
        <w:tc>
          <w:tcPr>
            <w:tcW w:w="2823" w:type="dxa"/>
            <w:tcBorders>
              <w:top w:val="single" w:sz="5" w:space="0" w:color="000009"/>
              <w:left w:val="single" w:sz="5" w:space="0" w:color="000009"/>
              <w:bottom w:val="single" w:sz="5" w:space="0" w:color="000009"/>
              <w:right w:val="single" w:sz="5" w:space="0" w:color="000009"/>
            </w:tcBorders>
          </w:tcPr>
          <w:p w14:paraId="36C6469F" w14:textId="77777777" w:rsidR="00962D10" w:rsidRDefault="008D75AF" w:rsidP="00904326">
            <w:pPr>
              <w:pStyle w:val="TableParagraph"/>
              <w:spacing w:line="302" w:lineRule="exact"/>
              <w:ind w:right="100"/>
              <w:jc w:val="center"/>
              <w:rPr>
                <w:rFonts w:ascii="Malgun Gothic" w:eastAsia="Malgun Gothic" w:hAnsi="Malgun Gothic" w:cs="Malgun Gothic"/>
                <w:sz w:val="20"/>
                <w:szCs w:val="20"/>
              </w:rPr>
            </w:pPr>
            <w:r>
              <w:rPr>
                <w:rFonts w:ascii="Malgun Gothic"/>
                <w:w w:val="95"/>
                <w:sz w:val="20"/>
              </w:rPr>
              <w:t>240.00</w:t>
            </w:r>
          </w:p>
        </w:tc>
      </w:tr>
      <w:tr w:rsidR="00962D10" w14:paraId="45A3C0D1" w14:textId="77777777">
        <w:trPr>
          <w:trHeight w:hRule="exact" w:val="529"/>
        </w:trPr>
        <w:tc>
          <w:tcPr>
            <w:tcW w:w="2972" w:type="dxa"/>
            <w:tcBorders>
              <w:top w:val="single" w:sz="5" w:space="0" w:color="000009"/>
              <w:left w:val="single" w:sz="5" w:space="0" w:color="000009"/>
              <w:bottom w:val="single" w:sz="5" w:space="0" w:color="000009"/>
              <w:right w:val="single" w:sz="5" w:space="0" w:color="000009"/>
            </w:tcBorders>
          </w:tcPr>
          <w:p w14:paraId="063D9798" w14:textId="77777777" w:rsidR="00962D10" w:rsidRDefault="008D75AF" w:rsidP="002E5374">
            <w:pPr>
              <w:pStyle w:val="TableParagraph"/>
              <w:spacing w:line="302" w:lineRule="exact"/>
              <w:ind w:left="966"/>
              <w:jc w:val="both"/>
              <w:rPr>
                <w:rFonts w:ascii="Malgun Gothic" w:eastAsia="Malgun Gothic" w:hAnsi="Malgun Gothic" w:cs="Malgun Gothic"/>
                <w:sz w:val="20"/>
                <w:szCs w:val="20"/>
              </w:rPr>
            </w:pPr>
            <w:r>
              <w:rPr>
                <w:rFonts w:ascii="Malgun Gothic"/>
                <w:sz w:val="20"/>
              </w:rPr>
              <w:t>4</w:t>
            </w:r>
            <w:r>
              <w:rPr>
                <w:rFonts w:ascii="Malgun Gothic"/>
                <w:spacing w:val="-10"/>
                <w:sz w:val="20"/>
              </w:rPr>
              <w:t xml:space="preserve"> </w:t>
            </w:r>
            <w:r>
              <w:rPr>
                <w:rFonts w:ascii="Malgun Gothic"/>
                <w:spacing w:val="-1"/>
                <w:sz w:val="20"/>
              </w:rPr>
              <w:t>members</w:t>
            </w:r>
          </w:p>
        </w:tc>
        <w:tc>
          <w:tcPr>
            <w:tcW w:w="2823" w:type="dxa"/>
            <w:tcBorders>
              <w:top w:val="single" w:sz="5" w:space="0" w:color="000009"/>
              <w:left w:val="single" w:sz="5" w:space="0" w:color="000009"/>
              <w:bottom w:val="single" w:sz="5" w:space="0" w:color="000009"/>
              <w:right w:val="single" w:sz="5" w:space="0" w:color="000009"/>
            </w:tcBorders>
          </w:tcPr>
          <w:p w14:paraId="03ED6762" w14:textId="77777777" w:rsidR="00962D10" w:rsidRDefault="008D75AF" w:rsidP="00904326">
            <w:pPr>
              <w:pStyle w:val="TableParagraph"/>
              <w:spacing w:line="302" w:lineRule="exact"/>
              <w:ind w:right="100"/>
              <w:jc w:val="center"/>
              <w:rPr>
                <w:rFonts w:ascii="Malgun Gothic" w:eastAsia="Malgun Gothic" w:hAnsi="Malgun Gothic" w:cs="Malgun Gothic"/>
                <w:sz w:val="20"/>
                <w:szCs w:val="20"/>
              </w:rPr>
            </w:pPr>
            <w:r>
              <w:rPr>
                <w:rFonts w:ascii="Malgun Gothic"/>
                <w:w w:val="95"/>
                <w:sz w:val="20"/>
              </w:rPr>
              <w:t>320.00</w:t>
            </w:r>
          </w:p>
        </w:tc>
      </w:tr>
      <w:tr w:rsidR="00962D10" w14:paraId="2E186E1A" w14:textId="77777777">
        <w:trPr>
          <w:trHeight w:hRule="exact" w:val="530"/>
        </w:trPr>
        <w:tc>
          <w:tcPr>
            <w:tcW w:w="2972" w:type="dxa"/>
            <w:tcBorders>
              <w:top w:val="single" w:sz="5" w:space="0" w:color="000009"/>
              <w:left w:val="single" w:sz="5" w:space="0" w:color="000009"/>
              <w:bottom w:val="single" w:sz="5" w:space="0" w:color="000009"/>
              <w:right w:val="single" w:sz="5" w:space="0" w:color="000009"/>
            </w:tcBorders>
          </w:tcPr>
          <w:p w14:paraId="3628DDD4" w14:textId="77777777" w:rsidR="00962D10" w:rsidRDefault="008D75AF" w:rsidP="002E5374">
            <w:pPr>
              <w:pStyle w:val="TableParagraph"/>
              <w:spacing w:line="304" w:lineRule="exact"/>
              <w:ind w:left="565"/>
              <w:jc w:val="both"/>
              <w:rPr>
                <w:rFonts w:ascii="Malgun Gothic" w:eastAsia="Malgun Gothic" w:hAnsi="Malgun Gothic" w:cs="Malgun Gothic"/>
                <w:sz w:val="20"/>
                <w:szCs w:val="20"/>
              </w:rPr>
            </w:pPr>
            <w:r>
              <w:rPr>
                <w:rFonts w:ascii="Malgun Gothic"/>
                <w:sz w:val="20"/>
              </w:rPr>
              <w:t>5</w:t>
            </w:r>
            <w:r>
              <w:rPr>
                <w:rFonts w:ascii="Malgun Gothic"/>
                <w:spacing w:val="-6"/>
                <w:sz w:val="20"/>
              </w:rPr>
              <w:t xml:space="preserve"> </w:t>
            </w:r>
            <w:r>
              <w:rPr>
                <w:rFonts w:ascii="Malgun Gothic"/>
                <w:sz w:val="20"/>
              </w:rPr>
              <w:t>or</w:t>
            </w:r>
            <w:r>
              <w:rPr>
                <w:rFonts w:ascii="Malgun Gothic"/>
                <w:spacing w:val="-7"/>
                <w:sz w:val="20"/>
              </w:rPr>
              <w:t xml:space="preserve"> </w:t>
            </w:r>
            <w:r>
              <w:rPr>
                <w:rFonts w:ascii="Malgun Gothic"/>
                <w:sz w:val="20"/>
              </w:rPr>
              <w:t>more</w:t>
            </w:r>
            <w:r>
              <w:rPr>
                <w:rFonts w:ascii="Malgun Gothic"/>
                <w:spacing w:val="-6"/>
                <w:sz w:val="20"/>
              </w:rPr>
              <w:t xml:space="preserve"> </w:t>
            </w:r>
            <w:r>
              <w:rPr>
                <w:rFonts w:ascii="Malgun Gothic"/>
                <w:sz w:val="20"/>
              </w:rPr>
              <w:t>members</w:t>
            </w:r>
          </w:p>
        </w:tc>
        <w:tc>
          <w:tcPr>
            <w:tcW w:w="2823" w:type="dxa"/>
            <w:tcBorders>
              <w:top w:val="single" w:sz="5" w:space="0" w:color="000009"/>
              <w:left w:val="single" w:sz="5" w:space="0" w:color="000009"/>
              <w:bottom w:val="single" w:sz="5" w:space="0" w:color="000009"/>
              <w:right w:val="single" w:sz="5" w:space="0" w:color="000009"/>
            </w:tcBorders>
          </w:tcPr>
          <w:p w14:paraId="58D2E7EE" w14:textId="77777777" w:rsidR="00962D10" w:rsidRDefault="008D75AF" w:rsidP="00904326">
            <w:pPr>
              <w:pStyle w:val="TableParagraph"/>
              <w:spacing w:line="304" w:lineRule="exact"/>
              <w:ind w:right="100"/>
              <w:jc w:val="center"/>
              <w:rPr>
                <w:rFonts w:ascii="Malgun Gothic" w:eastAsia="Malgun Gothic" w:hAnsi="Malgun Gothic" w:cs="Malgun Gothic"/>
                <w:sz w:val="20"/>
                <w:szCs w:val="20"/>
              </w:rPr>
            </w:pPr>
            <w:r>
              <w:rPr>
                <w:rFonts w:ascii="Malgun Gothic"/>
                <w:w w:val="95"/>
                <w:sz w:val="20"/>
              </w:rPr>
              <w:t>400.00</w:t>
            </w:r>
          </w:p>
        </w:tc>
      </w:tr>
    </w:tbl>
    <w:p w14:paraId="7A44B0B6" w14:textId="77777777" w:rsidR="00962D10" w:rsidRDefault="00962D10" w:rsidP="002E5374">
      <w:pPr>
        <w:jc w:val="both"/>
        <w:rPr>
          <w:rFonts w:ascii="Malgun Gothic" w:eastAsia="Malgun Gothic" w:hAnsi="Malgun Gothic" w:cs="Malgun Gothic"/>
          <w:sz w:val="6"/>
          <w:szCs w:val="6"/>
        </w:rPr>
      </w:pPr>
    </w:p>
    <w:p w14:paraId="383C2B15" w14:textId="77777777" w:rsidR="00962D10" w:rsidRPr="00947F27" w:rsidRDefault="008D75AF" w:rsidP="00150C02">
      <w:pPr>
        <w:pStyle w:val="BodyText"/>
        <w:spacing w:line="310" w:lineRule="exact"/>
        <w:ind w:left="0"/>
        <w:jc w:val="both"/>
        <w:rPr>
          <w:rFonts w:ascii="Helvetica Neue" w:eastAsiaTheme="minorEastAsia" w:hAnsi="Helvetica Neue" w:cs="Times New Roman"/>
        </w:rPr>
      </w:pPr>
      <w:r w:rsidRPr="00947F27">
        <w:rPr>
          <w:rFonts w:ascii="Helvetica Neue" w:eastAsiaTheme="minorEastAsia" w:hAnsi="Helvetica Neue" w:cs="Times New Roman"/>
        </w:rPr>
        <w:t xml:space="preserve">The residents of the Regions and Autonomous Provinces can supplement the National Fund for the </w:t>
      </w:r>
      <w:proofErr w:type="spellStart"/>
      <w:r w:rsidRPr="00947F27">
        <w:rPr>
          <w:rFonts w:ascii="Helvetica Neue" w:eastAsiaTheme="minorEastAsia" w:hAnsi="Helvetica Neue" w:cs="Times New Roman"/>
        </w:rPr>
        <w:t>SIA</w:t>
      </w:r>
      <w:proofErr w:type="spellEnd"/>
      <w:r w:rsidR="00947F27">
        <w:rPr>
          <w:rFonts w:ascii="Helvetica Neue" w:eastAsiaTheme="minorEastAsia" w:hAnsi="Helvetica Neue" w:cs="Times New Roman"/>
        </w:rPr>
        <w:t xml:space="preserve"> </w:t>
      </w:r>
      <w:r w:rsidRPr="00947F27">
        <w:rPr>
          <w:rFonts w:ascii="Helvetica Neue" w:eastAsiaTheme="minorEastAsia" w:hAnsi="Helvetica Neue" w:cs="Times New Roman"/>
        </w:rPr>
        <w:t>in order to increase the benefit granted and/or broaden the number of beneficiaries by reducing the selectivity of the requirements necessary for access.</w:t>
      </w:r>
    </w:p>
    <w:p w14:paraId="774D8CEF" w14:textId="77777777" w:rsidR="00962D10" w:rsidRDefault="008D75AF" w:rsidP="00150C02">
      <w:pPr>
        <w:pStyle w:val="Heading4"/>
        <w:spacing w:before="81"/>
        <w:ind w:left="0"/>
        <w:jc w:val="both"/>
        <w:rPr>
          <w:b w:val="0"/>
          <w:bCs w:val="0"/>
          <w:i w:val="0"/>
        </w:rPr>
      </w:pPr>
      <w:r>
        <w:rPr>
          <w:spacing w:val="-2"/>
        </w:rPr>
        <w:lastRenderedPageBreak/>
        <w:t>INCENTIVE</w:t>
      </w:r>
      <w:r>
        <w:rPr>
          <w:spacing w:val="-50"/>
        </w:rPr>
        <w:t xml:space="preserve"> </w:t>
      </w:r>
      <w:r>
        <w:t>FOR</w:t>
      </w:r>
      <w:r>
        <w:rPr>
          <w:spacing w:val="-50"/>
        </w:rPr>
        <w:t xml:space="preserve"> </w:t>
      </w:r>
      <w:r>
        <w:rPr>
          <w:spacing w:val="-2"/>
        </w:rPr>
        <w:t>EMPLOYMENT</w:t>
      </w:r>
      <w:r>
        <w:rPr>
          <w:spacing w:val="-49"/>
        </w:rPr>
        <w:t xml:space="preserve"> </w:t>
      </w:r>
      <w:r>
        <w:t>AND</w:t>
      </w:r>
      <w:r>
        <w:rPr>
          <w:spacing w:val="-49"/>
        </w:rPr>
        <w:t xml:space="preserve"> </w:t>
      </w:r>
      <w:r>
        <w:rPr>
          <w:spacing w:val="-2"/>
        </w:rPr>
        <w:t>REDUCTION</w:t>
      </w:r>
      <w:r>
        <w:rPr>
          <w:spacing w:val="-49"/>
        </w:rPr>
        <w:t xml:space="preserve"> </w:t>
      </w:r>
      <w:r>
        <w:rPr>
          <w:spacing w:val="-2"/>
        </w:rPr>
        <w:t>OF</w:t>
      </w:r>
      <w:r>
        <w:rPr>
          <w:spacing w:val="-50"/>
        </w:rPr>
        <w:t xml:space="preserve"> </w:t>
      </w:r>
      <w:r>
        <w:t>LABOUR</w:t>
      </w:r>
      <w:r>
        <w:rPr>
          <w:spacing w:val="-50"/>
        </w:rPr>
        <w:t xml:space="preserve"> </w:t>
      </w:r>
      <w:r>
        <w:t>COST</w:t>
      </w:r>
    </w:p>
    <w:p w14:paraId="75249186" w14:textId="77777777" w:rsidR="00962D10" w:rsidRPr="00947F27" w:rsidRDefault="008D75AF" w:rsidP="00150C02">
      <w:pPr>
        <w:pStyle w:val="BodyText"/>
        <w:spacing w:before="119" w:line="238" w:lineRule="auto"/>
        <w:ind w:left="0"/>
        <w:jc w:val="both"/>
        <w:rPr>
          <w:rFonts w:ascii="Helvetica Neue" w:eastAsiaTheme="minorEastAsia" w:hAnsi="Helvetica Neue" w:cs="Times New Roman"/>
        </w:rPr>
      </w:pPr>
      <w:r w:rsidRPr="00947F27">
        <w:rPr>
          <w:rFonts w:ascii="Helvetica Neue" w:eastAsiaTheme="minorEastAsia" w:hAnsi="Helvetica Neue" w:cs="Times New Roman"/>
        </w:rPr>
        <w:t xml:space="preserve">Art. 1, paragraphs 118 to 124 of Italian Law No. 190/2014 ("Stability Law 2015"), introduced a direct incentive to promote forms of stable employment, consisting in the exemption from payment of social security contributions </w:t>
      </w:r>
      <w:r w:rsidR="00113974">
        <w:rPr>
          <w:rFonts w:ascii="Helvetica Neue" w:eastAsiaTheme="minorEastAsia" w:hAnsi="Helvetica Neue" w:cs="Times New Roman"/>
        </w:rPr>
        <w:t>in charge of</w:t>
      </w:r>
      <w:r w:rsidRPr="00947F27">
        <w:rPr>
          <w:rFonts w:ascii="Helvetica Neue" w:eastAsiaTheme="minorEastAsia" w:hAnsi="Helvetica Neue" w:cs="Times New Roman"/>
        </w:rPr>
        <w:t xml:space="preserve"> employers for new </w:t>
      </w:r>
      <w:proofErr w:type="spellStart"/>
      <w:r w:rsidR="00113974">
        <w:rPr>
          <w:rFonts w:ascii="Helvetica Neue" w:eastAsiaTheme="minorEastAsia" w:hAnsi="Helvetica Neue" w:cs="Times New Roman"/>
        </w:rPr>
        <w:t>hirings</w:t>
      </w:r>
      <w:proofErr w:type="spellEnd"/>
      <w:r w:rsidR="00113974"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with a </w:t>
      </w:r>
      <w:r w:rsidR="00113974">
        <w:rPr>
          <w:rFonts w:ascii="Helvetica Neue" w:eastAsiaTheme="minorEastAsia" w:hAnsi="Helvetica Neue" w:cs="Times New Roman"/>
        </w:rPr>
        <w:t>permanent</w:t>
      </w:r>
      <w:r w:rsidRPr="00947F27">
        <w:rPr>
          <w:rFonts w:ascii="Helvetica Neue" w:eastAsiaTheme="minorEastAsia" w:hAnsi="Helvetica Neue" w:cs="Times New Roman"/>
        </w:rPr>
        <w:t xml:space="preserve"> contract </w:t>
      </w:r>
      <w:r w:rsidR="00113974">
        <w:rPr>
          <w:rFonts w:ascii="Helvetica Neue" w:eastAsiaTheme="minorEastAsia" w:hAnsi="Helvetica Neue" w:cs="Times New Roman"/>
        </w:rPr>
        <w:t>starting</w:t>
      </w:r>
      <w:r w:rsidR="00113974"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in 2015. The benefit </w:t>
      </w:r>
      <w:r w:rsidR="00113974">
        <w:rPr>
          <w:rFonts w:ascii="Helvetica Neue" w:eastAsiaTheme="minorEastAsia" w:hAnsi="Helvetica Neue" w:cs="Times New Roman"/>
        </w:rPr>
        <w:t>has a duration</w:t>
      </w:r>
      <w:r w:rsidR="00113974"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of </w:t>
      </w:r>
      <w:r w:rsidR="00113974">
        <w:rPr>
          <w:rFonts w:ascii="Helvetica Neue" w:eastAsiaTheme="minorEastAsia" w:hAnsi="Helvetica Neue" w:cs="Times New Roman"/>
        </w:rPr>
        <w:t xml:space="preserve">36 </w:t>
      </w:r>
      <w:r w:rsidR="00947F27" w:rsidRPr="00947F27">
        <w:rPr>
          <w:rFonts w:ascii="Helvetica Neue" w:eastAsiaTheme="minorEastAsia" w:hAnsi="Helvetica Neue" w:cs="Times New Roman"/>
        </w:rPr>
        <w:t>month</w:t>
      </w:r>
      <w:r w:rsidR="00113974">
        <w:rPr>
          <w:rFonts w:ascii="Helvetica Neue" w:eastAsiaTheme="minorEastAsia" w:hAnsi="Helvetica Neue" w:cs="Times New Roman"/>
        </w:rPr>
        <w:t>s</w:t>
      </w:r>
      <w:r w:rsidR="00B968CB">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starting from the date of </w:t>
      </w:r>
      <w:r w:rsidR="00113974">
        <w:rPr>
          <w:rFonts w:ascii="Helvetica Neue" w:eastAsiaTheme="minorEastAsia" w:hAnsi="Helvetica Neue" w:cs="Times New Roman"/>
        </w:rPr>
        <w:t>hiring</w:t>
      </w:r>
      <w:r w:rsidR="00113974"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and the maximum amount of subsidy for each </w:t>
      </w:r>
      <w:r w:rsidR="00113974">
        <w:rPr>
          <w:rFonts w:ascii="Helvetica Neue" w:eastAsiaTheme="minorEastAsia" w:hAnsi="Helvetica Neue" w:cs="Times New Roman"/>
        </w:rPr>
        <w:t>single</w:t>
      </w:r>
      <w:r w:rsidR="00113974"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year </w:t>
      </w:r>
      <w:r w:rsidR="00113974">
        <w:rPr>
          <w:rFonts w:ascii="Helvetica Neue" w:eastAsiaTheme="minorEastAsia" w:hAnsi="Helvetica Neue" w:cs="Times New Roman"/>
        </w:rPr>
        <w:t>is equal to</w:t>
      </w:r>
      <w:r w:rsidRPr="00947F27">
        <w:rPr>
          <w:rFonts w:ascii="Helvetica Neue" w:eastAsiaTheme="minorEastAsia" w:hAnsi="Helvetica Neue" w:cs="Times New Roman"/>
        </w:rPr>
        <w:t xml:space="preserve"> €8,060.00.</w:t>
      </w:r>
    </w:p>
    <w:p w14:paraId="16EFC6AE" w14:textId="77777777" w:rsidR="00962D10" w:rsidRPr="00947F27" w:rsidRDefault="008D75AF" w:rsidP="00150C02">
      <w:pPr>
        <w:pStyle w:val="BodyText"/>
        <w:spacing w:before="119" w:line="238" w:lineRule="auto"/>
        <w:ind w:left="0"/>
        <w:jc w:val="both"/>
        <w:rPr>
          <w:rFonts w:ascii="Helvetica Neue" w:eastAsiaTheme="minorEastAsia" w:hAnsi="Helvetica Neue" w:cs="Times New Roman"/>
        </w:rPr>
      </w:pPr>
      <w:r w:rsidRPr="00947F27">
        <w:rPr>
          <w:rFonts w:ascii="Helvetica Neue" w:eastAsiaTheme="minorEastAsia" w:hAnsi="Helvetica Neue" w:cs="Times New Roman"/>
        </w:rPr>
        <w:t xml:space="preserve">The incentive has also been modified for </w:t>
      </w:r>
      <w:r w:rsidR="00CE6FD5">
        <w:rPr>
          <w:rFonts w:ascii="Helvetica Neue" w:eastAsiaTheme="minorEastAsia" w:hAnsi="Helvetica Neue" w:cs="Times New Roman"/>
        </w:rPr>
        <w:t>hiring</w:t>
      </w:r>
      <w:r w:rsidR="00CE6FD5"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made during the year 2016 by Italian Law No. 208/2015, ("Stability Law 2016"), but to a lesser extent: the exemption from the payment of social security contributions </w:t>
      </w:r>
      <w:r w:rsidR="00CE6FD5">
        <w:rPr>
          <w:rFonts w:ascii="Helvetica Neue" w:eastAsiaTheme="minorEastAsia" w:hAnsi="Helvetica Neue" w:cs="Times New Roman"/>
        </w:rPr>
        <w:t>in charge of</w:t>
      </w:r>
      <w:r w:rsidRPr="00947F27">
        <w:rPr>
          <w:rFonts w:ascii="Helvetica Neue" w:eastAsiaTheme="minorEastAsia" w:hAnsi="Helvetica Neue" w:cs="Times New Roman"/>
        </w:rPr>
        <w:t xml:space="preserve"> employers </w:t>
      </w:r>
      <w:r w:rsidR="00CE6FD5">
        <w:rPr>
          <w:rFonts w:ascii="Helvetica Neue" w:eastAsiaTheme="minorEastAsia" w:hAnsi="Helvetica Neue" w:cs="Times New Roman"/>
        </w:rPr>
        <w:t>is equal</w:t>
      </w:r>
      <w:r w:rsidR="00CE6FD5" w:rsidRPr="00947F27">
        <w:rPr>
          <w:rFonts w:ascii="Helvetica Neue" w:eastAsiaTheme="minorEastAsia" w:hAnsi="Helvetica Neue" w:cs="Times New Roman"/>
        </w:rPr>
        <w:t xml:space="preserve"> </w:t>
      </w:r>
      <w:r w:rsidRPr="00947F27">
        <w:rPr>
          <w:rFonts w:ascii="Helvetica Neue" w:eastAsiaTheme="minorEastAsia" w:hAnsi="Helvetica Neue" w:cs="Times New Roman"/>
        </w:rPr>
        <w:t xml:space="preserve">to 40% (with the exclusion of bonuses and INAIL contributions), </w:t>
      </w:r>
      <w:r w:rsidR="00CE6FD5">
        <w:rPr>
          <w:rFonts w:ascii="Helvetica Neue" w:eastAsiaTheme="minorEastAsia" w:hAnsi="Helvetica Neue" w:cs="Times New Roman"/>
        </w:rPr>
        <w:t>in the limit of</w:t>
      </w:r>
      <w:r w:rsidRPr="00947F27">
        <w:rPr>
          <w:rFonts w:ascii="Helvetica Neue" w:eastAsiaTheme="minorEastAsia" w:hAnsi="Helvetica Neue" w:cs="Times New Roman"/>
        </w:rPr>
        <w:t xml:space="preserve"> €3,250 on an annual basis and for a maximum period of 24 months.</w:t>
      </w:r>
    </w:p>
    <w:p w14:paraId="07A5C493" w14:textId="77777777" w:rsidR="00962D10" w:rsidRDefault="00962D10" w:rsidP="002E5374">
      <w:pPr>
        <w:spacing w:before="6"/>
        <w:jc w:val="both"/>
        <w:rPr>
          <w:rFonts w:ascii="Malgun Gothic" w:eastAsia="Malgun Gothic" w:hAnsi="Malgun Gothic" w:cs="Malgun Gothic"/>
          <w:sz w:val="29"/>
          <w:szCs w:val="29"/>
        </w:rPr>
      </w:pPr>
    </w:p>
    <w:p w14:paraId="7D72FA30" w14:textId="77777777" w:rsidR="00962D10" w:rsidRDefault="008D75AF" w:rsidP="002E5374">
      <w:pPr>
        <w:numPr>
          <w:ilvl w:val="1"/>
          <w:numId w:val="15"/>
        </w:numPr>
        <w:tabs>
          <w:tab w:val="left" w:pos="1558"/>
        </w:tabs>
        <w:ind w:left="1557" w:hanging="360"/>
        <w:jc w:val="both"/>
        <w:rPr>
          <w:rFonts w:ascii="Calibri" w:eastAsia="Calibri" w:hAnsi="Calibri" w:cs="Calibri"/>
          <w:sz w:val="24"/>
          <w:szCs w:val="24"/>
        </w:rPr>
      </w:pPr>
      <w:r>
        <w:rPr>
          <w:rFonts w:ascii="Calibri"/>
          <w:b/>
          <w:spacing w:val="-1"/>
          <w:sz w:val="24"/>
        </w:rPr>
        <w:t>MIGRANT</w:t>
      </w:r>
      <w:r>
        <w:rPr>
          <w:rFonts w:ascii="Calibri"/>
          <w:b/>
          <w:spacing w:val="-11"/>
          <w:sz w:val="24"/>
        </w:rPr>
        <w:t xml:space="preserve"> </w:t>
      </w:r>
      <w:r>
        <w:rPr>
          <w:rFonts w:ascii="Calibri"/>
          <w:b/>
          <w:spacing w:val="-1"/>
          <w:sz w:val="24"/>
        </w:rPr>
        <w:t>WORKERS</w:t>
      </w:r>
    </w:p>
    <w:p w14:paraId="3EF50BE2" w14:textId="77777777" w:rsidR="00962D10" w:rsidRDefault="00962D10" w:rsidP="002E5374">
      <w:pPr>
        <w:spacing w:before="10"/>
        <w:jc w:val="both"/>
        <w:rPr>
          <w:rFonts w:ascii="Calibri" w:eastAsia="Calibri" w:hAnsi="Calibri" w:cs="Calibri"/>
          <w:b/>
          <w:bCs/>
        </w:rPr>
      </w:pPr>
    </w:p>
    <w:p w14:paraId="59D5AE19" w14:textId="77777777" w:rsidR="00962D10" w:rsidRDefault="008D75AF" w:rsidP="00150C02">
      <w:pPr>
        <w:pStyle w:val="Heading3"/>
        <w:ind w:left="0"/>
        <w:jc w:val="both"/>
      </w:pPr>
      <w:r>
        <w:rPr>
          <w:spacing w:val="-1"/>
        </w:rPr>
        <w:t>Source:</w:t>
      </w:r>
      <w:r>
        <w:rPr>
          <w:spacing w:val="-28"/>
        </w:rPr>
        <w:t xml:space="preserve"> </w:t>
      </w:r>
      <w:hyperlink r:id="rId16">
        <w:r>
          <w:rPr>
            <w:color w:val="0000FF"/>
            <w:spacing w:val="-1"/>
            <w:u w:val="single" w:color="0000FF"/>
          </w:rPr>
          <w:t>https://www.inps.it/portale/default.aspx?itemDir=9575&amp;p7=2</w:t>
        </w:r>
      </w:hyperlink>
    </w:p>
    <w:p w14:paraId="7584DC7B" w14:textId="77777777" w:rsidR="00962D10" w:rsidRDefault="00962D10" w:rsidP="002E5374">
      <w:pPr>
        <w:spacing w:before="6"/>
        <w:jc w:val="both"/>
        <w:rPr>
          <w:rFonts w:ascii="Calibri" w:eastAsia="Calibri" w:hAnsi="Calibri" w:cs="Calibri"/>
        </w:rPr>
      </w:pPr>
    </w:p>
    <w:p w14:paraId="050B4E01" w14:textId="77777777" w:rsidR="00962D10" w:rsidRPr="002E5374" w:rsidRDefault="008D75AF" w:rsidP="00150C02">
      <w:pPr>
        <w:pStyle w:val="BodyText"/>
        <w:spacing w:line="310"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In the current phase of opening up markets at international level, more and more workers are relocating</w:t>
      </w:r>
      <w:r w:rsidR="002E5374">
        <w:rPr>
          <w:rFonts w:ascii="Helvetica Neue" w:eastAsiaTheme="minorEastAsia" w:hAnsi="Helvetica Neue" w:cs="Times New Roman"/>
        </w:rPr>
        <w:t xml:space="preserve"> </w:t>
      </w:r>
      <w:r w:rsidRPr="002E5374">
        <w:rPr>
          <w:rFonts w:ascii="Helvetica Neue" w:eastAsiaTheme="minorEastAsia" w:hAnsi="Helvetica Neue" w:cs="Times New Roman"/>
        </w:rPr>
        <w:t>for work reasons. In recent years, migration has assumed a consistent quantitative dimension and significance in the productive and social sector, such as to require coordinated policies and interventions from public bodies to facilitate the integration process and the protection of the rights of migrant workers.</w:t>
      </w:r>
    </w:p>
    <w:p w14:paraId="1DBC1E75" w14:textId="77777777" w:rsidR="00962D10" w:rsidRPr="002E5374" w:rsidRDefault="008D75AF" w:rsidP="00150C02">
      <w:pPr>
        <w:pStyle w:val="BodyText"/>
        <w:spacing w:before="96"/>
        <w:ind w:left="0"/>
        <w:jc w:val="both"/>
        <w:rPr>
          <w:rFonts w:ascii="Helvetica Neue" w:eastAsiaTheme="minorEastAsia" w:hAnsi="Helvetica Neue" w:cs="Times New Roman"/>
        </w:rPr>
      </w:pPr>
      <w:r w:rsidRPr="002E5374">
        <w:rPr>
          <w:rFonts w:ascii="Helvetica Neue" w:eastAsiaTheme="minorEastAsia" w:hAnsi="Helvetica Neue" w:cs="Times New Roman"/>
        </w:rPr>
        <w:t>Italy accords</w:t>
      </w:r>
      <w:r w:rsidR="00DC2095">
        <w:rPr>
          <w:rFonts w:ascii="Helvetica Neue" w:eastAsiaTheme="minorEastAsia" w:hAnsi="Helvetica Neue" w:cs="Times New Roman"/>
        </w:rPr>
        <w:t xml:space="preserve"> to</w:t>
      </w:r>
      <w:r w:rsidRPr="002E5374">
        <w:rPr>
          <w:rFonts w:ascii="Helvetica Neue" w:eastAsiaTheme="minorEastAsia" w:hAnsi="Helvetica Neue" w:cs="Times New Roman"/>
        </w:rPr>
        <w:t xml:space="preserve"> foreigners who meet the following conditions the same treatment that is granted to Italian citizens on public assistance, labour legislation and social security:</w:t>
      </w:r>
    </w:p>
    <w:p w14:paraId="54E93AC8" w14:textId="77777777" w:rsidR="00962D10" w:rsidRPr="002E5374" w:rsidRDefault="008D75AF" w:rsidP="00150C02">
      <w:pPr>
        <w:pStyle w:val="BodyText"/>
        <w:numPr>
          <w:ilvl w:val="0"/>
          <w:numId w:val="13"/>
        </w:numPr>
        <w:tabs>
          <w:tab w:val="left" w:pos="838"/>
        </w:tabs>
        <w:spacing w:line="282" w:lineRule="exact"/>
        <w:jc w:val="both"/>
        <w:rPr>
          <w:rFonts w:ascii="Helvetica Neue" w:eastAsiaTheme="minorEastAsia" w:hAnsi="Helvetica Neue" w:cs="Times New Roman"/>
        </w:rPr>
      </w:pPr>
      <w:r w:rsidRPr="002E5374">
        <w:rPr>
          <w:rFonts w:ascii="Helvetica Neue" w:eastAsiaTheme="minorEastAsia" w:hAnsi="Helvetica Neue" w:cs="Times New Roman"/>
        </w:rPr>
        <w:t xml:space="preserve">EU citizens and their family members who are </w:t>
      </w:r>
      <w:r w:rsidR="00EF1016" w:rsidRPr="002E5374">
        <w:rPr>
          <w:rFonts w:ascii="Helvetica Neue" w:eastAsiaTheme="minorEastAsia" w:hAnsi="Helvetica Neue" w:cs="Times New Roman"/>
        </w:rPr>
        <w:t>dependents</w:t>
      </w:r>
      <w:r w:rsidRPr="002E5374">
        <w:rPr>
          <w:rFonts w:ascii="Helvetica Neue" w:eastAsiaTheme="minorEastAsia" w:hAnsi="Helvetica Neue" w:cs="Times New Roman"/>
        </w:rPr>
        <w:t>;</w:t>
      </w:r>
    </w:p>
    <w:p w14:paraId="1280E10D" w14:textId="77777777" w:rsidR="00962D10" w:rsidRPr="002E5374" w:rsidRDefault="008D75AF" w:rsidP="00150C02">
      <w:pPr>
        <w:pStyle w:val="BodyText"/>
        <w:numPr>
          <w:ilvl w:val="0"/>
          <w:numId w:val="13"/>
        </w:numPr>
        <w:tabs>
          <w:tab w:val="left" w:pos="838"/>
        </w:tabs>
        <w:spacing w:before="141" w:line="346" w:lineRule="exact"/>
        <w:jc w:val="both"/>
        <w:rPr>
          <w:rFonts w:ascii="Helvetica Neue" w:eastAsiaTheme="minorEastAsia" w:hAnsi="Helvetica Neue" w:cs="Times New Roman"/>
        </w:rPr>
      </w:pPr>
      <w:r w:rsidRPr="002E5374">
        <w:rPr>
          <w:rFonts w:ascii="Helvetica Neue" w:eastAsiaTheme="minorEastAsia" w:hAnsi="Helvetica Neue" w:cs="Times New Roman"/>
        </w:rPr>
        <w:t xml:space="preserve">Non-EU foreigners or stateless </w:t>
      </w:r>
      <w:r w:rsidR="00A54D23">
        <w:rPr>
          <w:rFonts w:ascii="Helvetica Neue" w:eastAsiaTheme="minorEastAsia" w:hAnsi="Helvetica Neue" w:cs="Times New Roman"/>
        </w:rPr>
        <w:t>people</w:t>
      </w:r>
      <w:r w:rsidR="00A54D23"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who are holders of a "residence permit" or a "long-term EC residence permit" (Italian Legislative Decree No. 3 of 8 January 2007, which transposed Directive 2003/109/EC);</w:t>
      </w:r>
    </w:p>
    <w:p w14:paraId="754673C1" w14:textId="77777777" w:rsidR="00962D10" w:rsidRPr="002E5374" w:rsidRDefault="008D75AF" w:rsidP="00150C02">
      <w:pPr>
        <w:pStyle w:val="BodyText"/>
        <w:numPr>
          <w:ilvl w:val="0"/>
          <w:numId w:val="13"/>
        </w:numPr>
        <w:tabs>
          <w:tab w:val="left" w:pos="838"/>
        </w:tabs>
        <w:spacing w:before="98" w:line="239" w:lineRule="auto"/>
        <w:jc w:val="both"/>
        <w:rPr>
          <w:rFonts w:ascii="Helvetica Neue" w:eastAsiaTheme="minorEastAsia" w:hAnsi="Helvetica Neue" w:cs="Times New Roman"/>
        </w:rPr>
      </w:pPr>
      <w:r w:rsidRPr="002E5374">
        <w:rPr>
          <w:rFonts w:ascii="Helvetica Neue" w:eastAsiaTheme="minorEastAsia" w:hAnsi="Helvetica Neue" w:cs="Times New Roman"/>
        </w:rPr>
        <w:t>Foreigners or stateless</w:t>
      </w:r>
      <w:r w:rsidR="00F30109">
        <w:rPr>
          <w:rFonts w:ascii="Helvetica Neue" w:eastAsiaTheme="minorEastAsia" w:hAnsi="Helvetica Neue" w:cs="Times New Roman"/>
        </w:rPr>
        <w:t xml:space="preserve"> </w:t>
      </w:r>
      <w:r w:rsidR="00A54D23">
        <w:rPr>
          <w:rFonts w:ascii="Helvetica Neue" w:eastAsiaTheme="minorEastAsia" w:hAnsi="Helvetica Neue" w:cs="Times New Roman"/>
        </w:rPr>
        <w:t xml:space="preserve">people </w:t>
      </w:r>
      <w:r w:rsidR="00F30109">
        <w:rPr>
          <w:rFonts w:ascii="Helvetica Neue" w:eastAsiaTheme="minorEastAsia" w:hAnsi="Helvetica Neue" w:cs="Times New Roman"/>
        </w:rPr>
        <w:t xml:space="preserve">who have been </w:t>
      </w:r>
      <w:r w:rsidRPr="002E5374">
        <w:rPr>
          <w:rFonts w:ascii="Helvetica Neue" w:eastAsiaTheme="minorEastAsia" w:hAnsi="Helvetica Neue" w:cs="Times New Roman"/>
        </w:rPr>
        <w:t>granted "political refugee" or "subsidiary protection" status and their reunited spouses (Arts. 2 and 22 of Italian Legislative Decree No. 251/2007).</w:t>
      </w:r>
    </w:p>
    <w:p w14:paraId="2AD3B09F" w14:textId="77777777" w:rsidR="00962D10" w:rsidRPr="002E5374" w:rsidRDefault="008D75AF" w:rsidP="00150C02">
      <w:pPr>
        <w:pStyle w:val="BodyText"/>
        <w:spacing w:before="140" w:line="346"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The fundamental principle of Italian social security legislation is that of equal treatment for foreign workers and Italian workers.</w:t>
      </w:r>
    </w:p>
    <w:p w14:paraId="162B80D5" w14:textId="77777777" w:rsidR="00962D10" w:rsidRPr="002E5374" w:rsidRDefault="00C11B9E" w:rsidP="00150C02">
      <w:pPr>
        <w:pStyle w:val="BodyText"/>
        <w:spacing w:before="98" w:line="238" w:lineRule="auto"/>
        <w:ind w:left="0"/>
        <w:jc w:val="both"/>
        <w:rPr>
          <w:rFonts w:ascii="Helvetica Neue" w:eastAsiaTheme="minorEastAsia" w:hAnsi="Helvetica Neue" w:cs="Times New Roman"/>
        </w:rPr>
      </w:pPr>
      <w:r>
        <w:rPr>
          <w:rFonts w:ascii="Helvetica Neue" w:eastAsiaTheme="minorEastAsia" w:hAnsi="Helvetica Neue" w:cs="Times New Roman"/>
        </w:rPr>
        <w:t xml:space="preserve">According to </w:t>
      </w:r>
      <w:r w:rsidR="008D75AF" w:rsidRPr="002E5374">
        <w:rPr>
          <w:rFonts w:ascii="Helvetica Neue" w:eastAsiaTheme="minorEastAsia" w:hAnsi="Helvetica Neue" w:cs="Times New Roman"/>
        </w:rPr>
        <w:t>Art. 37, Royal Decree Law No. 1827 of 4 October 1935, Italian social security legislation provides for the territoriality of compulsory insurance, under which "people of both sexes and any nationality […] who undertake paid employment as employees of third parties" are subject to social insurance.</w:t>
      </w:r>
    </w:p>
    <w:p w14:paraId="1DFA2048" w14:textId="77777777" w:rsidR="00962D10" w:rsidRPr="002E5374" w:rsidRDefault="008D75AF" w:rsidP="00150C02">
      <w:pPr>
        <w:pStyle w:val="BodyText"/>
        <w:spacing w:before="119" w:line="239" w:lineRule="auto"/>
        <w:ind w:left="0"/>
        <w:jc w:val="both"/>
        <w:rPr>
          <w:rFonts w:ascii="Helvetica Neue" w:eastAsiaTheme="minorEastAsia" w:hAnsi="Helvetica Neue" w:cs="Times New Roman"/>
        </w:rPr>
      </w:pPr>
      <w:r w:rsidRPr="002E5374">
        <w:rPr>
          <w:rFonts w:ascii="Helvetica Neue" w:eastAsiaTheme="minorEastAsia" w:hAnsi="Helvetica Neue" w:cs="Times New Roman"/>
        </w:rPr>
        <w:t>The principle of equal treatment does not only apply for pensions, but also for other social security and pension benefits, naturally in compliance with the requirements and conditions laid down by Italian legislation.</w:t>
      </w:r>
    </w:p>
    <w:p w14:paraId="1FB526C7" w14:textId="77777777" w:rsidR="00962D10" w:rsidRPr="002E5374" w:rsidRDefault="008D75AF" w:rsidP="00150C02">
      <w:pPr>
        <w:pStyle w:val="BodyText"/>
        <w:spacing w:before="119" w:line="238" w:lineRule="auto"/>
        <w:ind w:left="0"/>
        <w:jc w:val="both"/>
        <w:rPr>
          <w:rFonts w:ascii="Helvetica Neue" w:eastAsiaTheme="minorEastAsia" w:hAnsi="Helvetica Neue" w:cs="Times New Roman"/>
        </w:rPr>
      </w:pPr>
      <w:r w:rsidRPr="002E5374">
        <w:rPr>
          <w:rFonts w:ascii="Helvetica Neue" w:eastAsiaTheme="minorEastAsia" w:hAnsi="Helvetica Neue" w:cs="Times New Roman"/>
        </w:rPr>
        <w:t xml:space="preserve">Due to this principle, foreign workers legally residing in Italy have the same rights as Italian citizens; they can, therefore, enjoy the rights accrued in the Italian legal system even in the absence of Social Security Agreements with the worker’s country of origin. In other words, once foreign workers have reached the requirements of age, contributions and other conditions </w:t>
      </w:r>
      <w:proofErr w:type="gramStart"/>
      <w:r w:rsidRPr="002E5374">
        <w:rPr>
          <w:rFonts w:ascii="Helvetica Neue" w:eastAsiaTheme="minorEastAsia" w:hAnsi="Helvetica Neue" w:cs="Times New Roman"/>
        </w:rPr>
        <w:t>laid</w:t>
      </w:r>
      <w:proofErr w:type="gramEnd"/>
      <w:r w:rsidRPr="002E5374">
        <w:rPr>
          <w:rFonts w:ascii="Helvetica Neue" w:eastAsiaTheme="minorEastAsia" w:hAnsi="Helvetica Neue" w:cs="Times New Roman"/>
        </w:rPr>
        <w:t xml:space="preserve"> down by Italian law, they can gain social security and pension benefits just like an Italian citizen.</w:t>
      </w:r>
    </w:p>
    <w:p w14:paraId="039D51C0" w14:textId="77777777" w:rsidR="00962D10" w:rsidRPr="002E5374" w:rsidRDefault="00B014C0" w:rsidP="00150C02">
      <w:pPr>
        <w:pStyle w:val="BodyText"/>
        <w:spacing w:before="119" w:line="238" w:lineRule="auto"/>
        <w:ind w:left="0"/>
        <w:jc w:val="both"/>
        <w:rPr>
          <w:rFonts w:ascii="Helvetica Neue" w:eastAsiaTheme="minorEastAsia" w:hAnsi="Helvetica Neue" w:cs="Times New Roman"/>
        </w:rPr>
      </w:pPr>
      <w:r>
        <w:rPr>
          <w:rFonts w:ascii="Helvetica Neue" w:eastAsiaTheme="minorEastAsia" w:hAnsi="Helvetica Neue" w:cs="Times New Roman"/>
        </w:rPr>
        <w:t>Concerning</w:t>
      </w:r>
      <w:r w:rsidR="008D75AF" w:rsidRPr="002E5374">
        <w:rPr>
          <w:rFonts w:ascii="Helvetica Neue" w:eastAsiaTheme="minorEastAsia" w:hAnsi="Helvetica Neue" w:cs="Times New Roman"/>
        </w:rPr>
        <w:t xml:space="preserve"> the retention of rights accrued for social security in the case of workers who change the employment country without having acquired </w:t>
      </w:r>
      <w:r w:rsidRPr="002E5374">
        <w:rPr>
          <w:rFonts w:ascii="Helvetica Neue" w:eastAsiaTheme="minorEastAsia" w:hAnsi="Helvetica Neue" w:cs="Times New Roman"/>
        </w:rPr>
        <w:t xml:space="preserve">in a single country </w:t>
      </w:r>
      <w:r w:rsidR="008D75AF" w:rsidRPr="002E5374">
        <w:rPr>
          <w:rFonts w:ascii="Helvetica Neue" w:eastAsiaTheme="minorEastAsia" w:hAnsi="Helvetica Neue" w:cs="Times New Roman"/>
        </w:rPr>
        <w:t>the necessary contributory requirements for an autonomous pension allowance, European legislation on the coordination of social security systems provides for the possibility of aggregating contribution periods and payment of the allowance through a ‘pro–rata’ system.</w:t>
      </w:r>
    </w:p>
    <w:p w14:paraId="4555E1BB" w14:textId="77777777" w:rsidR="00962D10" w:rsidRPr="002E5374" w:rsidRDefault="008D75AF" w:rsidP="00150C02">
      <w:pPr>
        <w:pStyle w:val="BodyText"/>
        <w:spacing w:before="140" w:line="346"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Within the European Community, the matter is governed by new EU regulations for workers who</w:t>
      </w:r>
      <w:r w:rsidR="002E5374">
        <w:rPr>
          <w:rFonts w:ascii="Helvetica Neue" w:eastAsiaTheme="minorEastAsia" w:hAnsi="Helvetica Neue" w:cs="Times New Roman"/>
        </w:rPr>
        <w:t xml:space="preserve"> </w:t>
      </w:r>
      <w:r w:rsidRPr="002E5374">
        <w:rPr>
          <w:rFonts w:ascii="Helvetica Neue" w:eastAsiaTheme="minorEastAsia" w:hAnsi="Helvetica Neue" w:cs="Times New Roman"/>
        </w:rPr>
        <w:t>have been subjected to social security legislation in EU Member States:</w:t>
      </w:r>
    </w:p>
    <w:p w14:paraId="0AC19881" w14:textId="77777777" w:rsidR="00962D10" w:rsidRPr="002E5374" w:rsidRDefault="008D75AF" w:rsidP="00150C02">
      <w:pPr>
        <w:pStyle w:val="BodyText"/>
        <w:numPr>
          <w:ilvl w:val="0"/>
          <w:numId w:val="12"/>
        </w:numPr>
        <w:tabs>
          <w:tab w:val="left" w:pos="1558"/>
        </w:tabs>
        <w:spacing w:before="96" w:line="353" w:lineRule="exact"/>
        <w:jc w:val="both"/>
        <w:rPr>
          <w:rFonts w:ascii="Helvetica Neue" w:eastAsiaTheme="minorEastAsia" w:hAnsi="Helvetica Neue" w:cs="Times New Roman"/>
        </w:rPr>
      </w:pPr>
      <w:r w:rsidRPr="002E5374">
        <w:rPr>
          <w:rFonts w:ascii="Helvetica Neue" w:eastAsiaTheme="minorEastAsia" w:hAnsi="Helvetica Neue" w:cs="Times New Roman"/>
        </w:rPr>
        <w:t>EC Regulation No. 987/2009 laying down the rules for application of EC Regulation No.</w:t>
      </w:r>
    </w:p>
    <w:p w14:paraId="400450F9" w14:textId="77777777" w:rsidR="00962D10" w:rsidRPr="002E5374" w:rsidRDefault="008D75AF" w:rsidP="00150C02">
      <w:pPr>
        <w:pStyle w:val="BodyText"/>
        <w:spacing w:line="341" w:lineRule="exact"/>
        <w:ind w:left="1557"/>
        <w:jc w:val="both"/>
        <w:rPr>
          <w:rFonts w:ascii="Helvetica Neue" w:eastAsiaTheme="minorEastAsia" w:hAnsi="Helvetica Neue" w:cs="Times New Roman"/>
        </w:rPr>
      </w:pPr>
      <w:r w:rsidRPr="002E5374">
        <w:rPr>
          <w:rFonts w:ascii="Helvetica Neue" w:eastAsiaTheme="minorEastAsia" w:hAnsi="Helvetica Neue" w:cs="Times New Roman"/>
        </w:rPr>
        <w:lastRenderedPageBreak/>
        <w:t>883/2004;</w:t>
      </w:r>
    </w:p>
    <w:p w14:paraId="00A33E92" w14:textId="77777777" w:rsidR="00962D10" w:rsidRPr="002E5374" w:rsidRDefault="008D75AF" w:rsidP="00150C02">
      <w:pPr>
        <w:pStyle w:val="BodyText"/>
        <w:numPr>
          <w:ilvl w:val="0"/>
          <w:numId w:val="12"/>
        </w:numPr>
        <w:tabs>
          <w:tab w:val="left" w:pos="1558"/>
        </w:tabs>
        <w:spacing w:before="120"/>
        <w:jc w:val="both"/>
        <w:rPr>
          <w:rFonts w:ascii="Helvetica Neue" w:eastAsiaTheme="minorEastAsia" w:hAnsi="Helvetica Neue" w:cs="Times New Roman"/>
        </w:rPr>
      </w:pPr>
      <w:r w:rsidRPr="002E5374">
        <w:rPr>
          <w:rFonts w:ascii="Helvetica Neue" w:eastAsiaTheme="minorEastAsia" w:hAnsi="Helvetica Neue" w:cs="Times New Roman"/>
        </w:rPr>
        <w:t>EC Regulation No. 988/2009, which amends EC Regulation No. 883/2004;</w:t>
      </w:r>
    </w:p>
    <w:p w14:paraId="11A41FEA" w14:textId="77777777" w:rsidR="00962D10" w:rsidRPr="002E5374" w:rsidRDefault="00B014C0" w:rsidP="00150C02">
      <w:pPr>
        <w:pStyle w:val="BodyText"/>
        <w:spacing w:before="128" w:line="346" w:lineRule="exact"/>
        <w:ind w:left="0"/>
        <w:jc w:val="both"/>
        <w:rPr>
          <w:rFonts w:ascii="Helvetica Neue" w:eastAsiaTheme="minorEastAsia" w:hAnsi="Helvetica Neue" w:cs="Times New Roman"/>
        </w:rPr>
      </w:pPr>
      <w:r>
        <w:rPr>
          <w:rFonts w:ascii="Helvetica Neue" w:eastAsiaTheme="minorEastAsia" w:hAnsi="Helvetica Neue" w:cs="Times New Roman"/>
        </w:rPr>
        <w:t>From</w:t>
      </w:r>
      <w:r w:rsidR="008D75AF" w:rsidRPr="002E5374">
        <w:rPr>
          <w:rFonts w:ascii="Helvetica Neue" w:eastAsiaTheme="minorEastAsia" w:hAnsi="Helvetica Neue" w:cs="Times New Roman"/>
        </w:rPr>
        <w:t xml:space="preserve"> 1 January 2011, the provisions provided for by the aforementioned Regulations also extend to third country citizens in the event of residence and work in two or more Member States, by virtue of EU Regulation No. 1231 of 24 November 2010;</w:t>
      </w:r>
    </w:p>
    <w:p w14:paraId="60690250" w14:textId="77777777" w:rsidR="00962D10" w:rsidRPr="002E5374" w:rsidRDefault="008D75AF" w:rsidP="00150C02">
      <w:pPr>
        <w:pStyle w:val="BodyText"/>
        <w:spacing w:before="120" w:line="346"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 xml:space="preserve">According to Decision No. 76/2011, adopted on 1 July 2011 by the </w:t>
      </w:r>
      <w:proofErr w:type="spellStart"/>
      <w:r w:rsidRPr="002E5374">
        <w:rPr>
          <w:rFonts w:ascii="Helvetica Neue" w:eastAsiaTheme="minorEastAsia" w:hAnsi="Helvetica Neue" w:cs="Times New Roman"/>
        </w:rPr>
        <w:t>EEA</w:t>
      </w:r>
      <w:proofErr w:type="spellEnd"/>
      <w:r w:rsidRPr="002E5374">
        <w:rPr>
          <w:rFonts w:ascii="Helvetica Neue" w:eastAsiaTheme="minorEastAsia" w:hAnsi="Helvetica Neue" w:cs="Times New Roman"/>
        </w:rPr>
        <w:t xml:space="preserve"> Joint Committee with effect from 1 June 2012, the new EU regulations (EU Reg. No. 883/2004 and EU Reg. No. 987/2009) also apply to </w:t>
      </w:r>
      <w:proofErr w:type="spellStart"/>
      <w:r w:rsidRPr="002E5374">
        <w:rPr>
          <w:rFonts w:ascii="Helvetica Neue" w:eastAsiaTheme="minorEastAsia" w:hAnsi="Helvetica Neue" w:cs="Times New Roman"/>
        </w:rPr>
        <w:t>EEA</w:t>
      </w:r>
      <w:proofErr w:type="spellEnd"/>
      <w:r w:rsidRPr="002E5374">
        <w:rPr>
          <w:rFonts w:ascii="Helvetica Neue" w:eastAsiaTheme="minorEastAsia" w:hAnsi="Helvetica Neue" w:cs="Times New Roman"/>
        </w:rPr>
        <w:t xml:space="preserve"> countries (Iceland, Norway and Liechtenstein)</w:t>
      </w:r>
      <w:proofErr w:type="gramStart"/>
      <w:r w:rsidRPr="002E5374">
        <w:rPr>
          <w:rFonts w:ascii="Helvetica Neue" w:eastAsiaTheme="minorEastAsia" w:hAnsi="Helvetica Neue" w:cs="Times New Roman"/>
        </w:rPr>
        <w:t>;</w:t>
      </w:r>
      <w:proofErr w:type="gramEnd"/>
    </w:p>
    <w:p w14:paraId="378AA625" w14:textId="77777777" w:rsidR="00962D10" w:rsidRPr="002E5374" w:rsidRDefault="008D75AF" w:rsidP="00150C02">
      <w:pPr>
        <w:pStyle w:val="BodyText"/>
        <w:spacing w:before="120" w:line="281"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According to Decision No. 1/2012, adopted on 31 March 2012 by the Joint Committee on the free</w:t>
      </w:r>
      <w:r w:rsidR="002E5374">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movement of </w:t>
      </w:r>
      <w:r w:rsidR="008B0D82">
        <w:rPr>
          <w:rFonts w:ascii="Helvetica Neue" w:eastAsiaTheme="minorEastAsia" w:hAnsi="Helvetica Neue" w:cs="Times New Roman"/>
        </w:rPr>
        <w:t>people</w:t>
      </w:r>
      <w:r w:rsidRPr="002E5374">
        <w:rPr>
          <w:rFonts w:ascii="Helvetica Neue" w:eastAsiaTheme="minorEastAsia" w:hAnsi="Helvetica Neue" w:cs="Times New Roman"/>
        </w:rPr>
        <w:t xml:space="preserve">, established </w:t>
      </w:r>
      <w:r w:rsidR="00C11B9E">
        <w:rPr>
          <w:rFonts w:ascii="Helvetica Neue" w:eastAsiaTheme="minorEastAsia" w:hAnsi="Helvetica Neue" w:cs="Times New Roman"/>
        </w:rPr>
        <w:t xml:space="preserve">according </w:t>
      </w:r>
      <w:proofErr w:type="gramStart"/>
      <w:r w:rsidR="00C11B9E">
        <w:rPr>
          <w:rFonts w:ascii="Helvetica Neue" w:eastAsiaTheme="minorEastAsia" w:hAnsi="Helvetica Neue" w:cs="Times New Roman"/>
        </w:rPr>
        <w:t xml:space="preserve">to </w:t>
      </w:r>
      <w:r w:rsidRPr="002E5374">
        <w:rPr>
          <w:rFonts w:ascii="Helvetica Neue" w:eastAsiaTheme="minorEastAsia" w:hAnsi="Helvetica Neue" w:cs="Times New Roman"/>
        </w:rPr>
        <w:t xml:space="preserve"> the</w:t>
      </w:r>
      <w:proofErr w:type="gramEnd"/>
      <w:r w:rsidRPr="002E5374">
        <w:rPr>
          <w:rFonts w:ascii="Helvetica Neue" w:eastAsiaTheme="minorEastAsia" w:hAnsi="Helvetica Neue" w:cs="Times New Roman"/>
        </w:rPr>
        <w:t xml:space="preserve"> Agreement between the EC and its Member States on the one hand, and the Swiss Confederation on the other, with effect from 1 April 2012, the new EU regulations (EU Reg. No. 883/2004 and EU Reg. No. 987/2009) also apply to Switzerland;</w:t>
      </w:r>
    </w:p>
    <w:p w14:paraId="5D14AAF6" w14:textId="77777777" w:rsidR="00962D10" w:rsidRPr="002E5374" w:rsidRDefault="008D75AF" w:rsidP="00150C02">
      <w:pPr>
        <w:pStyle w:val="BodyText"/>
        <w:spacing w:before="120"/>
        <w:ind w:left="0"/>
        <w:jc w:val="both"/>
        <w:rPr>
          <w:rFonts w:ascii="Helvetica Neue" w:eastAsiaTheme="minorEastAsia" w:hAnsi="Helvetica Neue" w:cs="Times New Roman"/>
        </w:rPr>
      </w:pPr>
      <w:r w:rsidRPr="002E5374">
        <w:rPr>
          <w:rFonts w:ascii="Helvetica Neue" w:eastAsiaTheme="minorEastAsia" w:hAnsi="Helvetica Neue" w:cs="Times New Roman"/>
        </w:rPr>
        <w:t xml:space="preserve">For non-EU Member States, the possibility of aggregating contributions for the achievement of the pro- rata benefit is </w:t>
      </w:r>
      <w:r w:rsidR="00D06DE2">
        <w:rPr>
          <w:rFonts w:ascii="Helvetica Neue" w:eastAsiaTheme="minorEastAsia" w:hAnsi="Helvetica Neue" w:cs="Times New Roman"/>
        </w:rPr>
        <w:t xml:space="preserve">foreseen by </w:t>
      </w:r>
      <w:r w:rsidRPr="002E5374">
        <w:rPr>
          <w:rFonts w:ascii="Helvetica Neue" w:eastAsiaTheme="minorEastAsia" w:hAnsi="Helvetica Neue" w:cs="Times New Roman"/>
        </w:rPr>
        <w:t>bilateral international agreements between the Italian Republic and the countries listed in the table below.</w:t>
      </w:r>
    </w:p>
    <w:p w14:paraId="7CEF912E" w14:textId="77777777" w:rsidR="00962D10" w:rsidRDefault="00962D10" w:rsidP="002E5374">
      <w:pPr>
        <w:spacing w:before="11"/>
        <w:jc w:val="both"/>
        <w:rPr>
          <w:rFonts w:ascii="Malgun Gothic" w:eastAsia="Malgun Gothic" w:hAnsi="Malgun Gothic" w:cs="Malgun Gothic"/>
          <w:sz w:val="9"/>
          <w:szCs w:val="9"/>
        </w:rPr>
      </w:pPr>
    </w:p>
    <w:tbl>
      <w:tblPr>
        <w:tblW w:w="0" w:type="auto"/>
        <w:tblInd w:w="989" w:type="dxa"/>
        <w:tblLayout w:type="fixed"/>
        <w:tblCellMar>
          <w:left w:w="0" w:type="dxa"/>
          <w:right w:w="0" w:type="dxa"/>
        </w:tblCellMar>
        <w:tblLook w:val="01E0" w:firstRow="1" w:lastRow="1" w:firstColumn="1" w:lastColumn="1" w:noHBand="0" w:noVBand="0"/>
      </w:tblPr>
      <w:tblGrid>
        <w:gridCol w:w="2950"/>
        <w:gridCol w:w="4933"/>
      </w:tblGrid>
      <w:tr w:rsidR="00962D10" w14:paraId="5FA50243"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0DA18E8B"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ARGENTINA</w:t>
            </w:r>
          </w:p>
        </w:tc>
        <w:tc>
          <w:tcPr>
            <w:tcW w:w="4933" w:type="dxa"/>
            <w:tcBorders>
              <w:top w:val="single" w:sz="5" w:space="0" w:color="000000"/>
              <w:left w:val="single" w:sz="5" w:space="0" w:color="000000"/>
              <w:bottom w:val="single" w:sz="5" w:space="0" w:color="000000"/>
              <w:right w:val="single" w:sz="5" w:space="0" w:color="000000"/>
            </w:tcBorders>
          </w:tcPr>
          <w:p w14:paraId="09E635A7"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MEXICO</w:t>
            </w:r>
          </w:p>
        </w:tc>
      </w:tr>
      <w:tr w:rsidR="00962D10" w14:paraId="0D6BCE97"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58549FD3"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AUSTRALIA</w:t>
            </w:r>
          </w:p>
        </w:tc>
        <w:tc>
          <w:tcPr>
            <w:tcW w:w="4933" w:type="dxa"/>
            <w:tcBorders>
              <w:top w:val="single" w:sz="5" w:space="0" w:color="000000"/>
              <w:left w:val="single" w:sz="5" w:space="0" w:color="000000"/>
              <w:bottom w:val="single" w:sz="5" w:space="0" w:color="000000"/>
              <w:right w:val="single" w:sz="5" w:space="0" w:color="000000"/>
            </w:tcBorders>
          </w:tcPr>
          <w:p w14:paraId="4184598A"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MONACO</w:t>
            </w:r>
          </w:p>
        </w:tc>
      </w:tr>
      <w:tr w:rsidR="00962D10" w14:paraId="31E9ED9C"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7BE126F5"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BRAZIL</w:t>
            </w:r>
          </w:p>
        </w:tc>
        <w:tc>
          <w:tcPr>
            <w:tcW w:w="4933" w:type="dxa"/>
            <w:tcBorders>
              <w:top w:val="single" w:sz="5" w:space="0" w:color="000000"/>
              <w:left w:val="single" w:sz="5" w:space="0" w:color="000000"/>
              <w:bottom w:val="single" w:sz="5" w:space="0" w:color="000000"/>
              <w:right w:val="single" w:sz="5" w:space="0" w:color="000000"/>
            </w:tcBorders>
          </w:tcPr>
          <w:p w14:paraId="07A07660"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SAN MARINO</w:t>
            </w:r>
          </w:p>
        </w:tc>
      </w:tr>
      <w:tr w:rsidR="00962D10" w14:paraId="0BFF1F30"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764D3E01"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CANADA</w:t>
            </w:r>
          </w:p>
        </w:tc>
        <w:tc>
          <w:tcPr>
            <w:tcW w:w="4933" w:type="dxa"/>
            <w:tcBorders>
              <w:top w:val="single" w:sz="5" w:space="0" w:color="000000"/>
              <w:left w:val="single" w:sz="5" w:space="0" w:color="000000"/>
              <w:bottom w:val="single" w:sz="5" w:space="0" w:color="000000"/>
              <w:right w:val="single" w:sz="5" w:space="0" w:color="000000"/>
            </w:tcBorders>
          </w:tcPr>
          <w:p w14:paraId="0C509F62"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UNITED</w:t>
            </w:r>
            <w:r>
              <w:rPr>
                <w:rFonts w:ascii="Calibri"/>
                <w:spacing w:val="1"/>
              </w:rPr>
              <w:t xml:space="preserve"> </w:t>
            </w:r>
            <w:r>
              <w:rPr>
                <w:rFonts w:ascii="Calibri"/>
                <w:spacing w:val="-1"/>
              </w:rPr>
              <w:t>STATES</w:t>
            </w:r>
          </w:p>
        </w:tc>
      </w:tr>
      <w:tr w:rsidR="00962D10" w14:paraId="0AF7C757" w14:textId="77777777">
        <w:trPr>
          <w:trHeight w:hRule="exact" w:val="279"/>
        </w:trPr>
        <w:tc>
          <w:tcPr>
            <w:tcW w:w="2950" w:type="dxa"/>
            <w:tcBorders>
              <w:top w:val="single" w:sz="5" w:space="0" w:color="000000"/>
              <w:left w:val="single" w:sz="5" w:space="0" w:color="000000"/>
              <w:bottom w:val="single" w:sz="5" w:space="0" w:color="000000"/>
              <w:right w:val="single" w:sz="5" w:space="0" w:color="000000"/>
            </w:tcBorders>
          </w:tcPr>
          <w:p w14:paraId="555C2AD6" w14:textId="77777777" w:rsidR="00962D10" w:rsidRDefault="008D75AF" w:rsidP="002E5374">
            <w:pPr>
              <w:pStyle w:val="TableParagraph"/>
              <w:spacing w:line="265" w:lineRule="exact"/>
              <w:ind w:left="102"/>
              <w:jc w:val="both"/>
              <w:rPr>
                <w:rFonts w:ascii="Calibri" w:eastAsia="Calibri" w:hAnsi="Calibri" w:cs="Calibri"/>
              </w:rPr>
            </w:pPr>
            <w:r>
              <w:rPr>
                <w:rFonts w:ascii="Calibri"/>
                <w:spacing w:val="-1"/>
              </w:rPr>
              <w:t>CAPE</w:t>
            </w:r>
            <w:r>
              <w:rPr>
                <w:rFonts w:ascii="Calibri"/>
              </w:rPr>
              <w:t xml:space="preserve"> </w:t>
            </w:r>
            <w:r>
              <w:rPr>
                <w:rFonts w:ascii="Calibri"/>
                <w:spacing w:val="-2"/>
              </w:rPr>
              <w:t>VERDE</w:t>
            </w:r>
          </w:p>
        </w:tc>
        <w:tc>
          <w:tcPr>
            <w:tcW w:w="4933" w:type="dxa"/>
            <w:tcBorders>
              <w:top w:val="single" w:sz="5" w:space="0" w:color="000000"/>
              <w:left w:val="single" w:sz="5" w:space="0" w:color="000000"/>
              <w:bottom w:val="single" w:sz="5" w:space="0" w:color="000000"/>
              <w:right w:val="single" w:sz="5" w:space="0" w:color="000000"/>
            </w:tcBorders>
          </w:tcPr>
          <w:p w14:paraId="4BE428A3" w14:textId="77777777" w:rsidR="00962D10" w:rsidRDefault="008D75AF" w:rsidP="002E5374">
            <w:pPr>
              <w:pStyle w:val="TableParagraph"/>
              <w:spacing w:line="265" w:lineRule="exact"/>
              <w:ind w:left="102"/>
              <w:jc w:val="both"/>
              <w:rPr>
                <w:rFonts w:ascii="Calibri" w:eastAsia="Calibri" w:hAnsi="Calibri" w:cs="Calibri"/>
              </w:rPr>
            </w:pPr>
            <w:r>
              <w:rPr>
                <w:rFonts w:ascii="Calibri"/>
                <w:spacing w:val="-1"/>
              </w:rPr>
              <w:t>SWITZERLAND</w:t>
            </w:r>
            <w:r>
              <w:rPr>
                <w:rFonts w:ascii="Calibri"/>
                <w:spacing w:val="2"/>
              </w:rPr>
              <w:t xml:space="preserve"> </w:t>
            </w:r>
            <w:r>
              <w:rPr>
                <w:rFonts w:ascii="Calibri"/>
                <w:spacing w:val="-1"/>
              </w:rPr>
              <w:t>(until</w:t>
            </w:r>
            <w:r>
              <w:rPr>
                <w:rFonts w:ascii="Calibri"/>
                <w:spacing w:val="-2"/>
              </w:rPr>
              <w:t xml:space="preserve"> </w:t>
            </w:r>
            <w:r>
              <w:rPr>
                <w:rFonts w:ascii="Calibri"/>
                <w:spacing w:val="-1"/>
              </w:rPr>
              <w:t>10 May</w:t>
            </w:r>
            <w:r>
              <w:rPr>
                <w:rFonts w:ascii="Calibri"/>
                <w:spacing w:val="1"/>
              </w:rPr>
              <w:t xml:space="preserve"> </w:t>
            </w:r>
            <w:r>
              <w:rPr>
                <w:rFonts w:ascii="Calibri"/>
                <w:spacing w:val="-1"/>
              </w:rPr>
              <w:t>2002)</w:t>
            </w:r>
          </w:p>
        </w:tc>
      </w:tr>
      <w:tr w:rsidR="00962D10" w14:paraId="239CF1FE"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5EA70B14" w14:textId="77777777" w:rsidR="00962D10" w:rsidRDefault="008D75AF" w:rsidP="002E5374">
            <w:pPr>
              <w:pStyle w:val="TableParagraph"/>
              <w:spacing w:line="264" w:lineRule="exact"/>
              <w:ind w:left="102"/>
              <w:jc w:val="both"/>
              <w:rPr>
                <w:rFonts w:ascii="Calibri" w:eastAsia="Calibri" w:hAnsi="Calibri" w:cs="Calibri"/>
              </w:rPr>
            </w:pPr>
            <w:r>
              <w:rPr>
                <w:rFonts w:ascii="Calibri"/>
              </w:rPr>
              <w:t>KOREA</w:t>
            </w:r>
          </w:p>
        </w:tc>
        <w:tc>
          <w:tcPr>
            <w:tcW w:w="4933" w:type="dxa"/>
            <w:tcBorders>
              <w:top w:val="single" w:sz="5" w:space="0" w:color="000000"/>
              <w:left w:val="single" w:sz="5" w:space="0" w:color="000000"/>
              <w:bottom w:val="single" w:sz="5" w:space="0" w:color="000000"/>
              <w:right w:val="single" w:sz="5" w:space="0" w:color="000000"/>
            </w:tcBorders>
          </w:tcPr>
          <w:p w14:paraId="4960DA21"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TUNISIA</w:t>
            </w:r>
          </w:p>
        </w:tc>
      </w:tr>
      <w:tr w:rsidR="00962D10" w14:paraId="4B2E50B4"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56FC541F"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CROATIA</w:t>
            </w:r>
          </w:p>
        </w:tc>
        <w:tc>
          <w:tcPr>
            <w:tcW w:w="4933" w:type="dxa"/>
            <w:tcBorders>
              <w:top w:val="single" w:sz="5" w:space="0" w:color="000000"/>
              <w:left w:val="single" w:sz="5" w:space="0" w:color="000000"/>
              <w:bottom w:val="single" w:sz="5" w:space="0" w:color="000000"/>
              <w:right w:val="single" w:sz="5" w:space="0" w:color="000000"/>
            </w:tcBorders>
          </w:tcPr>
          <w:p w14:paraId="2934019B"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TURKEY</w:t>
            </w:r>
            <w:r>
              <w:rPr>
                <w:rFonts w:ascii="Calibri"/>
                <w:spacing w:val="1"/>
              </w:rPr>
              <w:t xml:space="preserve"> </w:t>
            </w:r>
            <w:r>
              <w:rPr>
                <w:rFonts w:ascii="Calibri"/>
                <w:spacing w:val="-1"/>
              </w:rPr>
              <w:t>(European</w:t>
            </w:r>
            <w:r>
              <w:rPr>
                <w:rFonts w:ascii="Calibri"/>
              </w:rPr>
              <w:t xml:space="preserve"> </w:t>
            </w:r>
            <w:r>
              <w:rPr>
                <w:rFonts w:ascii="Calibri"/>
                <w:spacing w:val="-1"/>
              </w:rPr>
              <w:t>Convention</w:t>
            </w:r>
            <w:r>
              <w:rPr>
                <w:rFonts w:ascii="Calibri"/>
                <w:spacing w:val="-3"/>
              </w:rPr>
              <w:t xml:space="preserve"> </w:t>
            </w:r>
            <w:r>
              <w:rPr>
                <w:rFonts w:ascii="Calibri"/>
              </w:rPr>
              <w:t xml:space="preserve">on </w:t>
            </w:r>
            <w:r>
              <w:rPr>
                <w:rFonts w:ascii="Calibri"/>
                <w:spacing w:val="-1"/>
              </w:rPr>
              <w:t>Social Security)</w:t>
            </w:r>
          </w:p>
        </w:tc>
      </w:tr>
      <w:tr w:rsidR="00962D10" w14:paraId="0CB9798C"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4ADAE879" w14:textId="77777777" w:rsidR="00962D10" w:rsidRDefault="008D75AF" w:rsidP="002E5374">
            <w:pPr>
              <w:pStyle w:val="TableParagraph"/>
              <w:spacing w:line="264" w:lineRule="exact"/>
              <w:ind w:left="102"/>
              <w:jc w:val="both"/>
              <w:rPr>
                <w:rFonts w:ascii="Calibri" w:eastAsia="Calibri" w:hAnsi="Calibri" w:cs="Calibri"/>
              </w:rPr>
            </w:pPr>
            <w:r>
              <w:rPr>
                <w:rFonts w:ascii="Calibri" w:eastAsia="Calibri" w:hAnsi="Calibri" w:cs="Calibri"/>
                <w:spacing w:val="-1"/>
              </w:rPr>
              <w:t>JERSEY</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CHANNEL</w:t>
            </w:r>
            <w:r>
              <w:rPr>
                <w:rFonts w:ascii="Calibri" w:eastAsia="Calibri" w:hAnsi="Calibri" w:cs="Calibri"/>
              </w:rPr>
              <w:t xml:space="preserve"> </w:t>
            </w:r>
            <w:r>
              <w:rPr>
                <w:rFonts w:ascii="Calibri" w:eastAsia="Calibri" w:hAnsi="Calibri" w:cs="Calibri"/>
                <w:spacing w:val="-1"/>
              </w:rPr>
              <w:t>ISLANDS</w:t>
            </w:r>
          </w:p>
        </w:tc>
        <w:tc>
          <w:tcPr>
            <w:tcW w:w="4933" w:type="dxa"/>
            <w:tcBorders>
              <w:top w:val="single" w:sz="5" w:space="0" w:color="000000"/>
              <w:left w:val="single" w:sz="5" w:space="0" w:color="000000"/>
              <w:bottom w:val="single" w:sz="5" w:space="0" w:color="000000"/>
              <w:right w:val="single" w:sz="5" w:space="0" w:color="000000"/>
            </w:tcBorders>
          </w:tcPr>
          <w:p w14:paraId="4B15570D" w14:textId="77777777" w:rsidR="00962D10" w:rsidRDefault="008D75AF" w:rsidP="002E5374">
            <w:pPr>
              <w:pStyle w:val="TableParagraph"/>
              <w:spacing w:line="264" w:lineRule="exact"/>
              <w:ind w:left="102"/>
              <w:jc w:val="both"/>
              <w:rPr>
                <w:rFonts w:ascii="Calibri" w:eastAsia="Calibri" w:hAnsi="Calibri" w:cs="Calibri"/>
              </w:rPr>
            </w:pPr>
            <w:r>
              <w:rPr>
                <w:rFonts w:ascii="Calibri"/>
                <w:spacing w:val="-1"/>
              </w:rPr>
              <w:t>URUGUAY</w:t>
            </w:r>
          </w:p>
        </w:tc>
      </w:tr>
      <w:tr w:rsidR="00962D10" w14:paraId="21EFF214" w14:textId="77777777">
        <w:trPr>
          <w:trHeight w:hRule="exact" w:val="278"/>
        </w:trPr>
        <w:tc>
          <w:tcPr>
            <w:tcW w:w="2950" w:type="dxa"/>
            <w:tcBorders>
              <w:top w:val="single" w:sz="5" w:space="0" w:color="000000"/>
              <w:left w:val="single" w:sz="5" w:space="0" w:color="000000"/>
              <w:bottom w:val="single" w:sz="5" w:space="0" w:color="000000"/>
              <w:right w:val="single" w:sz="5" w:space="0" w:color="000000"/>
            </w:tcBorders>
          </w:tcPr>
          <w:p w14:paraId="4278B1F2" w14:textId="77777777" w:rsidR="00962D10" w:rsidRDefault="008D75AF" w:rsidP="002E5374">
            <w:pPr>
              <w:pStyle w:val="TableParagraph"/>
              <w:spacing w:line="267" w:lineRule="exact"/>
              <w:ind w:left="102"/>
              <w:jc w:val="both"/>
              <w:rPr>
                <w:rFonts w:ascii="Calibri" w:eastAsia="Calibri" w:hAnsi="Calibri" w:cs="Calibri"/>
              </w:rPr>
            </w:pPr>
            <w:r>
              <w:rPr>
                <w:rFonts w:ascii="Calibri"/>
                <w:spacing w:val="-1"/>
              </w:rPr>
              <w:t>EX-YUGOSLAVIA</w:t>
            </w:r>
          </w:p>
        </w:tc>
        <w:tc>
          <w:tcPr>
            <w:tcW w:w="4933" w:type="dxa"/>
            <w:tcBorders>
              <w:top w:val="single" w:sz="5" w:space="0" w:color="000000"/>
              <w:left w:val="single" w:sz="5" w:space="0" w:color="000000"/>
              <w:bottom w:val="single" w:sz="5" w:space="0" w:color="000000"/>
              <w:right w:val="single" w:sz="5" w:space="0" w:color="000000"/>
            </w:tcBorders>
          </w:tcPr>
          <w:p w14:paraId="2B4F72B2" w14:textId="77777777" w:rsidR="00962D10" w:rsidRDefault="008D75AF" w:rsidP="002E5374">
            <w:pPr>
              <w:pStyle w:val="TableParagraph"/>
              <w:spacing w:line="267" w:lineRule="exact"/>
              <w:ind w:left="102"/>
              <w:jc w:val="both"/>
              <w:rPr>
                <w:rFonts w:ascii="Calibri" w:eastAsia="Calibri" w:hAnsi="Calibri" w:cs="Calibri"/>
              </w:rPr>
            </w:pPr>
            <w:r>
              <w:rPr>
                <w:rFonts w:ascii="Calibri"/>
                <w:spacing w:val="-1"/>
              </w:rPr>
              <w:t>VATICAN CITY</w:t>
            </w:r>
          </w:p>
        </w:tc>
      </w:tr>
      <w:tr w:rsidR="00962D10" w14:paraId="7F574A60" w14:textId="77777777">
        <w:trPr>
          <w:trHeight w:hRule="exact" w:val="281"/>
        </w:trPr>
        <w:tc>
          <w:tcPr>
            <w:tcW w:w="2950" w:type="dxa"/>
            <w:tcBorders>
              <w:top w:val="single" w:sz="5" w:space="0" w:color="000000"/>
              <w:left w:val="single" w:sz="5" w:space="0" w:color="000000"/>
              <w:bottom w:val="single" w:sz="5" w:space="0" w:color="000000"/>
              <w:right w:val="single" w:sz="5" w:space="0" w:color="000000"/>
            </w:tcBorders>
          </w:tcPr>
          <w:p w14:paraId="0D26B3D3" w14:textId="77777777" w:rsidR="00962D10" w:rsidRDefault="008D75AF" w:rsidP="002E5374">
            <w:pPr>
              <w:pStyle w:val="TableParagraph"/>
              <w:spacing w:line="267" w:lineRule="exact"/>
              <w:ind w:left="102"/>
              <w:jc w:val="both"/>
              <w:rPr>
                <w:rFonts w:ascii="Calibri" w:eastAsia="Calibri" w:hAnsi="Calibri" w:cs="Calibri"/>
              </w:rPr>
            </w:pPr>
            <w:r>
              <w:rPr>
                <w:rFonts w:ascii="Calibri"/>
                <w:spacing w:val="-1"/>
              </w:rPr>
              <w:t>ISRAEL</w:t>
            </w:r>
          </w:p>
        </w:tc>
        <w:tc>
          <w:tcPr>
            <w:tcW w:w="4933" w:type="dxa"/>
            <w:tcBorders>
              <w:top w:val="single" w:sz="5" w:space="0" w:color="000000"/>
              <w:left w:val="single" w:sz="5" w:space="0" w:color="000000"/>
              <w:bottom w:val="single" w:sz="5" w:space="0" w:color="000000"/>
              <w:right w:val="single" w:sz="5" w:space="0" w:color="000000"/>
            </w:tcBorders>
          </w:tcPr>
          <w:p w14:paraId="20CD4EDD" w14:textId="77777777" w:rsidR="00962D10" w:rsidRDefault="008D75AF" w:rsidP="002E5374">
            <w:pPr>
              <w:pStyle w:val="TableParagraph"/>
              <w:spacing w:line="267" w:lineRule="exact"/>
              <w:ind w:left="102"/>
              <w:jc w:val="both"/>
              <w:rPr>
                <w:rFonts w:ascii="Calibri" w:eastAsia="Calibri" w:hAnsi="Calibri" w:cs="Calibri"/>
              </w:rPr>
            </w:pPr>
            <w:r>
              <w:rPr>
                <w:rFonts w:ascii="Calibri"/>
                <w:spacing w:val="-1"/>
              </w:rPr>
              <w:t>VENEZUELA</w:t>
            </w:r>
          </w:p>
        </w:tc>
      </w:tr>
    </w:tbl>
    <w:p w14:paraId="52CD39C3" w14:textId="77777777" w:rsidR="00962D10" w:rsidRDefault="00962D10" w:rsidP="002E5374">
      <w:pPr>
        <w:jc w:val="both"/>
        <w:rPr>
          <w:rFonts w:ascii="Malgun Gothic" w:eastAsia="Malgun Gothic" w:hAnsi="Malgun Gothic" w:cs="Malgun Gothic"/>
          <w:sz w:val="6"/>
          <w:szCs w:val="6"/>
        </w:rPr>
      </w:pPr>
    </w:p>
    <w:p w14:paraId="262DD578" w14:textId="77777777" w:rsidR="00962D10" w:rsidRPr="002E5374" w:rsidRDefault="008D75AF" w:rsidP="00150C02">
      <w:pPr>
        <w:pStyle w:val="BodyText"/>
        <w:spacing w:line="310"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For the citizens of Bosnia and Herzegovina, Serbia and Montenegro, the Italian-Yugoslav Agreement</w:t>
      </w:r>
      <w:r w:rsidR="002E5374">
        <w:rPr>
          <w:rFonts w:ascii="Helvetica Neue" w:eastAsiaTheme="minorEastAsia" w:hAnsi="Helvetica Neue" w:cs="Times New Roman"/>
        </w:rPr>
        <w:t xml:space="preserve"> </w:t>
      </w:r>
      <w:r w:rsidRPr="002E5374">
        <w:rPr>
          <w:rFonts w:ascii="Helvetica Neue" w:eastAsiaTheme="minorEastAsia" w:hAnsi="Helvetica Neue" w:cs="Times New Roman"/>
        </w:rPr>
        <w:t>signed on 14.11.1957, still applies. The same Agreement also extends to the citizens of Republic of Macedonia, pending the ratification of the specific agreement between Italy and Macedonia.</w:t>
      </w:r>
    </w:p>
    <w:p w14:paraId="47631816" w14:textId="77777777" w:rsidR="00962D10" w:rsidRPr="002E5374" w:rsidRDefault="008D75AF" w:rsidP="00150C02">
      <w:pPr>
        <w:pStyle w:val="BodyText"/>
        <w:spacing w:before="96"/>
        <w:ind w:left="0"/>
        <w:jc w:val="both"/>
        <w:rPr>
          <w:rFonts w:ascii="Helvetica Neue" w:eastAsiaTheme="minorEastAsia" w:hAnsi="Helvetica Neue" w:cs="Times New Roman"/>
        </w:rPr>
      </w:pPr>
      <w:r w:rsidRPr="002E5374">
        <w:rPr>
          <w:rFonts w:ascii="Helvetica Neue" w:eastAsiaTheme="minorEastAsia" w:hAnsi="Helvetica Neue" w:cs="Times New Roman"/>
        </w:rPr>
        <w:t>The Italian Government has ratified social security bilateral agreements between Italy and:</w:t>
      </w:r>
    </w:p>
    <w:p w14:paraId="3F9FE660" w14:textId="77777777" w:rsidR="00962D10" w:rsidRPr="002E5374" w:rsidRDefault="008D75AF" w:rsidP="00150C02">
      <w:pPr>
        <w:pStyle w:val="BodyText"/>
        <w:numPr>
          <w:ilvl w:val="0"/>
          <w:numId w:val="17"/>
        </w:numPr>
        <w:tabs>
          <w:tab w:val="left" w:pos="269"/>
        </w:tabs>
        <w:spacing w:before="118"/>
        <w:jc w:val="both"/>
        <w:rPr>
          <w:rFonts w:ascii="Helvetica Neue" w:eastAsiaTheme="minorEastAsia" w:hAnsi="Helvetica Neue" w:cs="Times New Roman"/>
        </w:rPr>
      </w:pPr>
      <w:r w:rsidRPr="002E5374">
        <w:rPr>
          <w:rFonts w:ascii="Helvetica Neue" w:eastAsiaTheme="minorEastAsia" w:hAnsi="Helvetica Neue" w:cs="Times New Roman"/>
        </w:rPr>
        <w:t>Turkey, ratified with Italian Law No. 35 of 11 March 2015;</w:t>
      </w:r>
    </w:p>
    <w:p w14:paraId="7455B74E" w14:textId="77777777" w:rsidR="00962D10" w:rsidRPr="002E5374" w:rsidRDefault="008D75AF" w:rsidP="00150C02">
      <w:pPr>
        <w:pStyle w:val="BodyText"/>
        <w:numPr>
          <w:ilvl w:val="0"/>
          <w:numId w:val="17"/>
        </w:numPr>
        <w:tabs>
          <w:tab w:val="left" w:pos="269"/>
        </w:tabs>
        <w:spacing w:before="117"/>
        <w:jc w:val="both"/>
        <w:rPr>
          <w:rFonts w:ascii="Helvetica Neue" w:eastAsiaTheme="minorEastAsia" w:hAnsi="Helvetica Neue" w:cs="Times New Roman"/>
        </w:rPr>
      </w:pPr>
      <w:r w:rsidRPr="002E5374">
        <w:rPr>
          <w:rFonts w:ascii="Helvetica Neue" w:eastAsiaTheme="minorEastAsia" w:hAnsi="Helvetica Neue" w:cs="Times New Roman"/>
        </w:rPr>
        <w:t>Israel, ratified with Italian Law No. 98 of 18 June 2015;</w:t>
      </w:r>
    </w:p>
    <w:p w14:paraId="176621A7" w14:textId="77777777" w:rsidR="00962D10" w:rsidRPr="002E5374" w:rsidRDefault="008D75AF" w:rsidP="00150C02">
      <w:pPr>
        <w:pStyle w:val="BodyText"/>
        <w:numPr>
          <w:ilvl w:val="0"/>
          <w:numId w:val="17"/>
        </w:numPr>
        <w:tabs>
          <w:tab w:val="left" w:pos="271"/>
        </w:tabs>
        <w:spacing w:before="143" w:line="346" w:lineRule="exact"/>
        <w:ind w:right="102"/>
        <w:jc w:val="both"/>
        <w:rPr>
          <w:rFonts w:ascii="Helvetica Neue" w:eastAsiaTheme="minorEastAsia" w:hAnsi="Helvetica Neue" w:cs="Times New Roman"/>
        </w:rPr>
      </w:pPr>
      <w:r w:rsidRPr="002E5374">
        <w:rPr>
          <w:rFonts w:ascii="Helvetica Neue" w:eastAsiaTheme="minorEastAsia" w:hAnsi="Helvetica Neue" w:cs="Times New Roman"/>
        </w:rPr>
        <w:t xml:space="preserve">Japan, ratified with Italian Law No. 97 of 18 June 2015 (the agreement </w:t>
      </w:r>
      <w:r w:rsidR="00150C02">
        <w:rPr>
          <w:rFonts w:ascii="Helvetica Neue" w:eastAsiaTheme="minorEastAsia" w:hAnsi="Helvetica Neue" w:cs="Times New Roman"/>
        </w:rPr>
        <w:t xml:space="preserve">with Japan does not provide for </w:t>
      </w:r>
      <w:r w:rsidRPr="002E5374">
        <w:rPr>
          <w:rFonts w:ascii="Helvetica Neue" w:eastAsiaTheme="minorEastAsia" w:hAnsi="Helvetica Neue" w:cs="Times New Roman"/>
        </w:rPr>
        <w:t>the aggregation of contributions for the achievement of benefits);</w:t>
      </w:r>
    </w:p>
    <w:p w14:paraId="4425AFF3" w14:textId="77777777" w:rsidR="00962D10" w:rsidRPr="002E5374" w:rsidRDefault="009C0557" w:rsidP="00150C02">
      <w:pPr>
        <w:pStyle w:val="BodyText"/>
        <w:numPr>
          <w:ilvl w:val="0"/>
          <w:numId w:val="17"/>
        </w:numPr>
        <w:tabs>
          <w:tab w:val="left" w:pos="271"/>
        </w:tabs>
        <w:spacing w:before="119" w:line="346" w:lineRule="exact"/>
        <w:ind w:right="100"/>
        <w:jc w:val="both"/>
        <w:rPr>
          <w:rFonts w:ascii="Helvetica Neue" w:eastAsiaTheme="minorEastAsia" w:hAnsi="Helvetica Neue" w:cs="Times New Roman"/>
        </w:rPr>
      </w:pPr>
      <w:proofErr w:type="gramStart"/>
      <w:r w:rsidRPr="002E5374">
        <w:rPr>
          <w:rFonts w:ascii="Helvetica Neue" w:eastAsiaTheme="minorEastAsia" w:hAnsi="Helvetica Neue" w:cs="Times New Roman"/>
        </w:rPr>
        <w:t>Canada</w:t>
      </w:r>
      <w:r>
        <w:rPr>
          <w:rFonts w:ascii="Helvetica Neue" w:eastAsiaTheme="minorEastAsia" w:hAnsi="Helvetica Neue" w:cs="Times New Roman"/>
        </w:rPr>
        <w:t>,</w:t>
      </w:r>
      <w:proofErr w:type="gramEnd"/>
      <w:r w:rsidR="008D75AF" w:rsidRPr="002E5374">
        <w:rPr>
          <w:rFonts w:ascii="Helvetica Neue" w:eastAsiaTheme="minorEastAsia" w:hAnsi="Helvetica Neue" w:cs="Times New Roman"/>
        </w:rPr>
        <w:t xml:space="preserve"> ratified with Italian Law No. 93 of 16 June 2015 (which replaces</w:t>
      </w:r>
      <w:r w:rsidR="00150C02">
        <w:rPr>
          <w:rFonts w:ascii="Helvetica Neue" w:eastAsiaTheme="minorEastAsia" w:hAnsi="Helvetica Neue" w:cs="Times New Roman"/>
        </w:rPr>
        <w:t xml:space="preserve"> the previous agreement that is </w:t>
      </w:r>
      <w:r w:rsidR="008D75AF" w:rsidRPr="002E5374">
        <w:rPr>
          <w:rFonts w:ascii="Helvetica Neue" w:eastAsiaTheme="minorEastAsia" w:hAnsi="Helvetica Neue" w:cs="Times New Roman"/>
        </w:rPr>
        <w:t>still in force).</w:t>
      </w:r>
    </w:p>
    <w:p w14:paraId="74DBE487" w14:textId="77777777" w:rsidR="00962D10" w:rsidRPr="002E5374" w:rsidRDefault="008D75AF" w:rsidP="00150C02">
      <w:pPr>
        <w:pStyle w:val="BodyText"/>
        <w:spacing w:before="119"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Moreover, the renegotiation of bilateral agreements currently in force with the United States is in progress, as well as the ratification of bilateral agreements already signed with Chile and New Zealand.</w:t>
      </w:r>
    </w:p>
    <w:p w14:paraId="32DAF46C" w14:textId="77777777" w:rsidR="00962D10" w:rsidRPr="002E5374" w:rsidRDefault="008D75AF" w:rsidP="00150C02">
      <w:pPr>
        <w:pStyle w:val="BodyText"/>
        <w:spacing w:before="98" w:line="238" w:lineRule="auto"/>
        <w:ind w:left="0" w:right="5"/>
        <w:jc w:val="both"/>
        <w:rPr>
          <w:rFonts w:ascii="Helvetica Neue" w:eastAsiaTheme="minorEastAsia" w:hAnsi="Helvetica Neue" w:cs="Times New Roman"/>
        </w:rPr>
      </w:pPr>
      <w:r w:rsidRPr="002E5374">
        <w:rPr>
          <w:rFonts w:ascii="Helvetica Neue" w:eastAsiaTheme="minorEastAsia" w:hAnsi="Helvetica Neue" w:cs="Times New Roman"/>
        </w:rPr>
        <w:t>It is worth noting that, even in the absence of bilateral agreements, Art. 18 of the Italian Immigration Law No. 189 of 30 July 2002 stipulates that “in the event of repatriation, the non-EU worker retains the pension and social security rights earned and can benefit from them regardless of the validity of a reciprocal agreement upon the maturity of the requirements laid down by applicable law".</w:t>
      </w:r>
    </w:p>
    <w:p w14:paraId="14DFA3EF" w14:textId="77777777" w:rsidR="00150C02" w:rsidRDefault="008D75AF" w:rsidP="00150C02">
      <w:pPr>
        <w:pStyle w:val="BodyText"/>
        <w:spacing w:before="140"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Furthermore, for non-EU workers who repatriate definitively, the contributory requirement for the old- age pension varies depending on whether the pension is calculated using the contributory or payment system:</w:t>
      </w:r>
      <w:r w:rsidR="00150C02">
        <w:rPr>
          <w:rFonts w:ascii="Helvetica Neue" w:eastAsiaTheme="minorEastAsia" w:hAnsi="Helvetica Neue" w:cs="Times New Roman"/>
        </w:rPr>
        <w:t xml:space="preserve"> </w:t>
      </w:r>
    </w:p>
    <w:p w14:paraId="62A0D35A" w14:textId="77777777" w:rsidR="00150C02" w:rsidRDefault="008D75AF" w:rsidP="00150C02">
      <w:pPr>
        <w:pStyle w:val="BodyText"/>
        <w:numPr>
          <w:ilvl w:val="0"/>
          <w:numId w:val="16"/>
        </w:numPr>
        <w:spacing w:before="140" w:line="346" w:lineRule="exact"/>
        <w:ind w:right="5"/>
        <w:jc w:val="both"/>
        <w:rPr>
          <w:rFonts w:ascii="Helvetica Neue" w:eastAsiaTheme="minorEastAsia" w:hAnsi="Helvetica Neue" w:cs="Times New Roman"/>
        </w:rPr>
      </w:pPr>
      <w:r w:rsidRPr="00EF1016">
        <w:rPr>
          <w:rFonts w:ascii="Helvetica Neue" w:eastAsiaTheme="minorEastAsia" w:hAnsi="Helvetica Neue" w:cs="Times New Roman"/>
        </w:rPr>
        <w:lastRenderedPageBreak/>
        <w:t xml:space="preserve">If the worker has accrued contributions as </w:t>
      </w:r>
      <w:r w:rsidR="008D6F97" w:rsidRPr="00EF1016">
        <w:rPr>
          <w:rFonts w:ascii="Helvetica Neue" w:eastAsiaTheme="minorEastAsia" w:hAnsi="Helvetica Neue" w:cs="Times New Roman"/>
        </w:rPr>
        <w:t xml:space="preserve">of </w:t>
      </w:r>
      <w:r w:rsidRPr="00EF1016">
        <w:rPr>
          <w:rFonts w:ascii="Helvetica Neue" w:eastAsiaTheme="minorEastAsia" w:hAnsi="Helvetica Neue" w:cs="Times New Roman"/>
        </w:rPr>
        <w:t>31 December 1995, the pension is calculated using the</w:t>
      </w:r>
      <w:r w:rsidR="00EF1016" w:rsidRPr="00EF1016">
        <w:rPr>
          <w:rFonts w:ascii="Helvetica Neue" w:eastAsiaTheme="minorEastAsia" w:hAnsi="Helvetica Neue" w:cs="Times New Roman"/>
        </w:rPr>
        <w:t xml:space="preserve"> </w:t>
      </w:r>
      <w:r w:rsidRPr="00EF1016">
        <w:rPr>
          <w:rFonts w:ascii="Helvetica Neue" w:eastAsiaTheme="minorEastAsia" w:hAnsi="Helvetica Neue" w:cs="Times New Roman"/>
        </w:rPr>
        <w:t>payment or mixed system and at least 20 years of contributions are required, equivalent to Italian</w:t>
      </w:r>
      <w:r w:rsidR="002E5374" w:rsidRPr="00EF1016">
        <w:rPr>
          <w:rFonts w:ascii="Helvetica Neue" w:eastAsiaTheme="minorEastAsia" w:hAnsi="Helvetica Neue" w:cs="Times New Roman"/>
        </w:rPr>
        <w:t xml:space="preserve"> </w:t>
      </w:r>
      <w:r w:rsidRPr="00EF1016">
        <w:rPr>
          <w:rFonts w:ascii="Helvetica Neue" w:eastAsiaTheme="minorEastAsia" w:hAnsi="Helvetica Neue" w:cs="Times New Roman"/>
        </w:rPr>
        <w:t>workers;</w:t>
      </w:r>
    </w:p>
    <w:p w14:paraId="4ED90121" w14:textId="77777777" w:rsidR="00962D10" w:rsidRPr="00150C02" w:rsidRDefault="008D75AF" w:rsidP="00150C02">
      <w:pPr>
        <w:pStyle w:val="BodyText"/>
        <w:numPr>
          <w:ilvl w:val="0"/>
          <w:numId w:val="16"/>
        </w:numPr>
        <w:spacing w:before="140" w:line="346" w:lineRule="exact"/>
        <w:ind w:right="5"/>
        <w:jc w:val="both"/>
        <w:rPr>
          <w:rFonts w:ascii="Helvetica Neue" w:eastAsiaTheme="minorEastAsia" w:hAnsi="Helvetica Neue" w:cs="Times New Roman"/>
        </w:rPr>
      </w:pPr>
      <w:r w:rsidRPr="00150C02">
        <w:rPr>
          <w:rFonts w:ascii="Helvetica Neue" w:eastAsiaTheme="minorEastAsia" w:hAnsi="Helvetica Neue" w:cs="Times New Roman"/>
        </w:rPr>
        <w:t>If the worker started employment after 31 December 1995, the pension is calculated using the contributory method and is granted even if the person concerned has not reached the minimum payments provided for by the details of applicable law for other beneficiaries. In other words, general legislation provides that the old-age pension can only be granted in the presence of at least 20 years of contributions provided that the benefit amount is not 1.5 times lower than the amount of the social benefit or, if the above threshold amount is not complied with, at 70 years and 7 months in the presence of at least 5 years of actual contributions. Instead, for non-EU workers registered for social security after 31 December 1995 and who are definitively repatriated, in the absence of international regulations that stipulate otherwise, Italian Law No. 189/2002 also provides for the possibility of access to a pension regardless of the number of contributions paid.</w:t>
      </w:r>
    </w:p>
    <w:p w14:paraId="760D3C3B" w14:textId="77777777" w:rsidR="00962D10" w:rsidRPr="002E5374" w:rsidRDefault="008D75AF" w:rsidP="00150C02">
      <w:pPr>
        <w:pStyle w:val="BodyText"/>
        <w:spacing w:before="143"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This safeguard measure has also been confirmed in the application of Italian Law No. 214/2011 on the pension reform, which has provided for new age requirements and has introduced new adjustment mechanisms of the pensionable age to the change in life expectancy.</w:t>
      </w:r>
    </w:p>
    <w:p w14:paraId="74CC9D30" w14:textId="77777777" w:rsidR="00962D10" w:rsidRPr="002E5374" w:rsidRDefault="008D75AF" w:rsidP="00150C02">
      <w:pPr>
        <w:pStyle w:val="BodyText"/>
        <w:spacing w:before="119"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Currently, the old-age pension is due to non-EU workers at the age of 66 years and 7 months for both men and women.</w:t>
      </w:r>
    </w:p>
    <w:p w14:paraId="68B74115" w14:textId="77777777" w:rsidR="00962D10" w:rsidRPr="002E5374" w:rsidRDefault="008D75AF" w:rsidP="00150C02">
      <w:pPr>
        <w:pStyle w:val="BodyText"/>
        <w:spacing w:before="98" w:line="238" w:lineRule="auto"/>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In the Italian legal system, the payment of old age, disability and survivor benefits is guaranteed to all Italian and foreign pensioners, even abroad. Currently, INPS secures the payment of about 380,000 pensions in approximately 170 countries in the world, irrespective of the beneficiary’s nationality. In this context, it emerges that, among the various continents, the majority of these (47.78 %) are assigned to </w:t>
      </w:r>
      <w:r w:rsidR="00196DDC">
        <w:rPr>
          <w:rFonts w:ascii="Helvetica Neue" w:eastAsiaTheme="minorEastAsia" w:hAnsi="Helvetica Neue" w:cs="Times New Roman"/>
        </w:rPr>
        <w:t>people</w:t>
      </w:r>
      <w:r w:rsidR="00196DDC"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resident in Europe. These are followed by North America (26.27% of total pensions paid abroad are disbursed in Canada and USA), Oceania (12.82% of the total paid abroad is paid in Australia), and South America (Argentina alone enjoys 7.43% of the total that INPS pays outside national borders).</w:t>
      </w:r>
    </w:p>
    <w:p w14:paraId="5948AC34" w14:textId="77777777" w:rsidR="00962D10" w:rsidRDefault="00962D10" w:rsidP="002E5374">
      <w:pPr>
        <w:jc w:val="both"/>
        <w:rPr>
          <w:rFonts w:ascii="Malgun Gothic" w:eastAsia="Malgun Gothic" w:hAnsi="Malgun Gothic" w:cs="Malgun Gothic"/>
          <w:sz w:val="20"/>
          <w:szCs w:val="20"/>
        </w:rPr>
      </w:pPr>
    </w:p>
    <w:p w14:paraId="54031E1B" w14:textId="77777777" w:rsidR="00962D10" w:rsidRDefault="00962D10" w:rsidP="002E5374">
      <w:pPr>
        <w:spacing w:before="12"/>
        <w:jc w:val="both"/>
        <w:rPr>
          <w:rFonts w:ascii="Malgun Gothic" w:eastAsia="Malgun Gothic" w:hAnsi="Malgun Gothic" w:cs="Malgun Gothic"/>
          <w:sz w:val="11"/>
          <w:szCs w:val="11"/>
        </w:rPr>
      </w:pPr>
    </w:p>
    <w:p w14:paraId="16A6DC22" w14:textId="77777777" w:rsidR="00962D10" w:rsidRDefault="008D75AF" w:rsidP="002E5374">
      <w:pPr>
        <w:pStyle w:val="Heading1"/>
        <w:numPr>
          <w:ilvl w:val="0"/>
          <w:numId w:val="15"/>
        </w:numPr>
        <w:tabs>
          <w:tab w:val="left" w:pos="838"/>
        </w:tabs>
        <w:ind w:left="837"/>
        <w:jc w:val="both"/>
        <w:rPr>
          <w:b w:val="0"/>
          <w:bCs w:val="0"/>
        </w:rPr>
      </w:pPr>
      <w:r>
        <w:rPr>
          <w:spacing w:val="-1"/>
        </w:rPr>
        <w:t>UNEMPLOYMENT INSURANCE</w:t>
      </w:r>
    </w:p>
    <w:p w14:paraId="1A57D487" w14:textId="77777777" w:rsidR="00962D10" w:rsidRPr="00E2306E" w:rsidRDefault="008D75AF" w:rsidP="002E5374">
      <w:pPr>
        <w:pStyle w:val="BodyText"/>
        <w:spacing w:before="234"/>
        <w:jc w:val="both"/>
        <w:rPr>
          <w:rFonts w:asciiTheme="minorHAnsi" w:hAnsiTheme="minorHAnsi" w:cstheme="minorHAnsi"/>
        </w:rPr>
      </w:pPr>
      <w:r w:rsidRPr="00E2306E">
        <w:rPr>
          <w:rFonts w:asciiTheme="minorHAnsi" w:hAnsiTheme="minorHAnsi" w:cstheme="minorHAnsi"/>
          <w:spacing w:val="-1"/>
          <w:w w:val="95"/>
        </w:rPr>
        <w:t>Source:</w:t>
      </w:r>
      <w:r w:rsidRPr="00E2306E">
        <w:rPr>
          <w:rFonts w:asciiTheme="minorHAnsi" w:hAnsiTheme="minorHAnsi" w:cstheme="minorHAnsi"/>
          <w:w w:val="95"/>
        </w:rPr>
        <w:t xml:space="preserve">   </w:t>
      </w:r>
      <w:r w:rsidRPr="00E2306E">
        <w:rPr>
          <w:rFonts w:asciiTheme="minorHAnsi" w:hAnsiTheme="minorHAnsi" w:cstheme="minorHAnsi"/>
          <w:spacing w:val="29"/>
          <w:w w:val="95"/>
        </w:rPr>
        <w:t xml:space="preserve"> </w:t>
      </w:r>
      <w:hyperlink r:id="rId17">
        <w:r w:rsidRPr="00E2306E">
          <w:rPr>
            <w:rFonts w:asciiTheme="minorHAnsi" w:hAnsiTheme="minorHAnsi" w:cstheme="minorHAnsi"/>
            <w:color w:val="0000FF"/>
            <w:spacing w:val="-1"/>
            <w:w w:val="95"/>
            <w:u w:val="single" w:color="0000FF"/>
          </w:rPr>
          <w:t>https://www.inps.it/portale/default.aspx?itemdir=11316</w:t>
        </w:r>
      </w:hyperlink>
    </w:p>
    <w:p w14:paraId="36810028" w14:textId="77777777" w:rsidR="00962D10" w:rsidRDefault="00962D10" w:rsidP="002E5374">
      <w:pPr>
        <w:spacing w:before="2"/>
        <w:jc w:val="both"/>
        <w:rPr>
          <w:rFonts w:ascii="Malgun Gothic" w:eastAsia="Malgun Gothic" w:hAnsi="Malgun Gothic" w:cs="Malgun Gothic"/>
          <w:sz w:val="18"/>
          <w:szCs w:val="18"/>
        </w:rPr>
      </w:pPr>
    </w:p>
    <w:p w14:paraId="0DEFD274" w14:textId="77777777" w:rsidR="00962D10" w:rsidRPr="002E5374" w:rsidRDefault="008D75AF" w:rsidP="00150C02">
      <w:pPr>
        <w:pStyle w:val="BodyText"/>
        <w:spacing w:line="310"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Generally, income support benefits are defined as those benefits paid by INPS to ensure financial</w:t>
      </w:r>
      <w:r w:rsidR="002E5374">
        <w:rPr>
          <w:rFonts w:ascii="Helvetica Neue" w:eastAsiaTheme="minorEastAsia" w:hAnsi="Helvetica Neue" w:cs="Times New Roman"/>
        </w:rPr>
        <w:t xml:space="preserve"> </w:t>
      </w:r>
      <w:r w:rsidRPr="002E5374">
        <w:rPr>
          <w:rFonts w:ascii="Helvetica Neue" w:eastAsiaTheme="minorEastAsia" w:hAnsi="Helvetica Neue" w:cs="Times New Roman"/>
        </w:rPr>
        <w:t>support to workers or their family members against risks arising from the loss or suspension of an employment contract: among these instruments, social safety nets are defined as all the support measures for employment income in the event that the employer is unable to pay wages due to the suspension or termination of employment.</w:t>
      </w:r>
    </w:p>
    <w:p w14:paraId="44697066" w14:textId="77777777" w:rsidR="00962D10" w:rsidRPr="002E5374" w:rsidRDefault="008D75AF" w:rsidP="00150C02">
      <w:pPr>
        <w:pStyle w:val="BodyText"/>
        <w:spacing w:before="140" w:line="346" w:lineRule="exact"/>
        <w:ind w:left="0" w:right="101"/>
        <w:jc w:val="both"/>
        <w:rPr>
          <w:rFonts w:ascii="Helvetica Neue" w:eastAsiaTheme="minorEastAsia" w:hAnsi="Helvetica Neue" w:cs="Times New Roman"/>
        </w:rPr>
      </w:pPr>
      <w:proofErr w:type="gramStart"/>
      <w:r w:rsidRPr="002E5374">
        <w:rPr>
          <w:rFonts w:ascii="Helvetica Neue" w:eastAsiaTheme="minorEastAsia" w:hAnsi="Helvetica Neue" w:cs="Times New Roman"/>
        </w:rPr>
        <w:t>Protection is provided by the laws and regulations in the Italian social security legislation within the framework of a compulsory insurance scheme</w:t>
      </w:r>
      <w:proofErr w:type="gramEnd"/>
      <w:r w:rsidRPr="002E5374">
        <w:rPr>
          <w:rFonts w:ascii="Helvetica Neue" w:eastAsiaTheme="minorEastAsia" w:hAnsi="Helvetica Neue" w:cs="Times New Roman"/>
        </w:rPr>
        <w:t>.</w:t>
      </w:r>
    </w:p>
    <w:p w14:paraId="1C09E51B" w14:textId="77777777" w:rsidR="00962D10" w:rsidRPr="002E5374" w:rsidRDefault="008D75AF" w:rsidP="00150C02">
      <w:pPr>
        <w:pStyle w:val="BodyText"/>
        <w:spacing w:line="325"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The protection scheme covers all workers who are insured under the compulsory insurance scheme, but</w:t>
      </w:r>
      <w:r w:rsidR="00150C02">
        <w:rPr>
          <w:rFonts w:ascii="Helvetica Neue" w:eastAsiaTheme="minorEastAsia" w:hAnsi="Helvetica Neue" w:cs="Times New Roman"/>
        </w:rPr>
        <w:t xml:space="preserve"> </w:t>
      </w:r>
      <w:r w:rsidRPr="002E5374">
        <w:rPr>
          <w:rFonts w:ascii="Helvetica Neue" w:eastAsiaTheme="minorEastAsia" w:hAnsi="Helvetica Neue" w:cs="Times New Roman"/>
        </w:rPr>
        <w:t>does not correspond to the entire economically active population:</w:t>
      </w:r>
    </w:p>
    <w:p w14:paraId="42A6ED70" w14:textId="77777777" w:rsidR="00962D10" w:rsidRPr="002E5374" w:rsidRDefault="008D75AF" w:rsidP="002E5374">
      <w:pPr>
        <w:pStyle w:val="BodyText"/>
        <w:numPr>
          <w:ilvl w:val="0"/>
          <w:numId w:val="9"/>
        </w:numPr>
        <w:tabs>
          <w:tab w:val="left" w:pos="838"/>
        </w:tabs>
        <w:spacing w:line="346" w:lineRule="exact"/>
        <w:jc w:val="both"/>
        <w:rPr>
          <w:rFonts w:ascii="Helvetica Neue" w:eastAsiaTheme="minorEastAsia" w:hAnsi="Helvetica Neue" w:cs="Times New Roman"/>
        </w:rPr>
      </w:pPr>
      <w:r w:rsidRPr="002E5374">
        <w:rPr>
          <w:rFonts w:ascii="Helvetica Neue" w:eastAsiaTheme="minorEastAsia" w:hAnsi="Helvetica Neue" w:cs="Times New Roman"/>
        </w:rPr>
        <w:t>Number of insured workers (Year 2014): 14,754,000</w:t>
      </w:r>
    </w:p>
    <w:p w14:paraId="18EFB71C" w14:textId="77777777" w:rsidR="00962D10" w:rsidRPr="002E5374" w:rsidRDefault="008D75AF" w:rsidP="002E5374">
      <w:pPr>
        <w:pStyle w:val="BodyText"/>
        <w:numPr>
          <w:ilvl w:val="0"/>
          <w:numId w:val="9"/>
        </w:numPr>
        <w:tabs>
          <w:tab w:val="left" w:pos="838"/>
        </w:tabs>
        <w:spacing w:line="347" w:lineRule="exact"/>
        <w:jc w:val="both"/>
        <w:rPr>
          <w:rFonts w:ascii="Helvetica Neue" w:eastAsiaTheme="minorEastAsia" w:hAnsi="Helvetica Neue" w:cs="Times New Roman"/>
        </w:rPr>
      </w:pPr>
      <w:r w:rsidRPr="002E5374">
        <w:rPr>
          <w:rFonts w:ascii="Helvetica Neue" w:eastAsiaTheme="minorEastAsia" w:hAnsi="Helvetica Neue" w:cs="Times New Roman"/>
        </w:rPr>
        <w:t>Total number of workers (Average Year 2013): 16,878,000</w:t>
      </w:r>
    </w:p>
    <w:p w14:paraId="3F506358" w14:textId="77777777" w:rsidR="00962D10" w:rsidRPr="00150C02" w:rsidRDefault="00962D10" w:rsidP="002E5374">
      <w:pPr>
        <w:spacing w:before="3"/>
        <w:jc w:val="both"/>
        <w:rPr>
          <w:rFonts w:ascii="Malgun Gothic" w:eastAsia="Malgun Gothic" w:hAnsi="Malgun Gothic" w:cs="Malgun Gothic"/>
          <w:sz w:val="24"/>
          <w:szCs w:val="29"/>
        </w:rPr>
      </w:pPr>
    </w:p>
    <w:p w14:paraId="0A000D53" w14:textId="77777777" w:rsidR="00962D10" w:rsidRDefault="008D75AF" w:rsidP="002E5374">
      <w:pPr>
        <w:numPr>
          <w:ilvl w:val="1"/>
          <w:numId w:val="8"/>
        </w:numPr>
        <w:tabs>
          <w:tab w:val="left" w:pos="1918"/>
        </w:tabs>
        <w:jc w:val="both"/>
        <w:rPr>
          <w:rFonts w:ascii="Calibri" w:eastAsia="Calibri" w:hAnsi="Calibri" w:cs="Calibri"/>
          <w:sz w:val="24"/>
          <w:szCs w:val="24"/>
        </w:rPr>
      </w:pPr>
      <w:r>
        <w:rPr>
          <w:rFonts w:ascii="Calibri"/>
          <w:b/>
          <w:spacing w:val="-1"/>
          <w:sz w:val="24"/>
        </w:rPr>
        <w:t>SOCIAL</w:t>
      </w:r>
      <w:r>
        <w:rPr>
          <w:rFonts w:ascii="Calibri"/>
          <w:b/>
          <w:spacing w:val="-7"/>
          <w:sz w:val="24"/>
        </w:rPr>
        <w:t xml:space="preserve"> </w:t>
      </w:r>
      <w:r>
        <w:rPr>
          <w:rFonts w:ascii="Calibri"/>
          <w:b/>
          <w:spacing w:val="-1"/>
          <w:sz w:val="24"/>
        </w:rPr>
        <w:t>INSURANCE</w:t>
      </w:r>
      <w:r>
        <w:rPr>
          <w:rFonts w:ascii="Calibri"/>
          <w:b/>
          <w:spacing w:val="-7"/>
          <w:sz w:val="24"/>
        </w:rPr>
        <w:t xml:space="preserve"> </w:t>
      </w:r>
      <w:r>
        <w:rPr>
          <w:rFonts w:ascii="Calibri"/>
          <w:b/>
          <w:sz w:val="24"/>
        </w:rPr>
        <w:t>FOR</w:t>
      </w:r>
      <w:r>
        <w:rPr>
          <w:rFonts w:ascii="Calibri"/>
          <w:b/>
          <w:spacing w:val="-9"/>
          <w:sz w:val="24"/>
        </w:rPr>
        <w:t xml:space="preserve"> </w:t>
      </w:r>
      <w:r>
        <w:rPr>
          <w:rFonts w:ascii="Calibri"/>
          <w:b/>
          <w:spacing w:val="-1"/>
          <w:sz w:val="24"/>
        </w:rPr>
        <w:t>EMPLOYMENT</w:t>
      </w:r>
      <w:r>
        <w:rPr>
          <w:rFonts w:ascii="Calibri"/>
          <w:b/>
          <w:spacing w:val="-4"/>
          <w:sz w:val="24"/>
        </w:rPr>
        <w:t xml:space="preserve"> </w:t>
      </w:r>
      <w:r>
        <w:rPr>
          <w:rFonts w:ascii="Calibri"/>
          <w:b/>
          <w:spacing w:val="-1"/>
          <w:sz w:val="24"/>
        </w:rPr>
        <w:t>(</w:t>
      </w:r>
      <w:proofErr w:type="spellStart"/>
      <w:r>
        <w:rPr>
          <w:rFonts w:ascii="Calibri"/>
          <w:b/>
          <w:spacing w:val="-1"/>
          <w:sz w:val="24"/>
        </w:rPr>
        <w:t>ASpl</w:t>
      </w:r>
      <w:proofErr w:type="spellEnd"/>
      <w:r>
        <w:rPr>
          <w:rFonts w:ascii="Calibri"/>
          <w:b/>
          <w:spacing w:val="-6"/>
          <w:sz w:val="24"/>
        </w:rPr>
        <w:t xml:space="preserve"> </w:t>
      </w:r>
      <w:r>
        <w:rPr>
          <w:rFonts w:ascii="Calibri"/>
          <w:b/>
          <w:spacing w:val="-2"/>
          <w:sz w:val="24"/>
        </w:rPr>
        <w:t>AND</w:t>
      </w:r>
      <w:r>
        <w:rPr>
          <w:rFonts w:ascii="Calibri"/>
          <w:b/>
          <w:spacing w:val="-7"/>
          <w:sz w:val="24"/>
        </w:rPr>
        <w:t xml:space="preserve"> </w:t>
      </w:r>
      <w:r>
        <w:rPr>
          <w:rFonts w:ascii="Calibri"/>
          <w:b/>
          <w:sz w:val="24"/>
        </w:rPr>
        <w:t>MINI-</w:t>
      </w:r>
      <w:proofErr w:type="spellStart"/>
      <w:r>
        <w:rPr>
          <w:rFonts w:ascii="Calibri"/>
          <w:b/>
          <w:sz w:val="24"/>
        </w:rPr>
        <w:t>ASpl</w:t>
      </w:r>
      <w:proofErr w:type="spellEnd"/>
      <w:r>
        <w:rPr>
          <w:rFonts w:ascii="Calibri"/>
          <w:b/>
          <w:sz w:val="24"/>
        </w:rPr>
        <w:t>)</w:t>
      </w:r>
    </w:p>
    <w:p w14:paraId="3F0BE146" w14:textId="77777777" w:rsidR="00962D10" w:rsidRPr="002E5374" w:rsidRDefault="008D75AF" w:rsidP="00EC52FB">
      <w:pPr>
        <w:pStyle w:val="BodyText"/>
        <w:spacing w:before="100" w:line="346" w:lineRule="exact"/>
        <w:ind w:left="0" w:right="33"/>
        <w:jc w:val="both"/>
        <w:rPr>
          <w:rFonts w:ascii="Helvetica Neue" w:eastAsiaTheme="minorEastAsia" w:hAnsi="Helvetica Neue" w:cs="Times New Roman"/>
        </w:rPr>
      </w:pPr>
      <w:r w:rsidRPr="002E5374">
        <w:rPr>
          <w:rFonts w:ascii="Helvetica Neue" w:eastAsiaTheme="minorEastAsia" w:hAnsi="Helvetica Neue" w:cs="Times New Roman"/>
        </w:rPr>
        <w:t>Italian Law No. 92 of 28 June 2012 "Labour market reform in a growth perspective" has established</w:t>
      </w:r>
      <w:r w:rsidR="00351A6C" w:rsidRPr="002E5374">
        <w:rPr>
          <w:rFonts w:ascii="Helvetica Neue" w:eastAsiaTheme="minorEastAsia" w:hAnsi="Helvetica Neue" w:cs="Times New Roman"/>
        </w:rPr>
        <w:t xml:space="preserve">, among </w:t>
      </w:r>
      <w:r w:rsidR="00351A6C" w:rsidRPr="002E5374">
        <w:rPr>
          <w:rFonts w:ascii="Helvetica Neue" w:eastAsiaTheme="minorEastAsia" w:hAnsi="Helvetica Neue" w:cs="Times New Roman"/>
        </w:rPr>
        <w:lastRenderedPageBreak/>
        <w:t>the Temporary Management of Benefits to workers,</w:t>
      </w:r>
      <w:r w:rsidRPr="002E5374">
        <w:rPr>
          <w:rFonts w:ascii="Helvetica Neue" w:eastAsiaTheme="minorEastAsia" w:hAnsi="Helvetica Neue" w:cs="Times New Roman"/>
        </w:rPr>
        <w:t xml:space="preserve"> a new instrument for the income support of employed </w:t>
      </w:r>
      <w:r w:rsidR="00351A6C">
        <w:rPr>
          <w:rFonts w:ascii="Helvetica Neue" w:eastAsiaTheme="minorEastAsia" w:hAnsi="Helvetica Neue" w:cs="Times New Roman"/>
        </w:rPr>
        <w:t>people</w:t>
      </w:r>
      <w:r w:rsidR="00351A6C"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who have involuntarily lost their jobs: Social Insurance for employment (</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w:t>
      </w:r>
    </w:p>
    <w:p w14:paraId="45CE1624" w14:textId="77777777" w:rsidR="00962D10" w:rsidRPr="002E5374" w:rsidRDefault="008D75AF" w:rsidP="00EC52FB">
      <w:pPr>
        <w:pStyle w:val="BodyText"/>
        <w:spacing w:before="98" w:line="238" w:lineRule="auto"/>
        <w:ind w:left="0"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One of the </w:t>
      </w:r>
      <w:proofErr w:type="spellStart"/>
      <w:r w:rsidRPr="002E5374">
        <w:rPr>
          <w:rFonts w:ascii="Helvetica Neue" w:eastAsiaTheme="minorEastAsia" w:hAnsi="Helvetica Neue" w:cs="Times New Roman"/>
        </w:rPr>
        <w:t>ASpl’s</w:t>
      </w:r>
      <w:proofErr w:type="spellEnd"/>
      <w:r w:rsidRPr="002E5374">
        <w:rPr>
          <w:rFonts w:ascii="Helvetica Neue" w:eastAsiaTheme="minorEastAsia" w:hAnsi="Helvetica Neue" w:cs="Times New Roman"/>
        </w:rPr>
        <w:t xml:space="preserve"> main features is that it is addressed to all those workers who are in a state of involuntary unemployment, including all employees </w:t>
      </w:r>
      <w:r w:rsidR="00351A6C">
        <w:rPr>
          <w:rFonts w:ascii="Helvetica Neue" w:eastAsiaTheme="minorEastAsia" w:hAnsi="Helvetica Neue" w:cs="Times New Roman"/>
        </w:rPr>
        <w:t>of</w:t>
      </w:r>
      <w:r w:rsidR="00351A6C"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the private sector under a </w:t>
      </w:r>
      <w:r w:rsidR="00351A6C">
        <w:rPr>
          <w:rFonts w:ascii="Helvetica Neue" w:eastAsiaTheme="minorEastAsia" w:hAnsi="Helvetica Neue" w:cs="Times New Roman"/>
        </w:rPr>
        <w:t>permanent</w:t>
      </w:r>
      <w:r w:rsidR="00351A6C"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or fixed</w:t>
      </w:r>
      <w:r w:rsidR="00351A6C">
        <w:rPr>
          <w:rFonts w:ascii="Helvetica Neue" w:eastAsiaTheme="minorEastAsia" w:hAnsi="Helvetica Neue" w:cs="Times New Roman"/>
        </w:rPr>
        <w:t>-</w:t>
      </w:r>
      <w:r w:rsidRPr="002E5374">
        <w:rPr>
          <w:rFonts w:ascii="Helvetica Neue" w:eastAsiaTheme="minorEastAsia" w:hAnsi="Helvetica Neue" w:cs="Times New Roman"/>
        </w:rPr>
        <w:t>term contract, non-EU workers with non-seasonal residence permits, workers who have resigned for just cause, workers who have been suspended due to a transient corporate or employment crisis, apprentices, cooperative worker members with a salaried employment contract, civil servants (</w:t>
      </w:r>
      <w:r w:rsidR="00351A6C">
        <w:rPr>
          <w:rFonts w:ascii="Helvetica Neue" w:eastAsiaTheme="minorEastAsia" w:hAnsi="Helvetica Neue" w:cs="Times New Roman"/>
        </w:rPr>
        <w:t>according to</w:t>
      </w:r>
      <w:r w:rsidRPr="002E5374">
        <w:rPr>
          <w:rFonts w:ascii="Helvetica Neue" w:eastAsiaTheme="minorEastAsia" w:hAnsi="Helvetica Neue" w:cs="Times New Roman"/>
        </w:rPr>
        <w:t xml:space="preserve"> Art. 1, Para. 2 of Italian Legislative Decree No. 165/2001) with a fixed term contract of employment, and employed theatre and </w:t>
      </w:r>
      <w:r w:rsidR="00E32DB6">
        <w:rPr>
          <w:rFonts w:ascii="Helvetica Neue" w:eastAsiaTheme="minorEastAsia" w:hAnsi="Helvetica Neue" w:cs="Times New Roman"/>
        </w:rPr>
        <w:t>artistic, theatrical and cinematographic personnel</w:t>
      </w:r>
      <w:r w:rsidRPr="002E5374">
        <w:rPr>
          <w:rFonts w:ascii="Helvetica Neue" w:eastAsiaTheme="minorEastAsia" w:hAnsi="Helvetica Neue" w:cs="Times New Roman"/>
        </w:rPr>
        <w:t xml:space="preserve"> (pursuant to Royal Decree Law No. 1827)6 of 4 October 1935).</w:t>
      </w:r>
    </w:p>
    <w:p w14:paraId="0E344982" w14:textId="77777777" w:rsidR="00962D10" w:rsidRPr="002E5374" w:rsidRDefault="008D75AF" w:rsidP="00EC52FB">
      <w:pPr>
        <w:pStyle w:val="BodyText"/>
        <w:spacing w:before="140" w:line="346" w:lineRule="exact"/>
        <w:ind w:left="0" w:right="33"/>
        <w:jc w:val="both"/>
        <w:rPr>
          <w:rFonts w:ascii="Helvetica Neue" w:eastAsiaTheme="minorEastAsia" w:hAnsi="Helvetica Neue" w:cs="Times New Roman"/>
        </w:rPr>
      </w:pPr>
      <w:r w:rsidRPr="002E5374">
        <w:rPr>
          <w:rFonts w:ascii="Helvetica Neue" w:eastAsiaTheme="minorEastAsia" w:hAnsi="Helvetica Neue" w:cs="Times New Roman"/>
        </w:rPr>
        <w:t>Legislation adds another instrument to Social Insurance for Employment: the Mini-</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The Mini-</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xml:space="preserve"> is the </w:t>
      </w:r>
      <w:proofErr w:type="gramStart"/>
      <w:r w:rsidRPr="002E5374">
        <w:rPr>
          <w:rFonts w:ascii="Helvetica Neue" w:eastAsiaTheme="minorEastAsia" w:hAnsi="Helvetica Neue" w:cs="Times New Roman"/>
        </w:rPr>
        <w:t>benefit which</w:t>
      </w:r>
      <w:proofErr w:type="gramEnd"/>
      <w:r w:rsidRPr="002E5374">
        <w:rPr>
          <w:rFonts w:ascii="Helvetica Neue" w:eastAsiaTheme="minorEastAsia" w:hAnsi="Helvetica Neue" w:cs="Times New Roman"/>
        </w:rPr>
        <w:t xml:space="preserve">, by replacing the non-agricultural ordinary unemployment benefit subject to less stringent requirements, is paid </w:t>
      </w:r>
      <w:r w:rsidR="003131B3">
        <w:rPr>
          <w:rFonts w:ascii="Helvetica Neue" w:eastAsiaTheme="minorEastAsia" w:hAnsi="Helvetica Neue" w:cs="Times New Roman"/>
        </w:rPr>
        <w:t>to</w:t>
      </w:r>
      <w:r w:rsidR="003131B3"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unemployment cases occurring from 1 January 2013.</w:t>
      </w:r>
    </w:p>
    <w:p w14:paraId="06F4BF52" w14:textId="77777777" w:rsidR="00962D10" w:rsidRPr="002E5374" w:rsidRDefault="008D75AF" w:rsidP="00EC52FB">
      <w:pPr>
        <w:pStyle w:val="BodyText"/>
        <w:spacing w:before="98" w:line="238" w:lineRule="auto"/>
        <w:ind w:left="0"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For the periods during which </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xml:space="preserve"> and Mini-</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xml:space="preserve"> unemployment benefits are received, the imputed contributions equal to the average of the last two years’ taxable earnings for social security purposes are recognized ex officio. These contributions are useful for the purposes of the law and of the measure of pensions benefits, excluding those cases in which provision is made for the computation of the single contributions actually paid. If the conditions laid down by law exist, the </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xml:space="preserve"> and Mini-</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xml:space="preserve"> beneficiary can also benefit from the family allowance.</w:t>
      </w:r>
    </w:p>
    <w:p w14:paraId="765C5E04" w14:textId="77777777" w:rsidR="00962D10" w:rsidRDefault="00962D10" w:rsidP="002E5374">
      <w:pPr>
        <w:jc w:val="both"/>
        <w:rPr>
          <w:rFonts w:ascii="Malgun Gothic" w:eastAsia="Malgun Gothic" w:hAnsi="Malgun Gothic" w:cs="Malgun Gothic"/>
          <w:sz w:val="20"/>
          <w:szCs w:val="20"/>
        </w:rPr>
      </w:pPr>
    </w:p>
    <w:p w14:paraId="508FA641" w14:textId="77777777" w:rsidR="00962D10" w:rsidRDefault="00962D10" w:rsidP="002E5374">
      <w:pPr>
        <w:spacing w:before="2"/>
        <w:jc w:val="both"/>
        <w:rPr>
          <w:rFonts w:ascii="Malgun Gothic" w:eastAsia="Malgun Gothic" w:hAnsi="Malgun Gothic" w:cs="Malgun Gothic"/>
          <w:sz w:val="16"/>
          <w:szCs w:val="16"/>
        </w:rPr>
      </w:pPr>
    </w:p>
    <w:p w14:paraId="31E9ED8C" w14:textId="77777777" w:rsidR="00962D10" w:rsidRDefault="008D75AF" w:rsidP="002E5374">
      <w:pPr>
        <w:pStyle w:val="Heading2"/>
        <w:numPr>
          <w:ilvl w:val="1"/>
          <w:numId w:val="8"/>
        </w:numPr>
        <w:tabs>
          <w:tab w:val="left" w:pos="1918"/>
        </w:tabs>
        <w:jc w:val="both"/>
        <w:rPr>
          <w:b w:val="0"/>
          <w:bCs w:val="0"/>
        </w:rPr>
      </w:pPr>
      <w:r>
        <w:t>THE</w:t>
      </w:r>
      <w:r>
        <w:rPr>
          <w:spacing w:val="-5"/>
        </w:rPr>
        <w:t xml:space="preserve"> </w:t>
      </w:r>
      <w:r>
        <w:rPr>
          <w:spacing w:val="-1"/>
        </w:rPr>
        <w:t>NEW</w:t>
      </w:r>
      <w:r>
        <w:rPr>
          <w:spacing w:val="-5"/>
        </w:rPr>
        <w:t xml:space="preserve"> </w:t>
      </w:r>
      <w:r>
        <w:rPr>
          <w:spacing w:val="-1"/>
        </w:rPr>
        <w:t>SOCIAL</w:t>
      </w:r>
      <w:r>
        <w:rPr>
          <w:spacing w:val="-6"/>
        </w:rPr>
        <w:t xml:space="preserve"> </w:t>
      </w:r>
      <w:r>
        <w:rPr>
          <w:spacing w:val="-1"/>
        </w:rPr>
        <w:t>INSURANCE</w:t>
      </w:r>
      <w:r>
        <w:rPr>
          <w:spacing w:val="-5"/>
        </w:rPr>
        <w:t xml:space="preserve"> </w:t>
      </w:r>
      <w:r>
        <w:rPr>
          <w:spacing w:val="-1"/>
        </w:rPr>
        <w:t>FOR</w:t>
      </w:r>
      <w:r>
        <w:rPr>
          <w:spacing w:val="-3"/>
        </w:rPr>
        <w:t xml:space="preserve"> </w:t>
      </w:r>
      <w:r>
        <w:rPr>
          <w:spacing w:val="-1"/>
        </w:rPr>
        <w:t>EMPLOYMENT</w:t>
      </w:r>
    </w:p>
    <w:p w14:paraId="764AD6D8" w14:textId="77777777" w:rsidR="00962D10" w:rsidRPr="002E5374" w:rsidRDefault="008D75AF" w:rsidP="00EC52FB">
      <w:pPr>
        <w:pStyle w:val="BodyText"/>
        <w:spacing w:before="76" w:line="238" w:lineRule="auto"/>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is a financial benefit established on 1 May 2015, which replaces the unemployment benefit called Social Insurance for Employment (</w:t>
      </w:r>
      <w:proofErr w:type="spellStart"/>
      <w:r w:rsidRPr="002E5374">
        <w:rPr>
          <w:rFonts w:ascii="Helvetica Neue" w:eastAsiaTheme="minorEastAsia" w:hAnsi="Helvetica Neue" w:cs="Times New Roman"/>
        </w:rPr>
        <w:t>ASpl</w:t>
      </w:r>
      <w:proofErr w:type="spellEnd"/>
      <w:r w:rsidRPr="002E5374">
        <w:rPr>
          <w:rFonts w:ascii="Helvetica Neue" w:eastAsiaTheme="minorEastAsia" w:hAnsi="Helvetica Neue" w:cs="Times New Roman"/>
        </w:rPr>
        <w:t>). It is a claim for benefits for unemployment cases occurring from 1 May 2015 and is paid to employees who have involuntarily lost their employment.</w:t>
      </w:r>
    </w:p>
    <w:p w14:paraId="30210525" w14:textId="77777777" w:rsidR="00962D10" w:rsidRPr="002E5374" w:rsidRDefault="008D75AF" w:rsidP="00EC52FB">
      <w:pPr>
        <w:pStyle w:val="BodyText"/>
        <w:spacing w:before="143"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This is due to workers </w:t>
      </w:r>
      <w:r w:rsidR="002B617C">
        <w:rPr>
          <w:rFonts w:ascii="Helvetica Neue" w:eastAsiaTheme="minorEastAsia" w:hAnsi="Helvetica Neue" w:cs="Times New Roman"/>
        </w:rPr>
        <w:t>with</w:t>
      </w:r>
      <w:r w:rsidR="002B617C"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a salaried employment contract, who involuntarily lost their employment, including:</w:t>
      </w:r>
    </w:p>
    <w:p w14:paraId="7DCF2CD6" w14:textId="77777777" w:rsidR="00962D10" w:rsidRPr="002E5374" w:rsidRDefault="008D75AF" w:rsidP="00EC52FB">
      <w:pPr>
        <w:pStyle w:val="BodyText"/>
        <w:numPr>
          <w:ilvl w:val="1"/>
          <w:numId w:val="9"/>
        </w:numPr>
        <w:tabs>
          <w:tab w:val="left" w:pos="838"/>
        </w:tabs>
        <w:spacing w:before="96" w:line="347" w:lineRule="exact"/>
        <w:jc w:val="both"/>
        <w:rPr>
          <w:rFonts w:ascii="Helvetica Neue" w:eastAsiaTheme="minorEastAsia" w:hAnsi="Helvetica Neue" w:cs="Times New Roman"/>
        </w:rPr>
      </w:pPr>
      <w:r w:rsidRPr="002E5374">
        <w:rPr>
          <w:rFonts w:ascii="Helvetica Neue" w:eastAsiaTheme="minorEastAsia" w:hAnsi="Helvetica Neue" w:cs="Times New Roman"/>
        </w:rPr>
        <w:t>Apprentices;</w:t>
      </w:r>
    </w:p>
    <w:p w14:paraId="0FF80A20" w14:textId="77777777" w:rsidR="00962D10" w:rsidRPr="002E5374" w:rsidRDefault="008D75AF" w:rsidP="00EC52FB">
      <w:pPr>
        <w:pStyle w:val="BodyText"/>
        <w:numPr>
          <w:ilvl w:val="1"/>
          <w:numId w:val="9"/>
        </w:numPr>
        <w:tabs>
          <w:tab w:val="left" w:pos="838"/>
        </w:tabs>
        <w:spacing w:line="346" w:lineRule="exact"/>
        <w:jc w:val="both"/>
        <w:rPr>
          <w:rFonts w:ascii="Helvetica Neue" w:eastAsiaTheme="minorEastAsia" w:hAnsi="Helvetica Neue" w:cs="Times New Roman"/>
        </w:rPr>
      </w:pPr>
      <w:r w:rsidRPr="002E5374">
        <w:rPr>
          <w:rFonts w:ascii="Helvetica Neue" w:eastAsiaTheme="minorEastAsia" w:hAnsi="Helvetica Neue" w:cs="Times New Roman"/>
        </w:rPr>
        <w:t>Cooperative worker members with a salaried employment contract;</w:t>
      </w:r>
    </w:p>
    <w:p w14:paraId="39A9352F" w14:textId="77777777" w:rsidR="00962D10" w:rsidRPr="002E5374" w:rsidRDefault="002B617C" w:rsidP="00EC52FB">
      <w:pPr>
        <w:pStyle w:val="BodyText"/>
        <w:numPr>
          <w:ilvl w:val="1"/>
          <w:numId w:val="9"/>
        </w:numPr>
        <w:tabs>
          <w:tab w:val="left" w:pos="838"/>
        </w:tabs>
        <w:spacing w:line="346" w:lineRule="exact"/>
        <w:jc w:val="both"/>
        <w:rPr>
          <w:rFonts w:ascii="Helvetica Neue" w:eastAsiaTheme="minorEastAsia" w:hAnsi="Helvetica Neue" w:cs="Times New Roman"/>
        </w:rPr>
      </w:pPr>
      <w:r>
        <w:rPr>
          <w:rFonts w:ascii="Helvetica Neue" w:eastAsiaTheme="minorEastAsia" w:hAnsi="Helvetica Neue" w:cs="Times New Roman"/>
        </w:rPr>
        <w:t>Artistic, theatrical and cinematographic personnel</w:t>
      </w:r>
      <w:r w:rsidR="008D75AF" w:rsidRPr="002E5374">
        <w:rPr>
          <w:rFonts w:ascii="Helvetica Neue" w:eastAsiaTheme="minorEastAsia" w:hAnsi="Helvetica Neue" w:cs="Times New Roman"/>
        </w:rPr>
        <w:t xml:space="preserve"> with a salaried employment contract;</w:t>
      </w:r>
    </w:p>
    <w:p w14:paraId="2B6A1176" w14:textId="77777777" w:rsidR="00962D10" w:rsidRPr="002E5374" w:rsidRDefault="008D75AF" w:rsidP="00EC52FB">
      <w:pPr>
        <w:pStyle w:val="BodyText"/>
        <w:numPr>
          <w:ilvl w:val="1"/>
          <w:numId w:val="9"/>
        </w:numPr>
        <w:tabs>
          <w:tab w:val="left" w:pos="838"/>
        </w:tabs>
        <w:spacing w:line="347" w:lineRule="exact"/>
        <w:jc w:val="both"/>
        <w:rPr>
          <w:rFonts w:ascii="Helvetica Neue" w:eastAsiaTheme="minorEastAsia" w:hAnsi="Helvetica Neue" w:cs="Times New Roman"/>
        </w:rPr>
      </w:pPr>
      <w:r w:rsidRPr="002E5374">
        <w:rPr>
          <w:rFonts w:ascii="Helvetica Neue" w:eastAsiaTheme="minorEastAsia" w:hAnsi="Helvetica Neue" w:cs="Times New Roman"/>
        </w:rPr>
        <w:t>Civil servants on a fixed term employment contract.</w:t>
      </w:r>
    </w:p>
    <w:p w14:paraId="1F2C96FD" w14:textId="77777777" w:rsidR="00962D10" w:rsidRPr="002E5374" w:rsidRDefault="008D75AF" w:rsidP="00EC52FB">
      <w:pPr>
        <w:pStyle w:val="BodyText"/>
        <w:spacing w:before="117"/>
        <w:ind w:left="0"/>
        <w:jc w:val="both"/>
        <w:rPr>
          <w:rFonts w:ascii="Helvetica Neue" w:eastAsiaTheme="minorEastAsia" w:hAnsi="Helvetica Neue" w:cs="Times New Roman"/>
        </w:rPr>
      </w:pPr>
      <w:r w:rsidRPr="002E5374">
        <w:rPr>
          <w:rFonts w:ascii="Helvetica Neue" w:eastAsiaTheme="minorEastAsia" w:hAnsi="Helvetica Neue" w:cs="Times New Roman"/>
        </w:rPr>
        <w:t xml:space="preserve">However, the following are not entitled to receive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unemployment benefit:</w:t>
      </w:r>
    </w:p>
    <w:p w14:paraId="0CA92774" w14:textId="77777777" w:rsidR="00962D10" w:rsidRPr="002E5374" w:rsidRDefault="008D75AF" w:rsidP="00EC52FB">
      <w:pPr>
        <w:pStyle w:val="BodyText"/>
        <w:numPr>
          <w:ilvl w:val="1"/>
          <w:numId w:val="9"/>
        </w:numPr>
        <w:tabs>
          <w:tab w:val="left" w:pos="838"/>
        </w:tabs>
        <w:spacing w:line="281" w:lineRule="exact"/>
        <w:jc w:val="both"/>
        <w:rPr>
          <w:rFonts w:ascii="Helvetica Neue" w:eastAsiaTheme="minorEastAsia" w:hAnsi="Helvetica Neue" w:cs="Times New Roman"/>
        </w:rPr>
      </w:pPr>
      <w:r w:rsidRPr="002E5374">
        <w:rPr>
          <w:rFonts w:ascii="Helvetica Neue" w:eastAsiaTheme="minorEastAsia" w:hAnsi="Helvetica Neue" w:cs="Times New Roman"/>
        </w:rPr>
        <w:t>Civil Servants on an indefinite employment contract;</w:t>
      </w:r>
    </w:p>
    <w:p w14:paraId="505B41D1" w14:textId="77777777" w:rsidR="00962D10" w:rsidRPr="002E5374" w:rsidRDefault="008D75AF" w:rsidP="00EC52FB">
      <w:pPr>
        <w:pStyle w:val="BodyText"/>
        <w:numPr>
          <w:ilvl w:val="1"/>
          <w:numId w:val="9"/>
        </w:numPr>
        <w:tabs>
          <w:tab w:val="left" w:pos="838"/>
        </w:tabs>
        <w:spacing w:line="346" w:lineRule="exact"/>
        <w:jc w:val="both"/>
        <w:rPr>
          <w:rFonts w:ascii="Helvetica Neue" w:eastAsiaTheme="minorEastAsia" w:hAnsi="Helvetica Neue" w:cs="Times New Roman"/>
        </w:rPr>
      </w:pPr>
      <w:r w:rsidRPr="002E5374">
        <w:rPr>
          <w:rFonts w:ascii="Helvetica Neue" w:eastAsiaTheme="minorEastAsia" w:hAnsi="Helvetica Neue" w:cs="Times New Roman"/>
        </w:rPr>
        <w:t>Agricultural workers on a fixed term and indefinite employment contract;</w:t>
      </w:r>
    </w:p>
    <w:p w14:paraId="57F8BD00" w14:textId="77777777" w:rsidR="00962D10" w:rsidRPr="002E5374" w:rsidRDefault="008D75AF" w:rsidP="00EC52FB">
      <w:pPr>
        <w:pStyle w:val="BodyText"/>
        <w:numPr>
          <w:ilvl w:val="1"/>
          <w:numId w:val="9"/>
        </w:numPr>
        <w:tabs>
          <w:tab w:val="left" w:pos="838"/>
        </w:tabs>
        <w:spacing w:before="21" w:line="346" w:lineRule="exact"/>
        <w:jc w:val="both"/>
        <w:rPr>
          <w:rFonts w:ascii="Helvetica Neue" w:eastAsiaTheme="minorEastAsia" w:hAnsi="Helvetica Neue" w:cs="Times New Roman"/>
        </w:rPr>
      </w:pPr>
      <w:r w:rsidRPr="002E5374">
        <w:rPr>
          <w:rFonts w:ascii="Helvetica Neue" w:eastAsiaTheme="minorEastAsia" w:hAnsi="Helvetica Neue" w:cs="Times New Roman"/>
        </w:rPr>
        <w:t>Non-EU workers with a residence permit for seasonal work, for which specific legislation remains in force.</w:t>
      </w:r>
    </w:p>
    <w:p w14:paraId="7C778D2D" w14:textId="77777777" w:rsidR="00962D10" w:rsidRPr="002E5374" w:rsidRDefault="008D75AF" w:rsidP="00966B37">
      <w:pPr>
        <w:pStyle w:val="BodyText"/>
        <w:spacing w:before="96"/>
        <w:ind w:left="0"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Moreover, workers entitled to direct pension benefits </w:t>
      </w:r>
      <w:proofErr w:type="gramStart"/>
      <w:r w:rsidRPr="002E5374">
        <w:rPr>
          <w:rFonts w:ascii="Helvetica Neue" w:eastAsiaTheme="minorEastAsia" w:hAnsi="Helvetica Neue" w:cs="Times New Roman"/>
        </w:rPr>
        <w:t>cannot</w:t>
      </w:r>
      <w:proofErr w:type="gramEnd"/>
      <w:r w:rsidRPr="002E5374">
        <w:rPr>
          <w:rFonts w:ascii="Helvetica Neue" w:eastAsiaTheme="minorEastAsia" w:hAnsi="Helvetica Neue" w:cs="Times New Roman"/>
        </w:rPr>
        <w:t xml:space="preserve"> gain access to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unemployment benefit.</w:t>
      </w:r>
    </w:p>
    <w:p w14:paraId="116FF1EF" w14:textId="77777777" w:rsidR="00962D10" w:rsidRPr="002E5374" w:rsidRDefault="008D75AF" w:rsidP="002E5374">
      <w:pPr>
        <w:pStyle w:val="BodyText"/>
        <w:spacing w:before="117"/>
        <w:jc w:val="both"/>
        <w:rPr>
          <w:rFonts w:ascii="Helvetica Neue" w:eastAsiaTheme="minorEastAsia" w:hAnsi="Helvetica Neue" w:cs="Times New Roman"/>
        </w:rPr>
      </w:pPr>
      <w:r w:rsidRPr="002E5374">
        <w:rPr>
          <w:rFonts w:ascii="Helvetica Neue" w:eastAsiaTheme="minorEastAsia" w:hAnsi="Helvetica Neue" w:cs="Times New Roman"/>
        </w:rPr>
        <w:t xml:space="preserve">The entitlement is due </w:t>
      </w:r>
      <w:r w:rsidR="00D06DE2">
        <w:rPr>
          <w:rFonts w:ascii="Helvetica Neue" w:eastAsiaTheme="minorEastAsia" w:hAnsi="Helvetica Neue" w:cs="Times New Roman"/>
        </w:rPr>
        <w:t>in case of</w:t>
      </w:r>
      <w:r w:rsidRPr="002E5374">
        <w:rPr>
          <w:rFonts w:ascii="Helvetica Neue" w:eastAsiaTheme="minorEastAsia" w:hAnsi="Helvetica Neue" w:cs="Times New Roman"/>
        </w:rPr>
        <w:t xml:space="preserve"> the following requirements:</w:t>
      </w:r>
    </w:p>
    <w:p w14:paraId="0EA11799" w14:textId="77777777" w:rsidR="00962D10" w:rsidRPr="002E5374" w:rsidRDefault="008D75AF" w:rsidP="002E5374">
      <w:pPr>
        <w:pStyle w:val="BodyText"/>
        <w:numPr>
          <w:ilvl w:val="1"/>
          <w:numId w:val="9"/>
        </w:numPr>
        <w:tabs>
          <w:tab w:val="left" w:pos="838"/>
        </w:tabs>
        <w:spacing w:before="117" w:line="347" w:lineRule="exact"/>
        <w:jc w:val="both"/>
        <w:rPr>
          <w:rFonts w:ascii="Helvetica Neue" w:eastAsiaTheme="minorEastAsia" w:hAnsi="Helvetica Neue" w:cs="Times New Roman"/>
        </w:rPr>
      </w:pPr>
      <w:r w:rsidRPr="002E5374">
        <w:rPr>
          <w:rFonts w:ascii="Helvetica Neue" w:eastAsiaTheme="minorEastAsia" w:hAnsi="Helvetica Neue" w:cs="Times New Roman"/>
        </w:rPr>
        <w:t>Involuntary state of unemployment;</w:t>
      </w:r>
    </w:p>
    <w:p w14:paraId="5512FDC8" w14:textId="77777777" w:rsidR="00962D10" w:rsidRPr="002E5374" w:rsidRDefault="008D75AF" w:rsidP="002E5374">
      <w:pPr>
        <w:pStyle w:val="BodyText"/>
        <w:numPr>
          <w:ilvl w:val="1"/>
          <w:numId w:val="9"/>
        </w:numPr>
        <w:tabs>
          <w:tab w:val="left" w:pos="838"/>
        </w:tabs>
        <w:spacing w:line="346" w:lineRule="exact"/>
        <w:jc w:val="both"/>
        <w:rPr>
          <w:rFonts w:ascii="Helvetica Neue" w:eastAsiaTheme="minorEastAsia" w:hAnsi="Helvetica Neue" w:cs="Times New Roman"/>
        </w:rPr>
      </w:pPr>
      <w:r w:rsidRPr="002E5374">
        <w:rPr>
          <w:rFonts w:ascii="Helvetica Neue" w:eastAsiaTheme="minorEastAsia" w:hAnsi="Helvetica Neue" w:cs="Times New Roman"/>
        </w:rPr>
        <w:t>Contributory requirements;</w:t>
      </w:r>
    </w:p>
    <w:p w14:paraId="549EBA25" w14:textId="77777777" w:rsidR="00962D10" w:rsidRPr="002E5374" w:rsidRDefault="008D75AF" w:rsidP="002E5374">
      <w:pPr>
        <w:pStyle w:val="BodyText"/>
        <w:numPr>
          <w:ilvl w:val="1"/>
          <w:numId w:val="9"/>
        </w:numPr>
        <w:tabs>
          <w:tab w:val="left" w:pos="838"/>
        </w:tabs>
        <w:spacing w:line="347" w:lineRule="exact"/>
        <w:jc w:val="both"/>
        <w:rPr>
          <w:rFonts w:ascii="Helvetica Neue" w:eastAsiaTheme="minorEastAsia" w:hAnsi="Helvetica Neue" w:cs="Times New Roman"/>
        </w:rPr>
      </w:pPr>
      <w:r w:rsidRPr="002E5374">
        <w:rPr>
          <w:rFonts w:ascii="Helvetica Neue" w:eastAsiaTheme="minorEastAsia" w:hAnsi="Helvetica Neue" w:cs="Times New Roman"/>
        </w:rPr>
        <w:t>Job requirements.</w:t>
      </w:r>
    </w:p>
    <w:p w14:paraId="68580B22" w14:textId="77777777" w:rsidR="00962D10" w:rsidRPr="002E5374" w:rsidRDefault="008D75AF" w:rsidP="002E5374">
      <w:pPr>
        <w:pStyle w:val="BodyText"/>
        <w:spacing w:before="118"/>
        <w:jc w:val="both"/>
        <w:rPr>
          <w:rFonts w:ascii="Helvetica Neue" w:eastAsiaTheme="minorEastAsia" w:hAnsi="Helvetica Neue" w:cs="Times New Roman"/>
        </w:rPr>
      </w:pPr>
      <w:r w:rsidRPr="002E5374">
        <w:rPr>
          <w:rFonts w:ascii="Helvetica Neue" w:eastAsiaTheme="minorEastAsia" w:hAnsi="Helvetica Neue" w:cs="Times New Roman"/>
        </w:rPr>
        <w:t>The extent of the benefit amounts to:</w:t>
      </w:r>
    </w:p>
    <w:p w14:paraId="14B0148F" w14:textId="77777777" w:rsidR="00962D10" w:rsidRPr="002E5374" w:rsidRDefault="008D75AF" w:rsidP="00966B37">
      <w:pPr>
        <w:pStyle w:val="BodyText"/>
        <w:numPr>
          <w:ilvl w:val="1"/>
          <w:numId w:val="9"/>
        </w:numPr>
        <w:tabs>
          <w:tab w:val="left" w:pos="838"/>
        </w:tabs>
        <w:spacing w:before="118" w:line="239" w:lineRule="auto"/>
        <w:ind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75% of the average monthly taxable income for social security purposes over the last four years, if this is equal to or less than an amount established by law and reassessed annually on the basis of variations in the </w:t>
      </w:r>
      <w:proofErr w:type="spellStart"/>
      <w:r w:rsidRPr="002E5374">
        <w:rPr>
          <w:rFonts w:ascii="Helvetica Neue" w:eastAsiaTheme="minorEastAsia" w:hAnsi="Helvetica Neue" w:cs="Times New Roman"/>
        </w:rPr>
        <w:t>ISTAT</w:t>
      </w:r>
      <w:proofErr w:type="spellEnd"/>
      <w:r w:rsidRPr="002E5374">
        <w:rPr>
          <w:rFonts w:ascii="Helvetica Neue" w:eastAsiaTheme="minorEastAsia" w:hAnsi="Helvetica Neue" w:cs="Times New Roman"/>
        </w:rPr>
        <w:t xml:space="preserve"> index (equal to €1,195.00 for the year 2015);</w:t>
      </w:r>
    </w:p>
    <w:p w14:paraId="4211796E" w14:textId="77777777" w:rsidR="00962D10" w:rsidRPr="002E5374" w:rsidRDefault="008D75AF" w:rsidP="00966B37">
      <w:pPr>
        <w:pStyle w:val="BodyText"/>
        <w:numPr>
          <w:ilvl w:val="1"/>
          <w:numId w:val="9"/>
        </w:numPr>
        <w:tabs>
          <w:tab w:val="left" w:pos="838"/>
        </w:tabs>
        <w:spacing w:before="20" w:line="346" w:lineRule="exact"/>
        <w:ind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75% of the amount established (equal to 1,195.00 for the year 2015) summed up to 25% of the difference between the average taxable monthly salary and </w:t>
      </w:r>
      <w:proofErr w:type="spellStart"/>
      <w:r w:rsidRPr="002E5374">
        <w:rPr>
          <w:rFonts w:ascii="Helvetica Neue" w:eastAsiaTheme="minorEastAsia" w:hAnsi="Helvetica Neue" w:cs="Times New Roman"/>
        </w:rPr>
        <w:t>EUR</w:t>
      </w:r>
      <w:proofErr w:type="spellEnd"/>
      <w:r w:rsidRPr="002E5374">
        <w:rPr>
          <w:rFonts w:ascii="Helvetica Neue" w:eastAsiaTheme="minorEastAsia" w:hAnsi="Helvetica Neue" w:cs="Times New Roman"/>
        </w:rPr>
        <w:t xml:space="preserve"> 1,195.00 (for the year 2015), if the </w:t>
      </w:r>
      <w:r w:rsidRPr="002E5374">
        <w:rPr>
          <w:rFonts w:ascii="Helvetica Neue" w:eastAsiaTheme="minorEastAsia" w:hAnsi="Helvetica Neue" w:cs="Times New Roman"/>
        </w:rPr>
        <w:lastRenderedPageBreak/>
        <w:t>average monthly taxable salary is higher than the above fixed amount.</w:t>
      </w:r>
    </w:p>
    <w:p w14:paraId="336C55BE" w14:textId="77777777" w:rsidR="00962D10" w:rsidRPr="002E5374" w:rsidRDefault="008D75AF" w:rsidP="00966B37">
      <w:pPr>
        <w:pStyle w:val="BodyText"/>
        <w:spacing w:before="98" w:line="238" w:lineRule="auto"/>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However, the benefit amount may not exceed a maximum limit that is determined annually by law (equal to 1,300.00 for the year 2015). A reduction of 3 % for each month applies to the monthly allowance, starting from the first day of the fourth month of receipt of the benefit (91st day of the </w:t>
      </w:r>
      <w:r w:rsidR="00FF38AA">
        <w:rPr>
          <w:rFonts w:ascii="Helvetica Neue" w:eastAsiaTheme="minorEastAsia" w:hAnsi="Helvetica Neue" w:cs="Times New Roman"/>
        </w:rPr>
        <w:t>performance</w:t>
      </w:r>
      <w:r w:rsidRPr="002E5374">
        <w:rPr>
          <w:rFonts w:ascii="Helvetica Neue" w:eastAsiaTheme="minorEastAsia" w:hAnsi="Helvetica Neue" w:cs="Times New Roman"/>
        </w:rPr>
        <w:t>).</w:t>
      </w:r>
    </w:p>
    <w:p w14:paraId="5E221943" w14:textId="77777777" w:rsidR="00962D10" w:rsidRPr="002E5374" w:rsidRDefault="008D75AF" w:rsidP="00966B37">
      <w:pPr>
        <w:pStyle w:val="BodyText"/>
        <w:spacing w:before="143"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The payment takes place on a monthly basis and is inclusive of family </w:t>
      </w:r>
      <w:r w:rsidR="00FF38AA">
        <w:rPr>
          <w:rFonts w:ascii="Helvetica Neue" w:eastAsiaTheme="minorEastAsia" w:hAnsi="Helvetica Neue" w:cs="Times New Roman"/>
        </w:rPr>
        <w:t xml:space="preserve">unit </w:t>
      </w:r>
      <w:r w:rsidRPr="002E5374">
        <w:rPr>
          <w:rFonts w:ascii="Helvetica Neue" w:eastAsiaTheme="minorEastAsia" w:hAnsi="Helvetica Neue" w:cs="Times New Roman"/>
        </w:rPr>
        <w:t>allowances if required and payable.</w:t>
      </w:r>
    </w:p>
    <w:p w14:paraId="5D3004DE" w14:textId="77777777" w:rsidR="00962D10" w:rsidRDefault="00962D10" w:rsidP="002E5374">
      <w:pPr>
        <w:spacing w:before="14"/>
        <w:jc w:val="both"/>
        <w:rPr>
          <w:rFonts w:ascii="Malgun Gothic" w:eastAsia="Malgun Gothic" w:hAnsi="Malgun Gothic" w:cs="Malgun Gothic"/>
          <w:sz w:val="13"/>
          <w:szCs w:val="13"/>
        </w:rPr>
      </w:pPr>
    </w:p>
    <w:p w14:paraId="16379736" w14:textId="77777777" w:rsidR="00962D10" w:rsidRPr="00332796" w:rsidRDefault="008D75AF" w:rsidP="00332796">
      <w:pPr>
        <w:pStyle w:val="Heading4"/>
        <w:ind w:left="217"/>
        <w:jc w:val="both"/>
        <w:rPr>
          <w:rFonts w:ascii="Helvetica Neue" w:eastAsiaTheme="minorEastAsia" w:hAnsi="Helvetica Neue" w:cs="Times New Roman"/>
          <w:bCs w:val="0"/>
          <w:sz w:val="20"/>
          <w:szCs w:val="20"/>
        </w:rPr>
      </w:pPr>
      <w:r w:rsidRPr="00332796">
        <w:rPr>
          <w:rFonts w:ascii="Helvetica Neue" w:eastAsiaTheme="minorEastAsia" w:hAnsi="Helvetica Neue" w:cs="Times New Roman"/>
          <w:bCs w:val="0"/>
          <w:sz w:val="20"/>
          <w:szCs w:val="20"/>
        </w:rPr>
        <w:t>NEW EMPLOYMENT ACTIVITY</w:t>
      </w:r>
    </w:p>
    <w:p w14:paraId="6DB0AEEF" w14:textId="77777777" w:rsidR="00962D10" w:rsidRDefault="00962D10" w:rsidP="002E5374">
      <w:pPr>
        <w:spacing w:before="17"/>
        <w:jc w:val="both"/>
        <w:rPr>
          <w:rFonts w:ascii="Malgun Gothic" w:eastAsia="Malgun Gothic" w:hAnsi="Malgun Gothic" w:cs="Malgun Gothic"/>
          <w:b/>
          <w:bCs/>
          <w:i/>
          <w:sz w:val="14"/>
          <w:szCs w:val="14"/>
        </w:rPr>
      </w:pPr>
    </w:p>
    <w:p w14:paraId="2E33E922" w14:textId="77777777" w:rsidR="00962D10" w:rsidRPr="00966B37" w:rsidRDefault="000448A3" w:rsidP="002E5374">
      <w:pPr>
        <w:pStyle w:val="Heading5"/>
        <w:jc w:val="both"/>
        <w:rPr>
          <w:rFonts w:ascii="Helvetica Neue" w:eastAsiaTheme="minorEastAsia" w:hAnsi="Helvetica Neue" w:cs="Times New Roman"/>
          <w:sz w:val="20"/>
          <w:szCs w:val="20"/>
        </w:rPr>
      </w:pPr>
      <w:r w:rsidRPr="00966B37">
        <w:rPr>
          <w:rFonts w:ascii="Helvetica Neue" w:eastAsiaTheme="minorEastAsia" w:hAnsi="Helvetica Neue" w:cs="Times New Roman"/>
          <w:sz w:val="20"/>
          <w:szCs w:val="20"/>
        </w:rPr>
        <w:t xml:space="preserve">Attendant </w:t>
      </w:r>
      <w:r w:rsidR="008D75AF" w:rsidRPr="00966B37">
        <w:rPr>
          <w:rFonts w:ascii="Helvetica Neue" w:eastAsiaTheme="minorEastAsia" w:hAnsi="Helvetica Neue" w:cs="Times New Roman"/>
          <w:sz w:val="20"/>
          <w:szCs w:val="20"/>
        </w:rPr>
        <w:t>Employment:</w:t>
      </w:r>
    </w:p>
    <w:p w14:paraId="18837CD2" w14:textId="77777777" w:rsidR="00962D10" w:rsidRPr="002E5374" w:rsidRDefault="008D75AF" w:rsidP="00966B37">
      <w:pPr>
        <w:pStyle w:val="BodyText"/>
        <w:spacing w:before="116" w:line="238" w:lineRule="auto"/>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While receiving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allowance, reemployment under a</w:t>
      </w:r>
      <w:r w:rsidR="000448A3">
        <w:rPr>
          <w:rFonts w:ascii="Helvetica Neue" w:eastAsiaTheme="minorEastAsia" w:hAnsi="Helvetica Neue" w:cs="Times New Roman"/>
        </w:rPr>
        <w:t>n</w:t>
      </w:r>
      <w:r w:rsidRPr="002E5374">
        <w:rPr>
          <w:rFonts w:ascii="Helvetica Neue" w:eastAsiaTheme="minorEastAsia" w:hAnsi="Helvetica Neue" w:cs="Times New Roman"/>
        </w:rPr>
        <w:t xml:space="preserve"> </w:t>
      </w:r>
      <w:r w:rsidR="000448A3">
        <w:rPr>
          <w:rFonts w:ascii="Helvetica Neue" w:eastAsiaTheme="minorEastAsia" w:hAnsi="Helvetica Neue" w:cs="Times New Roman"/>
        </w:rPr>
        <w:t>attendant</w:t>
      </w:r>
      <w:r w:rsidR="000448A3"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employment contract from which an annual income is earned exceeding the minimum excluded from taxation</w:t>
      </w:r>
      <w:r w:rsidR="00357326">
        <w:rPr>
          <w:rStyle w:val="FootnoteReference"/>
          <w:rFonts w:ascii="Helvetica Neue" w:eastAsiaTheme="minorEastAsia" w:hAnsi="Helvetica Neue" w:cs="Times New Roman"/>
        </w:rPr>
        <w:footnoteReference w:id="2"/>
      </w:r>
      <w:r w:rsidRPr="002E5374">
        <w:rPr>
          <w:rFonts w:ascii="Helvetica Neue" w:eastAsiaTheme="minorEastAsia" w:hAnsi="Helvetica Neue" w:cs="Times New Roman"/>
        </w:rPr>
        <w:t xml:space="preserve"> leads to the loss of the benefit if the duration of the new contract is longer than six months or is for an indefinite period. On the contrary, in the case of a contract </w:t>
      </w:r>
      <w:r w:rsidR="000448A3">
        <w:rPr>
          <w:rFonts w:ascii="Helvetica Neue" w:eastAsiaTheme="minorEastAsia" w:hAnsi="Helvetica Neue" w:cs="Times New Roman"/>
        </w:rPr>
        <w:t>of</w:t>
      </w:r>
      <w:r w:rsidR="000448A3"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a duration equal to or less than the above limit, the benefit is suspended for the entire duration of the employment contract, to be paid again for the remaining period on termination</w:t>
      </w:r>
      <w:r w:rsidR="000448A3">
        <w:rPr>
          <w:rFonts w:ascii="Helvetica Neue" w:eastAsiaTheme="minorEastAsia" w:hAnsi="Helvetica Neue" w:cs="Times New Roman"/>
        </w:rPr>
        <w:t xml:space="preserve"> of the suspension</w:t>
      </w:r>
      <w:r w:rsidRPr="002E5374">
        <w:rPr>
          <w:rFonts w:ascii="Helvetica Neue" w:eastAsiaTheme="minorEastAsia" w:hAnsi="Helvetica Neue" w:cs="Times New Roman"/>
        </w:rPr>
        <w:t>.</w:t>
      </w:r>
    </w:p>
    <w:p w14:paraId="07583200" w14:textId="77777777" w:rsidR="00962D10" w:rsidRPr="002E5374" w:rsidRDefault="008D75AF" w:rsidP="00966B37">
      <w:pPr>
        <w:pStyle w:val="BodyText"/>
        <w:spacing w:before="117"/>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Suspension also occurs in the case of a fixed-term employment contract of </w:t>
      </w:r>
      <w:proofErr w:type="gramStart"/>
      <w:r w:rsidRPr="002E5374">
        <w:rPr>
          <w:rFonts w:ascii="Helvetica Neue" w:eastAsiaTheme="minorEastAsia" w:hAnsi="Helvetica Neue" w:cs="Times New Roman"/>
        </w:rPr>
        <w:t>a duration</w:t>
      </w:r>
      <w:proofErr w:type="gramEnd"/>
      <w:r w:rsidRPr="002E5374">
        <w:rPr>
          <w:rFonts w:ascii="Helvetica Neue" w:eastAsiaTheme="minorEastAsia" w:hAnsi="Helvetica Neue" w:cs="Times New Roman"/>
        </w:rPr>
        <w:t xml:space="preserve"> not exceeding six</w:t>
      </w:r>
      <w:r w:rsidR="000F55D6">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months, </w:t>
      </w:r>
      <w:r w:rsidR="00D67E85">
        <w:rPr>
          <w:rFonts w:ascii="Helvetica Neue" w:eastAsiaTheme="minorEastAsia" w:hAnsi="Helvetica Neue" w:cs="Times New Roman"/>
        </w:rPr>
        <w:t>drawn up</w:t>
      </w:r>
      <w:r w:rsidRPr="002E5374">
        <w:rPr>
          <w:rFonts w:ascii="Helvetica Neue" w:eastAsiaTheme="minorEastAsia" w:hAnsi="Helvetica Neue" w:cs="Times New Roman"/>
        </w:rPr>
        <w:t xml:space="preserve"> with a foreign EU or non-EU state.</w:t>
      </w:r>
    </w:p>
    <w:p w14:paraId="5D82D5D5" w14:textId="77777777" w:rsidR="00962D10" w:rsidRDefault="008D75AF" w:rsidP="00966B37">
      <w:pPr>
        <w:pStyle w:val="BodyText"/>
        <w:spacing w:before="141"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If the</w:t>
      </w:r>
      <w:r w:rsidR="00D67E85">
        <w:rPr>
          <w:rFonts w:ascii="Helvetica Neue" w:eastAsiaTheme="minorEastAsia" w:hAnsi="Helvetica Neue" w:cs="Times New Roman"/>
        </w:rPr>
        <w:t xml:space="preserve"> presumed</w:t>
      </w:r>
      <w:r w:rsidRPr="002E5374">
        <w:rPr>
          <w:rFonts w:ascii="Helvetica Neue" w:eastAsiaTheme="minorEastAsia" w:hAnsi="Helvetica Neue" w:cs="Times New Roman"/>
        </w:rPr>
        <w:t xml:space="preserve"> income derived from the new </w:t>
      </w:r>
      <w:r w:rsidR="00D67E85">
        <w:rPr>
          <w:rFonts w:ascii="Helvetica Neue" w:eastAsiaTheme="minorEastAsia" w:hAnsi="Helvetica Neue" w:cs="Times New Roman"/>
        </w:rPr>
        <w:t>attendant</w:t>
      </w:r>
      <w:r w:rsidR="00D67E85"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employment contract is lower than the minimum income excluded from taxation</w:t>
      </w:r>
      <w:r w:rsidR="00D63281">
        <w:rPr>
          <w:rStyle w:val="FootnoteReference"/>
          <w:rFonts w:ascii="Helvetica Neue" w:eastAsiaTheme="minorEastAsia" w:hAnsi="Helvetica Neue" w:cs="Times New Roman"/>
        </w:rPr>
        <w:footnoteReference w:id="3"/>
      </w:r>
      <w:r w:rsidRPr="002E5374">
        <w:rPr>
          <w:rFonts w:ascii="Helvetica Neue" w:eastAsiaTheme="minorEastAsia" w:hAnsi="Helvetica Neue" w:cs="Times New Roman"/>
        </w:rPr>
        <w:t xml:space="preserve">, the benefit is paid </w:t>
      </w:r>
      <w:r w:rsidR="00A459A9">
        <w:rPr>
          <w:rFonts w:ascii="Helvetica Neue" w:eastAsiaTheme="minorEastAsia" w:hAnsi="Helvetica Neue" w:cs="Times New Roman"/>
        </w:rPr>
        <w:t>in a reduced amount equal</w:t>
      </w:r>
      <w:r w:rsidRPr="002E5374">
        <w:rPr>
          <w:rFonts w:ascii="Helvetica Neue" w:eastAsiaTheme="minorEastAsia" w:hAnsi="Helvetica Neue" w:cs="Times New Roman"/>
        </w:rPr>
        <w:t xml:space="preserve"> to 80 % of the expected annual income, </w:t>
      </w:r>
      <w:r w:rsidR="00A459A9">
        <w:rPr>
          <w:rFonts w:ascii="Helvetica Neue" w:eastAsiaTheme="minorEastAsia" w:hAnsi="Helvetica Neue" w:cs="Times New Roman"/>
        </w:rPr>
        <w:t>compared to</w:t>
      </w:r>
      <w:r w:rsidRPr="002E5374">
        <w:rPr>
          <w:rFonts w:ascii="Helvetica Neue" w:eastAsiaTheme="minorEastAsia" w:hAnsi="Helvetica Neue" w:cs="Times New Roman"/>
        </w:rPr>
        <w:t xml:space="preserve"> the period of time between the beginning of the new activity and the final date of receipt of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allowance or, if </w:t>
      </w:r>
      <w:r w:rsidR="00A459A9">
        <w:rPr>
          <w:rFonts w:ascii="Helvetica Neue" w:eastAsiaTheme="minorEastAsia" w:hAnsi="Helvetica Neue" w:cs="Times New Roman"/>
        </w:rPr>
        <w:t>preceding</w:t>
      </w:r>
      <w:r w:rsidRPr="002E5374">
        <w:rPr>
          <w:rFonts w:ascii="Helvetica Neue" w:eastAsiaTheme="minorEastAsia" w:hAnsi="Helvetica Neue" w:cs="Times New Roman"/>
        </w:rPr>
        <w:t>, the end of the year.</w:t>
      </w:r>
    </w:p>
    <w:p w14:paraId="7F52302E" w14:textId="77777777" w:rsidR="007154BE" w:rsidRPr="002E5374" w:rsidRDefault="007154BE" w:rsidP="007154BE">
      <w:pPr>
        <w:rPr>
          <w:rFonts w:ascii="Helvetica Neue" w:eastAsiaTheme="minorEastAsia" w:hAnsi="Helvetica Neue" w:cs="Times New Roman"/>
        </w:rPr>
      </w:pPr>
    </w:p>
    <w:p w14:paraId="0F0F52D2" w14:textId="77777777" w:rsidR="00962D10" w:rsidRPr="007154BE" w:rsidRDefault="008D75AF" w:rsidP="002E5374">
      <w:pPr>
        <w:pStyle w:val="Heading5"/>
        <w:spacing w:before="84"/>
        <w:jc w:val="both"/>
        <w:rPr>
          <w:rFonts w:cs="Malgun Gothic"/>
          <w:i w:val="0"/>
          <w:sz w:val="20"/>
          <w:szCs w:val="20"/>
        </w:rPr>
      </w:pPr>
      <w:r w:rsidRPr="007154BE">
        <w:rPr>
          <w:sz w:val="20"/>
          <w:szCs w:val="20"/>
        </w:rPr>
        <w:t>Self-employment</w:t>
      </w:r>
      <w:r w:rsidRPr="007154BE">
        <w:rPr>
          <w:i w:val="0"/>
          <w:sz w:val="20"/>
          <w:szCs w:val="20"/>
        </w:rPr>
        <w:t>:</w:t>
      </w:r>
    </w:p>
    <w:p w14:paraId="59E8EA60" w14:textId="77777777" w:rsidR="00962D10" w:rsidRPr="002E5374" w:rsidRDefault="008D75AF" w:rsidP="00966B37">
      <w:pPr>
        <w:pStyle w:val="BodyText"/>
        <w:spacing w:before="138"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In the case of self-employment, sole proprietorship or a </w:t>
      </w:r>
      <w:proofErr w:type="spellStart"/>
      <w:r w:rsidRPr="002E5374">
        <w:rPr>
          <w:rFonts w:ascii="Helvetica Neue" w:eastAsiaTheme="minorEastAsia" w:hAnsi="Helvetica Neue" w:cs="Times New Roman"/>
        </w:rPr>
        <w:t>parasubordinate</w:t>
      </w:r>
      <w:proofErr w:type="spellEnd"/>
      <w:r w:rsidRPr="002E5374">
        <w:rPr>
          <w:rFonts w:ascii="Helvetica Neue" w:eastAsiaTheme="minorEastAsia" w:hAnsi="Helvetica Neue" w:cs="Times New Roman"/>
        </w:rPr>
        <w:t xml:space="preserve"> contract from which an income is derived that is lower than the limit set for retaining the state of unemployment3, the extent of the allowance is reduced </w:t>
      </w:r>
      <w:r w:rsidR="007D2D62">
        <w:rPr>
          <w:rFonts w:ascii="Helvetica Neue" w:eastAsiaTheme="minorEastAsia" w:hAnsi="Helvetica Neue" w:cs="Times New Roman"/>
        </w:rPr>
        <w:t>of</w:t>
      </w:r>
      <w:r w:rsidR="007D2D62"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an amount equivalent to 80 % of the </w:t>
      </w:r>
      <w:r w:rsidR="007D2D62">
        <w:rPr>
          <w:rFonts w:ascii="Helvetica Neue" w:eastAsiaTheme="minorEastAsia" w:hAnsi="Helvetica Neue" w:cs="Times New Roman"/>
        </w:rPr>
        <w:t>expected</w:t>
      </w:r>
      <w:r w:rsidR="007D2D62"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income </w:t>
      </w:r>
      <w:r w:rsidR="007D2D62">
        <w:rPr>
          <w:rFonts w:ascii="Helvetica Neue" w:eastAsiaTheme="minorEastAsia" w:hAnsi="Helvetica Neue" w:cs="Times New Roman"/>
        </w:rPr>
        <w:t>compared to</w:t>
      </w:r>
      <w:r w:rsidRPr="002E5374">
        <w:rPr>
          <w:rFonts w:ascii="Helvetica Neue" w:eastAsiaTheme="minorEastAsia" w:hAnsi="Helvetica Neue" w:cs="Times New Roman"/>
        </w:rPr>
        <w:t xml:space="preserve"> the period between the beginning of the activity and the final date of the allowance.</w:t>
      </w:r>
    </w:p>
    <w:p w14:paraId="57744588" w14:textId="77777777" w:rsidR="00962D10" w:rsidRPr="002E5374" w:rsidRDefault="008D75AF" w:rsidP="00966B37">
      <w:pPr>
        <w:pStyle w:val="BodyText"/>
        <w:spacing w:before="120"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If the annual income is higher than the limit set for retaining the state of unemployment, the allowance is revoked.</w:t>
      </w:r>
    </w:p>
    <w:p w14:paraId="229C5863" w14:textId="77777777" w:rsidR="00962D10" w:rsidRPr="002E5374" w:rsidRDefault="008D75AF" w:rsidP="00966B37">
      <w:pPr>
        <w:pStyle w:val="BodyText"/>
        <w:spacing w:before="96"/>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The failure to communicate the </w:t>
      </w:r>
      <w:r w:rsidR="00C661EE">
        <w:rPr>
          <w:rFonts w:ascii="Helvetica Neue" w:eastAsiaTheme="minorEastAsia" w:hAnsi="Helvetica Neue" w:cs="Times New Roman"/>
        </w:rPr>
        <w:t>expected</w:t>
      </w:r>
      <w:r w:rsidR="00C661EE"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income by the established</w:t>
      </w:r>
      <w:r w:rsidR="00C661EE">
        <w:rPr>
          <w:rFonts w:ascii="Helvetica Neue" w:eastAsiaTheme="minorEastAsia" w:hAnsi="Helvetica Neue" w:cs="Times New Roman"/>
        </w:rPr>
        <w:t xml:space="preserve"> peremptory</w:t>
      </w:r>
      <w:r w:rsidRPr="002E5374">
        <w:rPr>
          <w:rFonts w:ascii="Helvetica Neue" w:eastAsiaTheme="minorEastAsia" w:hAnsi="Helvetica Neue" w:cs="Times New Roman"/>
        </w:rPr>
        <w:t xml:space="preserve"> time</w:t>
      </w:r>
      <w:r w:rsidR="00D57624">
        <w:rPr>
          <w:rFonts w:ascii="Helvetica Neue" w:eastAsiaTheme="minorEastAsia" w:hAnsi="Helvetica Neue" w:cs="Times New Roman"/>
        </w:rPr>
        <w:t xml:space="preserve"> </w:t>
      </w:r>
      <w:r w:rsidRPr="002E5374">
        <w:rPr>
          <w:rFonts w:ascii="Helvetica Neue" w:eastAsiaTheme="minorEastAsia" w:hAnsi="Helvetica Neue" w:cs="Times New Roman"/>
        </w:rPr>
        <w:t>limit results in the benefit’s revocation.</w:t>
      </w:r>
    </w:p>
    <w:p w14:paraId="62F7899B" w14:textId="77777777" w:rsidR="00962D10" w:rsidRDefault="00962D10" w:rsidP="002E5374">
      <w:pPr>
        <w:spacing w:before="17"/>
        <w:jc w:val="both"/>
        <w:rPr>
          <w:rFonts w:ascii="Malgun Gothic" w:eastAsia="Malgun Gothic" w:hAnsi="Malgun Gothic" w:cs="Malgun Gothic"/>
          <w:sz w:val="14"/>
          <w:szCs w:val="14"/>
        </w:rPr>
      </w:pPr>
    </w:p>
    <w:p w14:paraId="4D66EFA0" w14:textId="77777777" w:rsidR="00962D10" w:rsidRPr="007154BE" w:rsidRDefault="008D75AF" w:rsidP="00D57624">
      <w:pPr>
        <w:pStyle w:val="Heading5"/>
        <w:ind w:left="0"/>
        <w:jc w:val="both"/>
        <w:rPr>
          <w:rFonts w:cs="Malgun Gothic"/>
          <w:i w:val="0"/>
          <w:sz w:val="20"/>
          <w:szCs w:val="20"/>
        </w:rPr>
      </w:pPr>
      <w:r w:rsidRPr="007154BE">
        <w:rPr>
          <w:spacing w:val="-2"/>
          <w:sz w:val="20"/>
          <w:szCs w:val="20"/>
        </w:rPr>
        <w:t>Work</w:t>
      </w:r>
      <w:r w:rsidRPr="007154BE">
        <w:rPr>
          <w:spacing w:val="-34"/>
          <w:sz w:val="20"/>
          <w:szCs w:val="20"/>
        </w:rPr>
        <w:t xml:space="preserve"> </w:t>
      </w:r>
      <w:r w:rsidRPr="007154BE">
        <w:rPr>
          <w:spacing w:val="1"/>
          <w:sz w:val="20"/>
          <w:szCs w:val="20"/>
        </w:rPr>
        <w:t>of</w:t>
      </w:r>
      <w:r w:rsidRPr="007154BE">
        <w:rPr>
          <w:spacing w:val="-34"/>
          <w:sz w:val="20"/>
          <w:szCs w:val="20"/>
        </w:rPr>
        <w:t xml:space="preserve"> </w:t>
      </w:r>
      <w:r w:rsidRPr="007154BE">
        <w:rPr>
          <w:sz w:val="20"/>
          <w:szCs w:val="20"/>
        </w:rPr>
        <w:t>a</w:t>
      </w:r>
      <w:r w:rsidRPr="007154BE">
        <w:rPr>
          <w:spacing w:val="-32"/>
          <w:sz w:val="20"/>
          <w:szCs w:val="20"/>
        </w:rPr>
        <w:t xml:space="preserve"> </w:t>
      </w:r>
      <w:r w:rsidRPr="007154BE">
        <w:rPr>
          <w:spacing w:val="-2"/>
          <w:sz w:val="20"/>
          <w:szCs w:val="20"/>
        </w:rPr>
        <w:t>purely</w:t>
      </w:r>
      <w:r w:rsidRPr="007154BE">
        <w:rPr>
          <w:spacing w:val="-32"/>
          <w:sz w:val="20"/>
          <w:szCs w:val="20"/>
        </w:rPr>
        <w:t xml:space="preserve"> </w:t>
      </w:r>
      <w:r w:rsidRPr="007154BE">
        <w:rPr>
          <w:sz w:val="20"/>
          <w:szCs w:val="20"/>
        </w:rPr>
        <w:t>casual</w:t>
      </w:r>
      <w:r w:rsidRPr="007154BE">
        <w:rPr>
          <w:spacing w:val="-34"/>
          <w:sz w:val="20"/>
          <w:szCs w:val="20"/>
        </w:rPr>
        <w:t xml:space="preserve"> </w:t>
      </w:r>
      <w:r w:rsidRPr="007154BE">
        <w:rPr>
          <w:spacing w:val="-2"/>
          <w:sz w:val="20"/>
          <w:szCs w:val="20"/>
        </w:rPr>
        <w:t>nature</w:t>
      </w:r>
      <w:r w:rsidRPr="007154BE">
        <w:rPr>
          <w:spacing w:val="-32"/>
          <w:sz w:val="20"/>
          <w:szCs w:val="20"/>
        </w:rPr>
        <w:t xml:space="preserve"> </w:t>
      </w:r>
      <w:r w:rsidRPr="007154BE">
        <w:rPr>
          <w:i w:val="0"/>
          <w:spacing w:val="-1"/>
          <w:sz w:val="20"/>
          <w:szCs w:val="20"/>
        </w:rPr>
        <w:t>(</w:t>
      </w:r>
      <w:r w:rsidRPr="007154BE">
        <w:rPr>
          <w:spacing w:val="-2"/>
          <w:sz w:val="20"/>
          <w:szCs w:val="20"/>
        </w:rPr>
        <w:t>ancillary</w:t>
      </w:r>
      <w:r w:rsidRPr="007154BE">
        <w:rPr>
          <w:spacing w:val="-31"/>
          <w:sz w:val="20"/>
          <w:szCs w:val="20"/>
        </w:rPr>
        <w:t xml:space="preserve"> </w:t>
      </w:r>
      <w:r w:rsidRPr="007154BE">
        <w:rPr>
          <w:sz w:val="20"/>
          <w:szCs w:val="20"/>
        </w:rPr>
        <w:t>casual</w:t>
      </w:r>
      <w:r w:rsidRPr="007154BE">
        <w:rPr>
          <w:spacing w:val="-33"/>
          <w:sz w:val="20"/>
          <w:szCs w:val="20"/>
        </w:rPr>
        <w:t xml:space="preserve"> </w:t>
      </w:r>
      <w:r w:rsidRPr="007154BE">
        <w:rPr>
          <w:spacing w:val="-2"/>
          <w:sz w:val="20"/>
          <w:szCs w:val="20"/>
        </w:rPr>
        <w:t>work</w:t>
      </w:r>
      <w:r w:rsidRPr="007154BE">
        <w:rPr>
          <w:spacing w:val="-30"/>
          <w:sz w:val="20"/>
          <w:szCs w:val="20"/>
        </w:rPr>
        <w:t xml:space="preserve"> </w:t>
      </w:r>
      <w:r w:rsidRPr="007154BE">
        <w:rPr>
          <w:spacing w:val="-2"/>
          <w:sz w:val="20"/>
          <w:szCs w:val="20"/>
        </w:rPr>
        <w:t>with</w:t>
      </w:r>
      <w:r w:rsidRPr="007154BE">
        <w:rPr>
          <w:spacing w:val="-33"/>
          <w:sz w:val="20"/>
          <w:szCs w:val="20"/>
        </w:rPr>
        <w:t xml:space="preserve"> </w:t>
      </w:r>
      <w:r w:rsidRPr="007154BE">
        <w:rPr>
          <w:spacing w:val="-2"/>
          <w:sz w:val="20"/>
          <w:szCs w:val="20"/>
        </w:rPr>
        <w:t>voucher</w:t>
      </w:r>
      <w:r w:rsidRPr="007154BE">
        <w:rPr>
          <w:i w:val="0"/>
          <w:spacing w:val="-1"/>
          <w:sz w:val="20"/>
          <w:szCs w:val="20"/>
        </w:rPr>
        <w:t>):</w:t>
      </w:r>
    </w:p>
    <w:p w14:paraId="0103B1AF" w14:textId="77777777" w:rsidR="00962D10" w:rsidRDefault="00962D10" w:rsidP="002E5374">
      <w:pPr>
        <w:spacing w:before="3"/>
        <w:jc w:val="both"/>
        <w:rPr>
          <w:rFonts w:ascii="Malgun Gothic" w:eastAsia="Malgun Gothic" w:hAnsi="Malgun Gothic" w:cs="Malgun Gothic"/>
          <w:sz w:val="17"/>
          <w:szCs w:val="17"/>
        </w:rPr>
      </w:pPr>
    </w:p>
    <w:p w14:paraId="05C430EA" w14:textId="77777777" w:rsidR="00962D10" w:rsidRPr="002E5374" w:rsidRDefault="008D75AF" w:rsidP="00D57624">
      <w:pPr>
        <w:pStyle w:val="BodyText"/>
        <w:spacing w:line="346" w:lineRule="exact"/>
        <w:ind w:left="0"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is fully combinable with income earned from the performance of ancillary work up to the overall limit of </w:t>
      </w:r>
      <w:proofErr w:type="spellStart"/>
      <w:r w:rsidRPr="002E5374">
        <w:rPr>
          <w:rFonts w:ascii="Helvetica Neue" w:eastAsiaTheme="minorEastAsia" w:hAnsi="Helvetica Neue" w:cs="Times New Roman"/>
        </w:rPr>
        <w:t>EUR</w:t>
      </w:r>
      <w:proofErr w:type="spellEnd"/>
      <w:r w:rsidRPr="002E5374">
        <w:rPr>
          <w:rFonts w:ascii="Helvetica Neue" w:eastAsiaTheme="minorEastAsia" w:hAnsi="Helvetica Neue" w:cs="Times New Roman"/>
        </w:rPr>
        <w:t xml:space="preserve"> 3,000 per calendar year.</w:t>
      </w:r>
    </w:p>
    <w:p w14:paraId="5295262C" w14:textId="77777777" w:rsidR="00962D10" w:rsidRPr="002E5374" w:rsidRDefault="008D75AF" w:rsidP="00D57624">
      <w:pPr>
        <w:pStyle w:val="BodyText"/>
        <w:spacing w:before="97" w:line="239" w:lineRule="auto"/>
        <w:ind w:left="0" w:right="33"/>
        <w:jc w:val="both"/>
        <w:rPr>
          <w:rFonts w:ascii="Helvetica Neue" w:eastAsiaTheme="minorEastAsia" w:hAnsi="Helvetica Neue" w:cs="Times New Roman"/>
        </w:rPr>
      </w:pPr>
      <w:r w:rsidRPr="002E5374">
        <w:rPr>
          <w:rFonts w:ascii="Helvetica Neue" w:eastAsiaTheme="minorEastAsia" w:hAnsi="Helvetica Neue" w:cs="Times New Roman"/>
        </w:rPr>
        <w:t>In the case where the income</w:t>
      </w:r>
      <w:r w:rsidR="00C661EE">
        <w:rPr>
          <w:rFonts w:ascii="Helvetica Neue" w:eastAsiaTheme="minorEastAsia" w:hAnsi="Helvetica Neue" w:cs="Times New Roman"/>
        </w:rPr>
        <w:t>s</w:t>
      </w:r>
      <w:r w:rsidRPr="002E5374">
        <w:rPr>
          <w:rFonts w:ascii="Helvetica Neue" w:eastAsiaTheme="minorEastAsia" w:hAnsi="Helvetica Neue" w:cs="Times New Roman"/>
        </w:rPr>
        <w:t xml:space="preserve"> exceed the above limit but </w:t>
      </w:r>
      <w:r w:rsidR="00C661EE">
        <w:rPr>
          <w:rFonts w:ascii="Helvetica Neue" w:eastAsiaTheme="minorEastAsia" w:hAnsi="Helvetica Neue" w:cs="Times New Roman"/>
        </w:rPr>
        <w:t>are</w:t>
      </w:r>
      <w:r w:rsidRPr="002E5374">
        <w:rPr>
          <w:rFonts w:ascii="Helvetica Neue" w:eastAsiaTheme="minorEastAsia" w:hAnsi="Helvetica Neue" w:cs="Times New Roman"/>
        </w:rPr>
        <w:t xml:space="preserve"> less than </w:t>
      </w:r>
      <w:proofErr w:type="spellStart"/>
      <w:r w:rsidRPr="002E5374">
        <w:rPr>
          <w:rFonts w:ascii="Helvetica Neue" w:eastAsiaTheme="minorEastAsia" w:hAnsi="Helvetica Neue" w:cs="Times New Roman"/>
        </w:rPr>
        <w:t>EUR</w:t>
      </w:r>
      <w:proofErr w:type="spellEnd"/>
      <w:r w:rsidRPr="002E5374">
        <w:rPr>
          <w:rFonts w:ascii="Helvetica Neue" w:eastAsiaTheme="minorEastAsia" w:hAnsi="Helvetica Neue" w:cs="Times New Roman"/>
        </w:rPr>
        <w:t xml:space="preserve"> 7,000,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is reduced </w:t>
      </w:r>
      <w:r w:rsidR="00C661EE">
        <w:rPr>
          <w:rFonts w:ascii="Helvetica Neue" w:eastAsiaTheme="minorEastAsia" w:hAnsi="Helvetica Neue" w:cs="Times New Roman"/>
        </w:rPr>
        <w:t>of</w:t>
      </w:r>
      <w:r w:rsidR="00C661EE"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an amount</w:t>
      </w:r>
      <w:r w:rsidR="00C661EE">
        <w:rPr>
          <w:rFonts w:ascii="Helvetica Neue" w:eastAsiaTheme="minorEastAsia" w:hAnsi="Helvetica Neue" w:cs="Times New Roman"/>
        </w:rPr>
        <w:t xml:space="preserve"> equivalent to 80</w:t>
      </w:r>
      <w:r w:rsidRPr="002E5374">
        <w:rPr>
          <w:rFonts w:ascii="Helvetica Neue" w:eastAsiaTheme="minorEastAsia" w:hAnsi="Helvetica Neue" w:cs="Times New Roman"/>
        </w:rPr>
        <w:t xml:space="preserve">% of the remuneration, </w:t>
      </w:r>
      <w:r w:rsidR="00C661EE">
        <w:rPr>
          <w:rFonts w:ascii="Helvetica Neue" w:eastAsiaTheme="minorEastAsia" w:hAnsi="Helvetica Neue" w:cs="Times New Roman"/>
        </w:rPr>
        <w:t>compared to</w:t>
      </w:r>
      <w:r w:rsidRPr="002E5374">
        <w:rPr>
          <w:rFonts w:ascii="Helvetica Neue" w:eastAsiaTheme="minorEastAsia" w:hAnsi="Helvetica Neue" w:cs="Times New Roman"/>
        </w:rPr>
        <w:t xml:space="preserve"> the period between the beginning of the activity and the final date of receipt of the allowance, or if </w:t>
      </w:r>
      <w:r w:rsidR="00371EB9">
        <w:rPr>
          <w:rFonts w:ascii="Helvetica Neue" w:eastAsiaTheme="minorEastAsia" w:hAnsi="Helvetica Neue" w:cs="Times New Roman"/>
        </w:rPr>
        <w:t>preceding</w:t>
      </w:r>
      <w:r w:rsidRPr="002E5374">
        <w:rPr>
          <w:rFonts w:ascii="Helvetica Neue" w:eastAsiaTheme="minorEastAsia" w:hAnsi="Helvetica Neue" w:cs="Times New Roman"/>
        </w:rPr>
        <w:t>, the end of the year.</w:t>
      </w:r>
    </w:p>
    <w:p w14:paraId="3EE64EEB" w14:textId="77777777" w:rsidR="00962D10" w:rsidRDefault="00962D10" w:rsidP="00D57624">
      <w:pPr>
        <w:spacing w:before="17"/>
        <w:ind w:right="33"/>
        <w:jc w:val="both"/>
        <w:rPr>
          <w:rFonts w:ascii="Malgun Gothic" w:eastAsia="Malgun Gothic" w:hAnsi="Malgun Gothic" w:cs="Malgun Gothic"/>
          <w:sz w:val="14"/>
          <w:szCs w:val="14"/>
        </w:rPr>
      </w:pPr>
    </w:p>
    <w:p w14:paraId="246E5B4C" w14:textId="77777777" w:rsidR="00962D10" w:rsidRPr="007154BE" w:rsidRDefault="008D75AF" w:rsidP="00D57624">
      <w:pPr>
        <w:pStyle w:val="Heading5"/>
        <w:ind w:left="0" w:right="33"/>
        <w:jc w:val="both"/>
        <w:rPr>
          <w:i w:val="0"/>
          <w:sz w:val="20"/>
        </w:rPr>
      </w:pPr>
      <w:r w:rsidRPr="007154BE">
        <w:rPr>
          <w:spacing w:val="-1"/>
          <w:w w:val="95"/>
          <w:sz w:val="20"/>
        </w:rPr>
        <w:t>Work</w:t>
      </w:r>
      <w:r w:rsidRPr="007154BE">
        <w:rPr>
          <w:spacing w:val="-12"/>
          <w:w w:val="95"/>
          <w:sz w:val="20"/>
        </w:rPr>
        <w:t xml:space="preserve"> </w:t>
      </w:r>
      <w:r w:rsidRPr="007154BE">
        <w:rPr>
          <w:w w:val="95"/>
          <w:sz w:val="20"/>
        </w:rPr>
        <w:t>abroad</w:t>
      </w:r>
    </w:p>
    <w:p w14:paraId="38B148DA" w14:textId="77777777" w:rsidR="00962D10" w:rsidRDefault="00962D10" w:rsidP="00D57624">
      <w:pPr>
        <w:spacing w:before="16"/>
        <w:ind w:right="33"/>
        <w:jc w:val="both"/>
        <w:rPr>
          <w:rFonts w:ascii="Malgun Gothic" w:eastAsia="Malgun Gothic" w:hAnsi="Malgun Gothic" w:cs="Malgun Gothic"/>
          <w:i/>
          <w:sz w:val="15"/>
          <w:szCs w:val="15"/>
        </w:rPr>
      </w:pPr>
    </w:p>
    <w:p w14:paraId="0444AFA9" w14:textId="77777777" w:rsidR="00962D10" w:rsidRPr="002E5374" w:rsidRDefault="008D75AF" w:rsidP="00D57624">
      <w:pPr>
        <w:pStyle w:val="BodyText"/>
        <w:numPr>
          <w:ilvl w:val="0"/>
          <w:numId w:val="6"/>
        </w:numPr>
        <w:tabs>
          <w:tab w:val="left" w:pos="355"/>
        </w:tabs>
        <w:spacing w:line="238" w:lineRule="auto"/>
        <w:ind w:left="0" w:right="33" w:firstLine="0"/>
        <w:jc w:val="both"/>
        <w:rPr>
          <w:rFonts w:ascii="Helvetica Neue" w:eastAsiaTheme="minorEastAsia" w:hAnsi="Helvetica Neue" w:cs="Times New Roman"/>
        </w:rPr>
      </w:pPr>
      <w:r w:rsidRPr="002E5374">
        <w:rPr>
          <w:rFonts w:ascii="Helvetica Neue" w:eastAsiaTheme="minorEastAsia" w:hAnsi="Helvetica Neue" w:cs="Times New Roman"/>
        </w:rPr>
        <w:t xml:space="preserve">The recipient of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benefit who goes to seek employment in a country that applies EU rules by exporting the benefit - or in a non-EU country but which has an agreement with Italy in </w:t>
      </w:r>
      <w:r w:rsidR="003D6C09">
        <w:rPr>
          <w:rFonts w:ascii="Helvetica Neue" w:eastAsiaTheme="minorEastAsia" w:hAnsi="Helvetica Neue" w:cs="Times New Roman"/>
        </w:rPr>
        <w:t>the field</w:t>
      </w:r>
      <w:r w:rsidR="003D6C09"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of unemployment and provides for the exportability of the benefit - must register as a person seeking employment in the host State. Once employed in the aforementioned State, the person will lose the right to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(Arts. No. 7, 63 and 64 of EU Regulation No. 883 of 2004);</w:t>
      </w:r>
    </w:p>
    <w:p w14:paraId="5A139F6A" w14:textId="77777777" w:rsidR="00962D10" w:rsidRPr="007154BE" w:rsidRDefault="00371EB9" w:rsidP="00D57624">
      <w:pPr>
        <w:pStyle w:val="BodyText"/>
        <w:tabs>
          <w:tab w:val="left" w:pos="353"/>
        </w:tabs>
        <w:spacing w:before="120" w:line="238" w:lineRule="auto"/>
        <w:ind w:left="0" w:right="34"/>
        <w:jc w:val="both"/>
        <w:rPr>
          <w:rFonts w:ascii="Helvetica Neue" w:eastAsiaTheme="minorEastAsia" w:hAnsi="Helvetica Neue" w:cs="Times New Roman"/>
        </w:rPr>
      </w:pPr>
      <w:r>
        <w:rPr>
          <w:rFonts w:ascii="Helvetica Neue" w:eastAsiaTheme="minorEastAsia" w:hAnsi="Helvetica Neue" w:cs="Times New Roman"/>
        </w:rPr>
        <w:t xml:space="preserve">2. </w:t>
      </w:r>
      <w:r w:rsidR="008D75AF" w:rsidRPr="007154BE">
        <w:rPr>
          <w:rFonts w:ascii="Helvetica Neue" w:eastAsiaTheme="minorEastAsia" w:hAnsi="Helvetica Neue" w:cs="Times New Roman"/>
        </w:rPr>
        <w:t xml:space="preserve">The allowance of the </w:t>
      </w:r>
      <w:proofErr w:type="spellStart"/>
      <w:r w:rsidR="008D75AF" w:rsidRPr="007154BE">
        <w:rPr>
          <w:rFonts w:ascii="Helvetica Neue" w:eastAsiaTheme="minorEastAsia" w:hAnsi="Helvetica Neue" w:cs="Times New Roman"/>
        </w:rPr>
        <w:t>NASpl</w:t>
      </w:r>
      <w:proofErr w:type="spellEnd"/>
      <w:r w:rsidR="008D75AF" w:rsidRPr="007154BE">
        <w:rPr>
          <w:rFonts w:ascii="Helvetica Neue" w:eastAsiaTheme="minorEastAsia" w:hAnsi="Helvetica Neue" w:cs="Times New Roman"/>
        </w:rPr>
        <w:t xml:space="preserve"> benefit</w:t>
      </w:r>
      <w:r w:rsidR="00B6009F">
        <w:rPr>
          <w:rFonts w:ascii="Helvetica Neue" w:eastAsiaTheme="minorEastAsia" w:hAnsi="Helvetica Neue" w:cs="Times New Roman"/>
        </w:rPr>
        <w:t xml:space="preserve"> received by</w:t>
      </w:r>
      <w:r w:rsidR="008D75AF" w:rsidRPr="007154BE">
        <w:rPr>
          <w:rFonts w:ascii="Helvetica Neue" w:eastAsiaTheme="minorEastAsia" w:hAnsi="Helvetica Neue" w:cs="Times New Roman"/>
        </w:rPr>
        <w:t xml:space="preserve"> recipient who moves to a country that applies EU rules - or to a non-EU country which has an agreement with Italy in </w:t>
      </w:r>
      <w:r w:rsidR="006C68BC">
        <w:rPr>
          <w:rFonts w:ascii="Helvetica Neue" w:eastAsiaTheme="minorEastAsia" w:hAnsi="Helvetica Neue" w:cs="Times New Roman"/>
        </w:rPr>
        <w:t>the field</w:t>
      </w:r>
      <w:r w:rsidR="006C68BC" w:rsidRPr="007154BE">
        <w:rPr>
          <w:rFonts w:ascii="Helvetica Neue" w:eastAsiaTheme="minorEastAsia" w:hAnsi="Helvetica Neue" w:cs="Times New Roman"/>
        </w:rPr>
        <w:t xml:space="preserve"> </w:t>
      </w:r>
      <w:r w:rsidR="008D75AF" w:rsidRPr="007154BE">
        <w:rPr>
          <w:rFonts w:ascii="Helvetica Neue" w:eastAsiaTheme="minorEastAsia" w:hAnsi="Helvetica Neue" w:cs="Times New Roman"/>
        </w:rPr>
        <w:t xml:space="preserve">of unemployment and provides for the exportability of the benefit – and has already signed an employment contract, will be suspended up to a maximum period of six months (in this case, in fact, the unemployed person is registered at the Job Centre at the moment in which the employment contract is </w:t>
      </w:r>
      <w:r w:rsidR="00981AA0">
        <w:rPr>
          <w:rFonts w:ascii="Helvetica Neue" w:eastAsiaTheme="minorEastAsia" w:hAnsi="Helvetica Neue" w:cs="Times New Roman"/>
        </w:rPr>
        <w:t>drawn up</w:t>
      </w:r>
      <w:r w:rsidR="008D75AF" w:rsidRPr="007154BE">
        <w:rPr>
          <w:rFonts w:ascii="Helvetica Neue" w:eastAsiaTheme="minorEastAsia" w:hAnsi="Helvetica Neue" w:cs="Times New Roman"/>
        </w:rPr>
        <w:t xml:space="preserve">). The </w:t>
      </w:r>
      <w:proofErr w:type="spellStart"/>
      <w:r w:rsidR="008D75AF" w:rsidRPr="007154BE">
        <w:rPr>
          <w:rFonts w:ascii="Helvetica Neue" w:eastAsiaTheme="minorEastAsia" w:hAnsi="Helvetica Neue" w:cs="Times New Roman"/>
        </w:rPr>
        <w:t>NASpl</w:t>
      </w:r>
      <w:proofErr w:type="spellEnd"/>
      <w:r w:rsidR="008D75AF" w:rsidRPr="007154BE">
        <w:rPr>
          <w:rFonts w:ascii="Helvetica Neue" w:eastAsiaTheme="minorEastAsia" w:hAnsi="Helvetica Neue" w:cs="Times New Roman"/>
        </w:rPr>
        <w:t xml:space="preserve"> benefit is lost in the case where the contract’s duration is longer than six months. On the termination of the employment contract abroad and prior to renewing any suspended benefits, it is necessary to verify that the person concerned has not registered </w:t>
      </w:r>
      <w:r w:rsidR="00981AA0">
        <w:rPr>
          <w:rFonts w:ascii="Helvetica Neue" w:eastAsiaTheme="minorEastAsia" w:hAnsi="Helvetica Neue" w:cs="Times New Roman"/>
        </w:rPr>
        <w:t>himself</w:t>
      </w:r>
      <w:r w:rsidR="00981AA0" w:rsidRPr="007154BE">
        <w:rPr>
          <w:rFonts w:ascii="Helvetica Neue" w:eastAsiaTheme="minorEastAsia" w:hAnsi="Helvetica Neue" w:cs="Times New Roman"/>
        </w:rPr>
        <w:t xml:space="preserve"> </w:t>
      </w:r>
      <w:r w:rsidR="00981AA0">
        <w:rPr>
          <w:rFonts w:ascii="Helvetica Neue" w:eastAsiaTheme="minorEastAsia" w:hAnsi="Helvetica Neue" w:cs="Times New Roman"/>
        </w:rPr>
        <w:t xml:space="preserve">to </w:t>
      </w:r>
      <w:r w:rsidR="008D75AF" w:rsidRPr="007154BE">
        <w:rPr>
          <w:rFonts w:ascii="Helvetica Neue" w:eastAsiaTheme="minorEastAsia" w:hAnsi="Helvetica Neue" w:cs="Times New Roman"/>
        </w:rPr>
        <w:t>the Labour Office of the foreign State pertaining to the last</w:t>
      </w:r>
      <w:r w:rsidR="007154BE">
        <w:rPr>
          <w:rFonts w:ascii="Helvetica Neue" w:eastAsiaTheme="minorEastAsia" w:hAnsi="Helvetica Neue" w:cs="Times New Roman"/>
        </w:rPr>
        <w:t xml:space="preserve"> </w:t>
      </w:r>
      <w:r w:rsidR="008D75AF" w:rsidRPr="007154BE">
        <w:rPr>
          <w:rFonts w:ascii="Helvetica Neue" w:eastAsiaTheme="minorEastAsia" w:hAnsi="Helvetica Neue" w:cs="Times New Roman"/>
        </w:rPr>
        <w:t xml:space="preserve">employment </w:t>
      </w:r>
      <w:r w:rsidR="00206D33">
        <w:rPr>
          <w:rFonts w:ascii="Helvetica Neue" w:eastAsiaTheme="minorEastAsia" w:hAnsi="Helvetica Neue" w:cs="Times New Roman"/>
        </w:rPr>
        <w:t>and that he has not requested</w:t>
      </w:r>
      <w:r w:rsidR="008D75AF" w:rsidRPr="007154BE">
        <w:rPr>
          <w:rFonts w:ascii="Helvetica Neue" w:eastAsiaTheme="minorEastAsia" w:hAnsi="Helvetica Neue" w:cs="Times New Roman"/>
        </w:rPr>
        <w:t xml:space="preserve"> a benefit that is to be paid by this State. In such a case, the </w:t>
      </w:r>
      <w:proofErr w:type="spellStart"/>
      <w:r w:rsidR="008D75AF" w:rsidRPr="007154BE">
        <w:rPr>
          <w:rFonts w:ascii="Helvetica Neue" w:eastAsiaTheme="minorEastAsia" w:hAnsi="Helvetica Neue" w:cs="Times New Roman"/>
        </w:rPr>
        <w:t>NASpl</w:t>
      </w:r>
      <w:proofErr w:type="spellEnd"/>
      <w:r w:rsidR="008D75AF" w:rsidRPr="007154BE">
        <w:rPr>
          <w:rFonts w:ascii="Helvetica Neue" w:eastAsiaTheme="minorEastAsia" w:hAnsi="Helvetica Neue" w:cs="Times New Roman"/>
        </w:rPr>
        <w:t xml:space="preserve"> benefit can</w:t>
      </w:r>
      <w:r w:rsidR="002E5374" w:rsidRPr="007154BE">
        <w:rPr>
          <w:rFonts w:ascii="Helvetica Neue" w:eastAsiaTheme="minorEastAsia" w:hAnsi="Helvetica Neue" w:cs="Times New Roman"/>
        </w:rPr>
        <w:t xml:space="preserve"> </w:t>
      </w:r>
      <w:r w:rsidR="008D75AF" w:rsidRPr="007154BE">
        <w:rPr>
          <w:rFonts w:ascii="Helvetica Neue" w:eastAsiaTheme="minorEastAsia" w:hAnsi="Helvetica Neue" w:cs="Times New Roman"/>
        </w:rPr>
        <w:t>no longer be renewed</w:t>
      </w:r>
      <w:proofErr w:type="gramStart"/>
      <w:r w:rsidR="008D75AF" w:rsidRPr="007154BE">
        <w:rPr>
          <w:rFonts w:ascii="Helvetica Neue" w:eastAsiaTheme="minorEastAsia" w:hAnsi="Helvetica Neue" w:cs="Times New Roman"/>
        </w:rPr>
        <w:t>;</w:t>
      </w:r>
      <w:proofErr w:type="gramEnd"/>
    </w:p>
    <w:p w14:paraId="3DD7881D" w14:textId="77777777" w:rsidR="00962D10" w:rsidRPr="002E5374" w:rsidRDefault="00981AA0" w:rsidP="00D57624">
      <w:pPr>
        <w:pStyle w:val="BodyText"/>
        <w:tabs>
          <w:tab w:val="left" w:pos="489"/>
        </w:tabs>
        <w:spacing w:before="119" w:line="238" w:lineRule="auto"/>
        <w:ind w:left="0" w:right="33"/>
        <w:jc w:val="both"/>
        <w:rPr>
          <w:rFonts w:ascii="Helvetica Neue" w:eastAsiaTheme="minorEastAsia" w:hAnsi="Helvetica Neue" w:cs="Times New Roman"/>
        </w:rPr>
      </w:pPr>
      <w:r>
        <w:rPr>
          <w:rFonts w:ascii="Helvetica Neue" w:eastAsiaTheme="minorEastAsia" w:hAnsi="Helvetica Neue" w:cs="Times New Roman"/>
        </w:rPr>
        <w:t xml:space="preserve">3. </w:t>
      </w:r>
      <w:r w:rsidR="008D75AF" w:rsidRPr="002E5374">
        <w:rPr>
          <w:rFonts w:ascii="Helvetica Neue" w:eastAsiaTheme="minorEastAsia" w:hAnsi="Helvetica Neue" w:cs="Times New Roman"/>
        </w:rPr>
        <w:t xml:space="preserve">If the </w:t>
      </w:r>
      <w:proofErr w:type="spellStart"/>
      <w:r w:rsidR="008D75AF" w:rsidRPr="002E5374">
        <w:rPr>
          <w:rFonts w:ascii="Helvetica Neue" w:eastAsiaTheme="minorEastAsia" w:hAnsi="Helvetica Neue" w:cs="Times New Roman"/>
        </w:rPr>
        <w:t>NASpl</w:t>
      </w:r>
      <w:proofErr w:type="spellEnd"/>
      <w:r w:rsidR="008D75AF" w:rsidRPr="002E5374">
        <w:rPr>
          <w:rFonts w:ascii="Helvetica Neue" w:eastAsiaTheme="minorEastAsia" w:hAnsi="Helvetica Neue" w:cs="Times New Roman"/>
        </w:rPr>
        <w:t xml:space="preserve"> benefit recipient moves to a non-EU country that has no agreement with Italy on unemployment, and has already signed an employment contract in the host country, the </w:t>
      </w:r>
      <w:proofErr w:type="spellStart"/>
      <w:r w:rsidR="008D75AF" w:rsidRPr="002E5374">
        <w:rPr>
          <w:rFonts w:ascii="Helvetica Neue" w:eastAsiaTheme="minorEastAsia" w:hAnsi="Helvetica Neue" w:cs="Times New Roman"/>
        </w:rPr>
        <w:t>NASpl</w:t>
      </w:r>
      <w:proofErr w:type="spellEnd"/>
      <w:r w:rsidR="008D75AF" w:rsidRPr="002E5374">
        <w:rPr>
          <w:rFonts w:ascii="Helvetica Neue" w:eastAsiaTheme="minorEastAsia" w:hAnsi="Helvetica Neue" w:cs="Times New Roman"/>
        </w:rPr>
        <w:t xml:space="preserve"> benefit will be suspended for a maximum period of six months. If, however, the person concerned moves to one of the aforementioned countries for short periods and for documented reasons, the benefit will continue to be paid even for the days spent abroad, provided that appropriate documentation is produced justifying the reasons for the sojourn (Message No. 367 of 8/1/2009);</w:t>
      </w:r>
    </w:p>
    <w:p w14:paraId="108D9BE0" w14:textId="77777777" w:rsidR="00962D10" w:rsidRDefault="002620FB" w:rsidP="00D57624">
      <w:pPr>
        <w:pStyle w:val="BodyText"/>
        <w:tabs>
          <w:tab w:val="left" w:pos="441"/>
        </w:tabs>
        <w:spacing w:before="119" w:line="238" w:lineRule="auto"/>
        <w:ind w:left="0" w:right="33"/>
        <w:rPr>
          <w:rFonts w:ascii="Helvetica Neue" w:eastAsiaTheme="minorEastAsia" w:hAnsi="Helvetica Neue" w:cs="Times New Roman"/>
        </w:rPr>
      </w:pPr>
      <w:r>
        <w:rPr>
          <w:rFonts w:ascii="Helvetica Neue" w:eastAsiaTheme="minorEastAsia" w:hAnsi="Helvetica Neue" w:cs="Times New Roman"/>
        </w:rPr>
        <w:t xml:space="preserve">4. </w:t>
      </w:r>
      <w:r w:rsidR="008D75AF" w:rsidRPr="002E5374">
        <w:rPr>
          <w:rFonts w:ascii="Helvetica Neue" w:eastAsiaTheme="minorEastAsia" w:hAnsi="Helvetica Neue" w:cs="Times New Roman"/>
        </w:rPr>
        <w:t xml:space="preserve">In the case where the </w:t>
      </w:r>
      <w:proofErr w:type="spellStart"/>
      <w:r w:rsidR="008D75AF" w:rsidRPr="002E5374">
        <w:rPr>
          <w:rFonts w:ascii="Helvetica Neue" w:eastAsiaTheme="minorEastAsia" w:hAnsi="Helvetica Neue" w:cs="Times New Roman"/>
        </w:rPr>
        <w:t>NASpl</w:t>
      </w:r>
      <w:proofErr w:type="spellEnd"/>
      <w:r w:rsidR="008D75AF" w:rsidRPr="002E5374">
        <w:rPr>
          <w:rFonts w:ascii="Helvetica Neue" w:eastAsiaTheme="minorEastAsia" w:hAnsi="Helvetica Neue" w:cs="Times New Roman"/>
        </w:rPr>
        <w:t xml:space="preserve"> benefit recipient </w:t>
      </w:r>
      <w:r w:rsidR="009A4F8E">
        <w:rPr>
          <w:rFonts w:ascii="Helvetica Neue" w:eastAsiaTheme="minorEastAsia" w:hAnsi="Helvetica Neue" w:cs="Times New Roman"/>
        </w:rPr>
        <w:t>draws up</w:t>
      </w:r>
      <w:r w:rsidR="009A4F8E" w:rsidRPr="002E5374">
        <w:rPr>
          <w:rFonts w:ascii="Helvetica Neue" w:eastAsiaTheme="minorEastAsia" w:hAnsi="Helvetica Neue" w:cs="Times New Roman"/>
        </w:rPr>
        <w:t xml:space="preserve"> </w:t>
      </w:r>
      <w:r w:rsidR="008D75AF" w:rsidRPr="002E5374">
        <w:rPr>
          <w:rFonts w:ascii="Helvetica Neue" w:eastAsiaTheme="minorEastAsia" w:hAnsi="Helvetica Neue" w:cs="Times New Roman"/>
        </w:rPr>
        <w:t xml:space="preserve">into </w:t>
      </w:r>
      <w:proofErr w:type="gramStart"/>
      <w:r w:rsidR="008D75AF" w:rsidRPr="002E5374">
        <w:rPr>
          <w:rFonts w:ascii="Helvetica Neue" w:eastAsiaTheme="minorEastAsia" w:hAnsi="Helvetica Neue" w:cs="Times New Roman"/>
        </w:rPr>
        <w:t>a</w:t>
      </w:r>
      <w:proofErr w:type="gramEnd"/>
      <w:r w:rsidR="008D75AF" w:rsidRPr="002E5374">
        <w:rPr>
          <w:rFonts w:ascii="Helvetica Neue" w:eastAsiaTheme="minorEastAsia" w:hAnsi="Helvetica Neue" w:cs="Times New Roman"/>
        </w:rPr>
        <w:t xml:space="preserve"> </w:t>
      </w:r>
      <w:r w:rsidR="009A4F8E">
        <w:rPr>
          <w:rFonts w:ascii="Helvetica Neue" w:eastAsiaTheme="minorEastAsia" w:hAnsi="Helvetica Neue" w:cs="Times New Roman"/>
        </w:rPr>
        <w:t>attended</w:t>
      </w:r>
      <w:r w:rsidR="009A4F8E" w:rsidRPr="002E5374">
        <w:rPr>
          <w:rFonts w:ascii="Helvetica Neue" w:eastAsiaTheme="minorEastAsia" w:hAnsi="Helvetica Neue" w:cs="Times New Roman"/>
        </w:rPr>
        <w:t xml:space="preserve"> </w:t>
      </w:r>
      <w:r w:rsidR="008D75AF" w:rsidRPr="002E5374">
        <w:rPr>
          <w:rFonts w:ascii="Helvetica Neue" w:eastAsiaTheme="minorEastAsia" w:hAnsi="Helvetica Neue" w:cs="Times New Roman"/>
        </w:rPr>
        <w:t xml:space="preserve">employment contract in Italy to be executed in a country that applies EU regulations, suspension, </w:t>
      </w:r>
      <w:proofErr w:type="spellStart"/>
      <w:r w:rsidR="008D75AF" w:rsidRPr="002E5374">
        <w:rPr>
          <w:rFonts w:ascii="Helvetica Neue" w:eastAsiaTheme="minorEastAsia" w:hAnsi="Helvetica Neue" w:cs="Times New Roman"/>
        </w:rPr>
        <w:t>cumulation</w:t>
      </w:r>
      <w:proofErr w:type="spellEnd"/>
      <w:r w:rsidR="008D75AF" w:rsidRPr="002E5374">
        <w:rPr>
          <w:rFonts w:ascii="Helvetica Neue" w:eastAsiaTheme="minorEastAsia" w:hAnsi="Helvetica Neue" w:cs="Times New Roman"/>
        </w:rPr>
        <w:t xml:space="preserve"> and revocation procedures will be applied as in the case of </w:t>
      </w:r>
      <w:proofErr w:type="spellStart"/>
      <w:r w:rsidR="008D75AF" w:rsidRPr="002E5374">
        <w:rPr>
          <w:rFonts w:ascii="Helvetica Neue" w:eastAsiaTheme="minorEastAsia" w:hAnsi="Helvetica Neue" w:cs="Times New Roman"/>
        </w:rPr>
        <w:t>NASpl</w:t>
      </w:r>
      <w:proofErr w:type="spellEnd"/>
      <w:r w:rsidR="008D75AF" w:rsidRPr="002E5374">
        <w:rPr>
          <w:rFonts w:ascii="Helvetica Neue" w:eastAsiaTheme="minorEastAsia" w:hAnsi="Helvetica Neue" w:cs="Times New Roman"/>
        </w:rPr>
        <w:t xml:space="preserve"> recipients who are re-employed in Italy.</w:t>
      </w:r>
    </w:p>
    <w:p w14:paraId="23A1A3F6" w14:textId="77777777" w:rsidR="00332796" w:rsidRPr="002E5374" w:rsidRDefault="00332796" w:rsidP="00D57624">
      <w:pPr>
        <w:pStyle w:val="BodyText"/>
        <w:tabs>
          <w:tab w:val="left" w:pos="441"/>
        </w:tabs>
        <w:spacing w:before="119" w:line="238" w:lineRule="auto"/>
        <w:ind w:left="0" w:right="33"/>
        <w:rPr>
          <w:rFonts w:ascii="Helvetica Neue" w:eastAsiaTheme="minorEastAsia" w:hAnsi="Helvetica Neue" w:cs="Times New Roman"/>
        </w:rPr>
      </w:pPr>
    </w:p>
    <w:p w14:paraId="0B1BE811" w14:textId="77777777" w:rsidR="00962D10" w:rsidRDefault="00962D10" w:rsidP="002E5374">
      <w:pPr>
        <w:jc w:val="both"/>
        <w:rPr>
          <w:rFonts w:ascii="Malgun Gothic" w:eastAsia="Malgun Gothic" w:hAnsi="Malgun Gothic" w:cs="Malgun Gothic"/>
          <w:sz w:val="15"/>
          <w:szCs w:val="15"/>
        </w:rPr>
      </w:pPr>
    </w:p>
    <w:p w14:paraId="48A28388" w14:textId="77777777" w:rsidR="00962D10" w:rsidRPr="00332796" w:rsidRDefault="008D75AF" w:rsidP="002E5374">
      <w:pPr>
        <w:pStyle w:val="Heading4"/>
        <w:ind w:left="217"/>
        <w:jc w:val="both"/>
        <w:rPr>
          <w:rFonts w:ascii="Helvetica Neue" w:eastAsiaTheme="minorEastAsia" w:hAnsi="Helvetica Neue" w:cs="Times New Roman"/>
          <w:bCs w:val="0"/>
          <w:sz w:val="20"/>
          <w:szCs w:val="20"/>
        </w:rPr>
      </w:pPr>
      <w:proofErr w:type="spellStart"/>
      <w:r w:rsidRPr="00332796">
        <w:rPr>
          <w:rFonts w:ascii="Helvetica Neue" w:eastAsiaTheme="minorEastAsia" w:hAnsi="Helvetica Neue" w:cs="Times New Roman"/>
          <w:bCs w:val="0"/>
          <w:sz w:val="20"/>
          <w:szCs w:val="20"/>
        </w:rPr>
        <w:t>ASpl</w:t>
      </w:r>
      <w:proofErr w:type="spellEnd"/>
      <w:r w:rsidRPr="00332796">
        <w:rPr>
          <w:rFonts w:ascii="Helvetica Neue" w:eastAsiaTheme="minorEastAsia" w:hAnsi="Helvetica Neue" w:cs="Times New Roman"/>
          <w:bCs w:val="0"/>
          <w:sz w:val="20"/>
          <w:szCs w:val="20"/>
        </w:rPr>
        <w:t>, MINI-</w:t>
      </w:r>
      <w:proofErr w:type="spellStart"/>
      <w:r w:rsidRPr="00332796">
        <w:rPr>
          <w:rFonts w:ascii="Helvetica Neue" w:eastAsiaTheme="minorEastAsia" w:hAnsi="Helvetica Neue" w:cs="Times New Roman"/>
          <w:bCs w:val="0"/>
          <w:sz w:val="20"/>
          <w:szCs w:val="20"/>
        </w:rPr>
        <w:t>ASpl</w:t>
      </w:r>
      <w:proofErr w:type="spellEnd"/>
      <w:r w:rsidRPr="00332796">
        <w:rPr>
          <w:rFonts w:ascii="Helvetica Neue" w:eastAsiaTheme="minorEastAsia" w:hAnsi="Helvetica Neue" w:cs="Times New Roman"/>
          <w:bCs w:val="0"/>
          <w:sz w:val="20"/>
          <w:szCs w:val="20"/>
        </w:rPr>
        <w:t xml:space="preserve"> AND </w:t>
      </w:r>
      <w:proofErr w:type="spellStart"/>
      <w:r w:rsidRPr="00332796">
        <w:rPr>
          <w:rFonts w:ascii="Helvetica Neue" w:eastAsiaTheme="minorEastAsia" w:hAnsi="Helvetica Neue" w:cs="Times New Roman"/>
          <w:bCs w:val="0"/>
          <w:sz w:val="20"/>
          <w:szCs w:val="20"/>
        </w:rPr>
        <w:t>NASpl</w:t>
      </w:r>
      <w:proofErr w:type="spellEnd"/>
      <w:r w:rsidRPr="00332796">
        <w:rPr>
          <w:rFonts w:ascii="Helvetica Neue" w:eastAsiaTheme="minorEastAsia" w:hAnsi="Helvetica Neue" w:cs="Times New Roman"/>
          <w:bCs w:val="0"/>
          <w:sz w:val="20"/>
          <w:szCs w:val="20"/>
        </w:rPr>
        <w:t xml:space="preserve"> FIGURES</w:t>
      </w:r>
    </w:p>
    <w:p w14:paraId="1D9CCA75" w14:textId="77777777" w:rsidR="00962D10" w:rsidRDefault="00962D10" w:rsidP="002E5374">
      <w:pPr>
        <w:spacing w:before="7"/>
        <w:jc w:val="both"/>
        <w:rPr>
          <w:rFonts w:ascii="Malgun Gothic" w:eastAsia="Malgun Gothic" w:hAnsi="Malgun Gothic" w:cs="Malgun Gothic"/>
          <w:b/>
          <w:bCs/>
          <w:i/>
          <w:sz w:val="17"/>
          <w:szCs w:val="17"/>
        </w:rPr>
      </w:pPr>
    </w:p>
    <w:p w14:paraId="230F9A03" w14:textId="77777777" w:rsidR="00962D10" w:rsidRPr="002E5374" w:rsidRDefault="008D75AF" w:rsidP="006767C3">
      <w:pPr>
        <w:pStyle w:val="BodyText"/>
        <w:spacing w:line="344"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Based on the information contained in the Institute’s statistical databases, it has been possible to establish the average replacement rates for the new types of benefits introduced as of 2013.</w:t>
      </w:r>
    </w:p>
    <w:p w14:paraId="28941EB6" w14:textId="77777777" w:rsidR="00962D10" w:rsidRPr="002E5374" w:rsidRDefault="00962D10" w:rsidP="006767C3">
      <w:pPr>
        <w:spacing w:before="2"/>
        <w:ind w:right="47"/>
        <w:jc w:val="both"/>
        <w:rPr>
          <w:rFonts w:ascii="Helvetica Neue" w:eastAsiaTheme="minorEastAsia" w:hAnsi="Helvetica Neue" w:cs="Times New Roman"/>
          <w:sz w:val="20"/>
          <w:szCs w:val="20"/>
        </w:rPr>
      </w:pPr>
    </w:p>
    <w:p w14:paraId="556AF9BE" w14:textId="77777777" w:rsidR="00962D10" w:rsidRPr="002E5374" w:rsidRDefault="008D75AF" w:rsidP="006767C3">
      <w:pPr>
        <w:pStyle w:val="BodyText"/>
        <w:spacing w:line="237" w:lineRule="auto"/>
        <w:ind w:left="0" w:right="47"/>
        <w:jc w:val="both"/>
        <w:rPr>
          <w:rFonts w:ascii="Helvetica Neue" w:eastAsiaTheme="minorEastAsia" w:hAnsi="Helvetica Neue" w:cs="Times New Roman"/>
        </w:rPr>
      </w:pPr>
      <w:r w:rsidRPr="002E5374">
        <w:rPr>
          <w:rFonts w:ascii="Helvetica Neue" w:eastAsiaTheme="minorEastAsia" w:hAnsi="Helvetica Neue" w:cs="Times New Roman"/>
        </w:rPr>
        <w:t>The replacement rate has been determined as the ratio between the average daily amount paid in benefits and the relative average daily wage in question (generally the average taxable wage of the previous two years), taking into account the applicable ceilings and other factors that affect the benefit level.</w:t>
      </w:r>
    </w:p>
    <w:p w14:paraId="03FBCEC3" w14:textId="77777777" w:rsidR="00962D10" w:rsidRDefault="00962D10" w:rsidP="002E5374">
      <w:pPr>
        <w:spacing w:before="1"/>
        <w:jc w:val="both"/>
        <w:rPr>
          <w:rFonts w:ascii="Malgun Gothic" w:eastAsia="Malgun Gothic" w:hAnsi="Malgun Gothic" w:cs="Malgun Gothic"/>
          <w:sz w:val="19"/>
          <w:szCs w:val="19"/>
        </w:rPr>
      </w:pPr>
    </w:p>
    <w:tbl>
      <w:tblPr>
        <w:tblW w:w="0" w:type="auto"/>
        <w:tblInd w:w="103" w:type="dxa"/>
        <w:tblLayout w:type="fixed"/>
        <w:tblCellMar>
          <w:left w:w="0" w:type="dxa"/>
          <w:right w:w="0" w:type="dxa"/>
        </w:tblCellMar>
        <w:tblLook w:val="01E0" w:firstRow="1" w:lastRow="1" w:firstColumn="1" w:lastColumn="1" w:noHBand="0" w:noVBand="0"/>
      </w:tblPr>
      <w:tblGrid>
        <w:gridCol w:w="2360"/>
        <w:gridCol w:w="2398"/>
        <w:gridCol w:w="2398"/>
        <w:gridCol w:w="2701"/>
      </w:tblGrid>
      <w:tr w:rsidR="00962D10" w14:paraId="6943B055" w14:textId="77777777">
        <w:trPr>
          <w:trHeight w:hRule="exact" w:val="358"/>
        </w:trPr>
        <w:tc>
          <w:tcPr>
            <w:tcW w:w="9856" w:type="dxa"/>
            <w:gridSpan w:val="4"/>
            <w:tcBorders>
              <w:top w:val="single" w:sz="5" w:space="0" w:color="000000"/>
              <w:left w:val="single" w:sz="5" w:space="0" w:color="000000"/>
              <w:bottom w:val="single" w:sz="5" w:space="0" w:color="000000"/>
              <w:right w:val="single" w:sz="5" w:space="0" w:color="000000"/>
            </w:tcBorders>
            <w:shd w:val="clear" w:color="auto" w:fill="8DB3E1"/>
          </w:tcPr>
          <w:p w14:paraId="6E37AF0E"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z w:val="20"/>
              </w:rPr>
              <w:t>YEAR</w:t>
            </w:r>
            <w:r>
              <w:rPr>
                <w:rFonts w:ascii="Malgun Gothic"/>
                <w:b/>
                <w:spacing w:val="-11"/>
                <w:sz w:val="20"/>
              </w:rPr>
              <w:t xml:space="preserve"> </w:t>
            </w:r>
            <w:r>
              <w:rPr>
                <w:rFonts w:ascii="Malgun Gothic"/>
                <w:b/>
                <w:sz w:val="20"/>
              </w:rPr>
              <w:t>2013</w:t>
            </w:r>
          </w:p>
        </w:tc>
      </w:tr>
      <w:tr w:rsidR="00962D10" w14:paraId="2E0B5F7B" w14:textId="77777777">
        <w:trPr>
          <w:trHeight w:hRule="exact" w:val="701"/>
        </w:trPr>
        <w:tc>
          <w:tcPr>
            <w:tcW w:w="2360" w:type="dxa"/>
            <w:tcBorders>
              <w:top w:val="single" w:sz="5" w:space="0" w:color="000000"/>
              <w:left w:val="single" w:sz="5" w:space="0" w:color="000000"/>
              <w:bottom w:val="single" w:sz="5" w:space="0" w:color="000000"/>
              <w:right w:val="single" w:sz="5" w:space="0" w:color="000000"/>
            </w:tcBorders>
            <w:shd w:val="clear" w:color="auto" w:fill="C5D9F0"/>
          </w:tcPr>
          <w:p w14:paraId="64D09DA5" w14:textId="77777777" w:rsidR="00962D10" w:rsidRDefault="00962D10" w:rsidP="002E5374">
            <w:pPr>
              <w:jc w:val="both"/>
            </w:pPr>
          </w:p>
        </w:tc>
        <w:tc>
          <w:tcPr>
            <w:tcW w:w="2398" w:type="dxa"/>
            <w:tcBorders>
              <w:top w:val="single" w:sz="5" w:space="0" w:color="000000"/>
              <w:left w:val="single" w:sz="5" w:space="0" w:color="000000"/>
              <w:bottom w:val="single" w:sz="5" w:space="0" w:color="000000"/>
              <w:right w:val="single" w:sz="5" w:space="0" w:color="000000"/>
            </w:tcBorders>
            <w:shd w:val="clear" w:color="auto" w:fill="C5D9F0"/>
          </w:tcPr>
          <w:p w14:paraId="323CAAF1" w14:textId="77777777" w:rsidR="00962D10" w:rsidRDefault="008D75AF" w:rsidP="002E5374">
            <w:pPr>
              <w:pStyle w:val="TableParagraph"/>
              <w:spacing w:before="126"/>
              <w:ind w:left="102"/>
              <w:jc w:val="both"/>
              <w:rPr>
                <w:rFonts w:ascii="Malgun Gothic" w:eastAsia="Malgun Gothic" w:hAnsi="Malgun Gothic" w:cs="Malgun Gothic"/>
                <w:sz w:val="20"/>
                <w:szCs w:val="20"/>
              </w:rPr>
            </w:pPr>
            <w:r>
              <w:rPr>
                <w:rFonts w:ascii="Malgun Gothic"/>
                <w:b/>
                <w:spacing w:val="-1"/>
                <w:sz w:val="20"/>
              </w:rPr>
              <w:t>Amount</w:t>
            </w:r>
            <w:r>
              <w:rPr>
                <w:rFonts w:ascii="Malgun Gothic"/>
                <w:b/>
                <w:spacing w:val="-10"/>
                <w:sz w:val="20"/>
              </w:rPr>
              <w:t xml:space="preserve"> </w:t>
            </w:r>
            <w:r>
              <w:rPr>
                <w:rFonts w:ascii="Malgun Gothic"/>
                <w:b/>
                <w:spacing w:val="-1"/>
                <w:sz w:val="20"/>
              </w:rPr>
              <w:t>of</w:t>
            </w:r>
            <w:r>
              <w:rPr>
                <w:rFonts w:ascii="Malgun Gothic"/>
                <w:b/>
                <w:spacing w:val="-10"/>
                <w:sz w:val="20"/>
              </w:rPr>
              <w:t xml:space="preserve"> </w:t>
            </w:r>
            <w:r>
              <w:rPr>
                <w:rFonts w:ascii="Malgun Gothic"/>
                <w:b/>
                <w:sz w:val="20"/>
              </w:rPr>
              <w:t>allowances</w:t>
            </w:r>
          </w:p>
        </w:tc>
        <w:tc>
          <w:tcPr>
            <w:tcW w:w="2398" w:type="dxa"/>
            <w:tcBorders>
              <w:top w:val="single" w:sz="5" w:space="0" w:color="000000"/>
              <w:left w:val="single" w:sz="5" w:space="0" w:color="000000"/>
              <w:bottom w:val="single" w:sz="5" w:space="0" w:color="000000"/>
              <w:right w:val="single" w:sz="5" w:space="0" w:color="000000"/>
            </w:tcBorders>
            <w:shd w:val="clear" w:color="auto" w:fill="C5D9F0"/>
          </w:tcPr>
          <w:p w14:paraId="5C76BDE2" w14:textId="77777777" w:rsidR="00962D10" w:rsidRDefault="008D75AF" w:rsidP="002E5374">
            <w:pPr>
              <w:pStyle w:val="TableParagraph"/>
              <w:tabs>
                <w:tab w:val="left" w:pos="1644"/>
              </w:tabs>
              <w:spacing w:line="300" w:lineRule="exact"/>
              <w:ind w:left="102"/>
              <w:jc w:val="both"/>
              <w:rPr>
                <w:rFonts w:ascii="Malgun Gothic" w:eastAsia="Malgun Gothic" w:hAnsi="Malgun Gothic" w:cs="Malgun Gothic"/>
                <w:sz w:val="20"/>
                <w:szCs w:val="20"/>
              </w:rPr>
            </w:pPr>
            <w:r>
              <w:rPr>
                <w:rFonts w:ascii="Malgun Gothic"/>
                <w:b/>
                <w:spacing w:val="-1"/>
                <w:w w:val="95"/>
                <w:sz w:val="20"/>
              </w:rPr>
              <w:t>Average</w:t>
            </w:r>
            <w:r>
              <w:rPr>
                <w:rFonts w:ascii="Malgun Gothic"/>
                <w:b/>
                <w:spacing w:val="-1"/>
                <w:w w:val="95"/>
                <w:sz w:val="20"/>
              </w:rPr>
              <w:tab/>
            </w:r>
            <w:r>
              <w:rPr>
                <w:rFonts w:ascii="Malgun Gothic"/>
                <w:b/>
                <w:spacing w:val="-1"/>
                <w:sz w:val="20"/>
              </w:rPr>
              <w:t>annual</w:t>
            </w:r>
          </w:p>
          <w:p w14:paraId="525F7B3D" w14:textId="77777777" w:rsidR="00962D10" w:rsidRDefault="008D75AF" w:rsidP="002E5374">
            <w:pPr>
              <w:pStyle w:val="TableParagraph"/>
              <w:spacing w:line="347" w:lineRule="exact"/>
              <w:ind w:left="102"/>
              <w:jc w:val="both"/>
              <w:rPr>
                <w:rFonts w:ascii="Malgun Gothic" w:eastAsia="Malgun Gothic" w:hAnsi="Malgun Gothic" w:cs="Malgun Gothic"/>
                <w:sz w:val="20"/>
                <w:szCs w:val="20"/>
              </w:rPr>
            </w:pPr>
            <w:proofErr w:type="gramStart"/>
            <w:r>
              <w:rPr>
                <w:rFonts w:ascii="Malgun Gothic"/>
                <w:b/>
                <w:spacing w:val="-1"/>
                <w:sz w:val="20"/>
              </w:rPr>
              <w:t>remuneration</w:t>
            </w:r>
            <w:proofErr w:type="gramEnd"/>
          </w:p>
        </w:tc>
        <w:tc>
          <w:tcPr>
            <w:tcW w:w="2701" w:type="dxa"/>
            <w:tcBorders>
              <w:top w:val="single" w:sz="5" w:space="0" w:color="000000"/>
              <w:left w:val="single" w:sz="5" w:space="0" w:color="000000"/>
              <w:bottom w:val="single" w:sz="5" w:space="0" w:color="000000"/>
              <w:right w:val="single" w:sz="5" w:space="0" w:color="000000"/>
            </w:tcBorders>
            <w:shd w:val="clear" w:color="auto" w:fill="C5D9F0"/>
          </w:tcPr>
          <w:p w14:paraId="3407C1D5" w14:textId="77777777" w:rsidR="00962D10" w:rsidRDefault="008D75AF" w:rsidP="002E5374">
            <w:pPr>
              <w:pStyle w:val="TableParagraph"/>
              <w:tabs>
                <w:tab w:val="left" w:pos="1406"/>
              </w:tabs>
              <w:spacing w:line="300" w:lineRule="exact"/>
              <w:ind w:left="102"/>
              <w:jc w:val="both"/>
              <w:rPr>
                <w:rFonts w:ascii="Malgun Gothic" w:eastAsia="Malgun Gothic" w:hAnsi="Malgun Gothic" w:cs="Malgun Gothic"/>
                <w:sz w:val="20"/>
                <w:szCs w:val="20"/>
              </w:rPr>
            </w:pPr>
            <w:r>
              <w:rPr>
                <w:rFonts w:ascii="Malgun Gothic"/>
                <w:b/>
                <w:spacing w:val="-1"/>
                <w:w w:val="95"/>
                <w:sz w:val="20"/>
              </w:rPr>
              <w:t>Average</w:t>
            </w:r>
            <w:r>
              <w:rPr>
                <w:rFonts w:ascii="Malgun Gothic"/>
                <w:b/>
                <w:spacing w:val="-1"/>
                <w:w w:val="95"/>
                <w:sz w:val="20"/>
              </w:rPr>
              <w:tab/>
            </w:r>
            <w:r>
              <w:rPr>
                <w:rFonts w:ascii="Malgun Gothic"/>
                <w:b/>
                <w:spacing w:val="-1"/>
                <w:sz w:val="20"/>
              </w:rPr>
              <w:t>replacement</w:t>
            </w:r>
          </w:p>
          <w:p w14:paraId="28A3C6B9" w14:textId="77777777" w:rsidR="00962D10" w:rsidRDefault="008D75AF" w:rsidP="002E5374">
            <w:pPr>
              <w:pStyle w:val="TableParagraph"/>
              <w:spacing w:line="347" w:lineRule="exact"/>
              <w:ind w:left="102"/>
              <w:jc w:val="both"/>
              <w:rPr>
                <w:rFonts w:ascii="Malgun Gothic" w:eastAsia="Malgun Gothic" w:hAnsi="Malgun Gothic" w:cs="Malgun Gothic"/>
                <w:sz w:val="20"/>
                <w:szCs w:val="20"/>
              </w:rPr>
            </w:pPr>
            <w:proofErr w:type="gramStart"/>
            <w:r>
              <w:rPr>
                <w:rFonts w:ascii="Malgun Gothic"/>
                <w:b/>
                <w:sz w:val="20"/>
              </w:rPr>
              <w:t>rates</w:t>
            </w:r>
            <w:proofErr w:type="gramEnd"/>
          </w:p>
        </w:tc>
      </w:tr>
      <w:tr w:rsidR="00962D10" w14:paraId="7FFA2706" w14:textId="77777777">
        <w:trPr>
          <w:trHeight w:hRule="exact" w:val="355"/>
        </w:trPr>
        <w:tc>
          <w:tcPr>
            <w:tcW w:w="2360" w:type="dxa"/>
            <w:tcBorders>
              <w:top w:val="single" w:sz="5" w:space="0" w:color="000000"/>
              <w:left w:val="single" w:sz="5" w:space="0" w:color="000000"/>
              <w:bottom w:val="single" w:sz="5" w:space="0" w:color="000000"/>
              <w:right w:val="single" w:sz="5" w:space="0" w:color="000000"/>
            </w:tcBorders>
            <w:shd w:val="clear" w:color="auto" w:fill="C5D9F0"/>
          </w:tcPr>
          <w:p w14:paraId="055AB4F9"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proofErr w:type="spellStart"/>
            <w:r>
              <w:rPr>
                <w:rFonts w:ascii="Malgun Gothic"/>
                <w:b/>
                <w:spacing w:val="-1"/>
                <w:sz w:val="20"/>
              </w:rPr>
              <w:t>ASpI</w:t>
            </w:r>
            <w:proofErr w:type="spellEnd"/>
          </w:p>
        </w:tc>
        <w:tc>
          <w:tcPr>
            <w:tcW w:w="2398" w:type="dxa"/>
            <w:tcBorders>
              <w:top w:val="single" w:sz="5" w:space="0" w:color="000000"/>
              <w:left w:val="single" w:sz="5" w:space="0" w:color="000000"/>
              <w:bottom w:val="single" w:sz="5" w:space="0" w:color="000000"/>
              <w:right w:val="single" w:sz="5" w:space="0" w:color="000000"/>
            </w:tcBorders>
          </w:tcPr>
          <w:p w14:paraId="03DD6C48"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€1,013,849</w:t>
            </w:r>
          </w:p>
        </w:tc>
        <w:tc>
          <w:tcPr>
            <w:tcW w:w="2398" w:type="dxa"/>
            <w:tcBorders>
              <w:top w:val="single" w:sz="5" w:space="0" w:color="000000"/>
              <w:left w:val="single" w:sz="5" w:space="0" w:color="000000"/>
              <w:bottom w:val="single" w:sz="5" w:space="0" w:color="000000"/>
              <w:right w:val="single" w:sz="5" w:space="0" w:color="000000"/>
            </w:tcBorders>
          </w:tcPr>
          <w:p w14:paraId="608FC5FE"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€19,196</w:t>
            </w:r>
          </w:p>
        </w:tc>
        <w:tc>
          <w:tcPr>
            <w:tcW w:w="2701" w:type="dxa"/>
            <w:tcBorders>
              <w:top w:val="single" w:sz="5" w:space="0" w:color="000000"/>
              <w:left w:val="single" w:sz="5" w:space="0" w:color="000000"/>
              <w:bottom w:val="single" w:sz="5" w:space="0" w:color="000000"/>
              <w:right w:val="single" w:sz="5" w:space="0" w:color="000000"/>
            </w:tcBorders>
          </w:tcPr>
          <w:p w14:paraId="06AB9830"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sz w:val="20"/>
              </w:rPr>
              <w:t>61</w:t>
            </w:r>
            <w:r>
              <w:rPr>
                <w:rFonts w:ascii="Malgun Gothic"/>
                <w:spacing w:val="-4"/>
                <w:sz w:val="20"/>
              </w:rPr>
              <w:t xml:space="preserve"> </w:t>
            </w:r>
            <w:r>
              <w:rPr>
                <w:rFonts w:ascii="Malgun Gothic"/>
                <w:sz w:val="20"/>
              </w:rPr>
              <w:t>%</w:t>
            </w:r>
          </w:p>
        </w:tc>
      </w:tr>
      <w:tr w:rsidR="00962D10" w14:paraId="476A2A36" w14:textId="77777777">
        <w:trPr>
          <w:trHeight w:hRule="exact" w:val="358"/>
        </w:trPr>
        <w:tc>
          <w:tcPr>
            <w:tcW w:w="2360" w:type="dxa"/>
            <w:tcBorders>
              <w:top w:val="single" w:sz="5" w:space="0" w:color="000000"/>
              <w:left w:val="single" w:sz="5" w:space="0" w:color="000000"/>
              <w:bottom w:val="single" w:sz="5" w:space="0" w:color="000000"/>
              <w:right w:val="single" w:sz="5" w:space="0" w:color="000000"/>
            </w:tcBorders>
            <w:shd w:val="clear" w:color="auto" w:fill="C5D9F0"/>
          </w:tcPr>
          <w:p w14:paraId="3AB81D39"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pacing w:val="-1"/>
                <w:sz w:val="20"/>
              </w:rPr>
              <w:t>Mini</w:t>
            </w:r>
            <w:r>
              <w:rPr>
                <w:rFonts w:ascii="Malgun Gothic"/>
                <w:b/>
                <w:spacing w:val="-8"/>
                <w:sz w:val="20"/>
              </w:rPr>
              <w:t xml:space="preserve"> </w:t>
            </w:r>
            <w:proofErr w:type="spellStart"/>
            <w:r>
              <w:rPr>
                <w:rFonts w:ascii="Malgun Gothic"/>
                <w:b/>
                <w:spacing w:val="-1"/>
                <w:sz w:val="20"/>
              </w:rPr>
              <w:t>ASpI</w:t>
            </w:r>
            <w:proofErr w:type="spellEnd"/>
          </w:p>
        </w:tc>
        <w:tc>
          <w:tcPr>
            <w:tcW w:w="2398" w:type="dxa"/>
            <w:tcBorders>
              <w:top w:val="single" w:sz="5" w:space="0" w:color="000000"/>
              <w:left w:val="single" w:sz="5" w:space="0" w:color="000000"/>
              <w:bottom w:val="single" w:sz="5" w:space="0" w:color="000000"/>
              <w:right w:val="single" w:sz="5" w:space="0" w:color="000000"/>
            </w:tcBorders>
          </w:tcPr>
          <w:p w14:paraId="4445D9EA"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eastAsia="Malgun Gothic" w:hAnsi="Malgun Gothic" w:cs="Malgun Gothic"/>
                <w:sz w:val="20"/>
                <w:szCs w:val="20"/>
              </w:rPr>
              <w:t>€402,966</w:t>
            </w:r>
          </w:p>
        </w:tc>
        <w:tc>
          <w:tcPr>
            <w:tcW w:w="2398" w:type="dxa"/>
            <w:tcBorders>
              <w:top w:val="single" w:sz="5" w:space="0" w:color="000000"/>
              <w:left w:val="single" w:sz="5" w:space="0" w:color="000000"/>
              <w:bottom w:val="single" w:sz="5" w:space="0" w:color="000000"/>
              <w:right w:val="single" w:sz="5" w:space="0" w:color="000000"/>
            </w:tcBorders>
          </w:tcPr>
          <w:p w14:paraId="46C5C76A"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€15,705</w:t>
            </w:r>
          </w:p>
        </w:tc>
        <w:tc>
          <w:tcPr>
            <w:tcW w:w="2701" w:type="dxa"/>
            <w:tcBorders>
              <w:top w:val="single" w:sz="5" w:space="0" w:color="000000"/>
              <w:left w:val="single" w:sz="5" w:space="0" w:color="000000"/>
              <w:bottom w:val="single" w:sz="5" w:space="0" w:color="000000"/>
              <w:right w:val="single" w:sz="5" w:space="0" w:color="000000"/>
            </w:tcBorders>
          </w:tcPr>
          <w:p w14:paraId="2C800C72"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sz w:val="20"/>
              </w:rPr>
              <w:t>67</w:t>
            </w:r>
            <w:r>
              <w:rPr>
                <w:rFonts w:ascii="Malgun Gothic"/>
                <w:spacing w:val="-4"/>
                <w:sz w:val="20"/>
              </w:rPr>
              <w:t xml:space="preserve"> </w:t>
            </w:r>
            <w:r>
              <w:rPr>
                <w:rFonts w:ascii="Malgun Gothic"/>
                <w:sz w:val="20"/>
              </w:rPr>
              <w:t>%</w:t>
            </w:r>
          </w:p>
        </w:tc>
      </w:tr>
      <w:tr w:rsidR="00962D10" w14:paraId="790C1A70" w14:textId="77777777">
        <w:trPr>
          <w:trHeight w:hRule="exact" w:val="355"/>
        </w:trPr>
        <w:tc>
          <w:tcPr>
            <w:tcW w:w="2360" w:type="dxa"/>
            <w:tcBorders>
              <w:top w:val="single" w:sz="5" w:space="0" w:color="000000"/>
              <w:left w:val="single" w:sz="5" w:space="0" w:color="000000"/>
              <w:bottom w:val="single" w:sz="5" w:space="0" w:color="000000"/>
              <w:right w:val="single" w:sz="5" w:space="0" w:color="000000"/>
            </w:tcBorders>
            <w:shd w:val="clear" w:color="auto" w:fill="C5D9F0"/>
          </w:tcPr>
          <w:p w14:paraId="4EE22751"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pacing w:val="-1"/>
                <w:sz w:val="20"/>
              </w:rPr>
              <w:t>TOTAL</w:t>
            </w:r>
          </w:p>
        </w:tc>
        <w:tc>
          <w:tcPr>
            <w:tcW w:w="2398" w:type="dxa"/>
            <w:tcBorders>
              <w:top w:val="single" w:sz="5" w:space="0" w:color="000000"/>
              <w:left w:val="single" w:sz="5" w:space="0" w:color="000000"/>
              <w:bottom w:val="single" w:sz="5" w:space="0" w:color="000000"/>
              <w:right w:val="single" w:sz="5" w:space="0" w:color="000000"/>
            </w:tcBorders>
          </w:tcPr>
          <w:p w14:paraId="550B3620"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eastAsia="Malgun Gothic" w:hAnsi="Malgun Gothic" w:cs="Malgun Gothic"/>
                <w:sz w:val="20"/>
                <w:szCs w:val="20"/>
              </w:rPr>
              <w:t>€1,941,092</w:t>
            </w:r>
          </w:p>
        </w:tc>
        <w:tc>
          <w:tcPr>
            <w:tcW w:w="2398" w:type="dxa"/>
            <w:tcBorders>
              <w:top w:val="single" w:sz="5" w:space="0" w:color="000000"/>
              <w:left w:val="single" w:sz="5" w:space="0" w:color="000000"/>
              <w:bottom w:val="single" w:sz="5" w:space="0" w:color="000000"/>
              <w:right w:val="single" w:sz="5" w:space="0" w:color="000000"/>
            </w:tcBorders>
          </w:tcPr>
          <w:p w14:paraId="2A285274"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€18,878</w:t>
            </w:r>
          </w:p>
        </w:tc>
        <w:tc>
          <w:tcPr>
            <w:tcW w:w="2701" w:type="dxa"/>
            <w:tcBorders>
              <w:top w:val="single" w:sz="5" w:space="0" w:color="000000"/>
              <w:left w:val="single" w:sz="5" w:space="0" w:color="000000"/>
              <w:bottom w:val="single" w:sz="5" w:space="0" w:color="000000"/>
              <w:right w:val="single" w:sz="5" w:space="0" w:color="000000"/>
            </w:tcBorders>
          </w:tcPr>
          <w:p w14:paraId="67EFE409"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sz w:val="20"/>
              </w:rPr>
              <w:t>57</w:t>
            </w:r>
            <w:r>
              <w:rPr>
                <w:rFonts w:ascii="Malgun Gothic"/>
                <w:spacing w:val="-4"/>
                <w:sz w:val="20"/>
              </w:rPr>
              <w:t xml:space="preserve"> </w:t>
            </w:r>
            <w:r>
              <w:rPr>
                <w:rFonts w:ascii="Malgun Gothic"/>
                <w:sz w:val="20"/>
              </w:rPr>
              <w:t>%</w:t>
            </w:r>
          </w:p>
        </w:tc>
      </w:tr>
    </w:tbl>
    <w:p w14:paraId="605F2D7A" w14:textId="77777777" w:rsidR="00962D10" w:rsidRDefault="00962D10" w:rsidP="002E5374">
      <w:pPr>
        <w:jc w:val="both"/>
        <w:rPr>
          <w:rFonts w:ascii="Malgun Gothic" w:eastAsia="Malgun Gothic" w:hAnsi="Malgun Gothic" w:cs="Malgun Gothic"/>
          <w:sz w:val="20"/>
          <w:szCs w:val="20"/>
        </w:rPr>
      </w:pPr>
    </w:p>
    <w:p w14:paraId="3E6085A6" w14:textId="77777777" w:rsidR="00962D10" w:rsidRDefault="00962D10" w:rsidP="002E5374">
      <w:pPr>
        <w:spacing w:before="15"/>
        <w:jc w:val="both"/>
        <w:rPr>
          <w:rFonts w:ascii="Malgun Gothic" w:eastAsia="Malgun Gothic" w:hAnsi="Malgun Gothic" w:cs="Malgun Gothic"/>
          <w:sz w:val="15"/>
          <w:szCs w:val="15"/>
        </w:rPr>
      </w:pPr>
    </w:p>
    <w:tbl>
      <w:tblPr>
        <w:tblW w:w="0" w:type="auto"/>
        <w:tblInd w:w="98" w:type="dxa"/>
        <w:tblLayout w:type="fixed"/>
        <w:tblCellMar>
          <w:left w:w="0" w:type="dxa"/>
          <w:right w:w="0" w:type="dxa"/>
        </w:tblCellMar>
        <w:tblLook w:val="01E0" w:firstRow="1" w:lastRow="1" w:firstColumn="1" w:lastColumn="1" w:noHBand="0" w:noVBand="0"/>
      </w:tblPr>
      <w:tblGrid>
        <w:gridCol w:w="2391"/>
        <w:gridCol w:w="2393"/>
        <w:gridCol w:w="2398"/>
        <w:gridCol w:w="2679"/>
      </w:tblGrid>
      <w:tr w:rsidR="00962D10" w14:paraId="099B6DC3" w14:textId="77777777">
        <w:trPr>
          <w:trHeight w:hRule="exact" w:val="355"/>
        </w:trPr>
        <w:tc>
          <w:tcPr>
            <w:tcW w:w="9861" w:type="dxa"/>
            <w:gridSpan w:val="4"/>
            <w:tcBorders>
              <w:top w:val="single" w:sz="5" w:space="0" w:color="000000"/>
              <w:left w:val="single" w:sz="5" w:space="0" w:color="000000"/>
              <w:bottom w:val="single" w:sz="5" w:space="0" w:color="000000"/>
              <w:right w:val="single" w:sz="5" w:space="0" w:color="000000"/>
            </w:tcBorders>
            <w:shd w:val="clear" w:color="auto" w:fill="8DB3E1"/>
          </w:tcPr>
          <w:p w14:paraId="17F41377"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z w:val="20"/>
              </w:rPr>
              <w:t>YEAR</w:t>
            </w:r>
            <w:r>
              <w:rPr>
                <w:rFonts w:ascii="Malgun Gothic"/>
                <w:b/>
                <w:spacing w:val="-11"/>
                <w:sz w:val="20"/>
              </w:rPr>
              <w:t xml:space="preserve"> </w:t>
            </w:r>
            <w:r>
              <w:rPr>
                <w:rFonts w:ascii="Malgun Gothic"/>
                <w:b/>
                <w:sz w:val="20"/>
              </w:rPr>
              <w:t>2014</w:t>
            </w:r>
          </w:p>
        </w:tc>
      </w:tr>
      <w:tr w:rsidR="00962D10" w14:paraId="5311A254" w14:textId="77777777">
        <w:trPr>
          <w:trHeight w:hRule="exact" w:val="701"/>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2ACE87CA" w14:textId="77777777" w:rsidR="00962D10" w:rsidRDefault="00962D10" w:rsidP="002E5374">
            <w:pPr>
              <w:jc w:val="both"/>
            </w:pPr>
          </w:p>
        </w:tc>
        <w:tc>
          <w:tcPr>
            <w:tcW w:w="2393" w:type="dxa"/>
            <w:tcBorders>
              <w:top w:val="single" w:sz="5" w:space="0" w:color="000000"/>
              <w:left w:val="single" w:sz="5" w:space="0" w:color="000000"/>
              <w:bottom w:val="single" w:sz="5" w:space="0" w:color="000000"/>
              <w:right w:val="single" w:sz="5" w:space="0" w:color="000000"/>
            </w:tcBorders>
            <w:shd w:val="clear" w:color="auto" w:fill="C5D9F0"/>
          </w:tcPr>
          <w:p w14:paraId="503C21D4" w14:textId="77777777" w:rsidR="00962D10" w:rsidRDefault="008D75AF" w:rsidP="002E5374">
            <w:pPr>
              <w:pStyle w:val="TableParagraph"/>
              <w:spacing w:before="127"/>
              <w:ind w:left="99"/>
              <w:jc w:val="both"/>
              <w:rPr>
                <w:rFonts w:ascii="Malgun Gothic" w:eastAsia="Malgun Gothic" w:hAnsi="Malgun Gothic" w:cs="Malgun Gothic"/>
                <w:sz w:val="20"/>
                <w:szCs w:val="20"/>
              </w:rPr>
            </w:pPr>
            <w:r>
              <w:rPr>
                <w:rFonts w:ascii="Malgun Gothic"/>
                <w:b/>
                <w:spacing w:val="-1"/>
                <w:sz w:val="20"/>
              </w:rPr>
              <w:t>Amount</w:t>
            </w:r>
            <w:r>
              <w:rPr>
                <w:rFonts w:ascii="Malgun Gothic"/>
                <w:b/>
                <w:spacing w:val="-10"/>
                <w:sz w:val="20"/>
              </w:rPr>
              <w:t xml:space="preserve"> </w:t>
            </w:r>
            <w:r>
              <w:rPr>
                <w:rFonts w:ascii="Malgun Gothic"/>
                <w:b/>
                <w:spacing w:val="-1"/>
                <w:sz w:val="20"/>
              </w:rPr>
              <w:t>of</w:t>
            </w:r>
            <w:r>
              <w:rPr>
                <w:rFonts w:ascii="Malgun Gothic"/>
                <w:b/>
                <w:spacing w:val="-10"/>
                <w:sz w:val="20"/>
              </w:rPr>
              <w:t xml:space="preserve"> </w:t>
            </w:r>
            <w:r>
              <w:rPr>
                <w:rFonts w:ascii="Malgun Gothic"/>
                <w:b/>
                <w:sz w:val="20"/>
              </w:rPr>
              <w:t>allowances</w:t>
            </w:r>
          </w:p>
        </w:tc>
        <w:tc>
          <w:tcPr>
            <w:tcW w:w="2398" w:type="dxa"/>
            <w:tcBorders>
              <w:top w:val="single" w:sz="5" w:space="0" w:color="000000"/>
              <w:left w:val="single" w:sz="5" w:space="0" w:color="000000"/>
              <w:bottom w:val="single" w:sz="5" w:space="0" w:color="000000"/>
              <w:right w:val="single" w:sz="5" w:space="0" w:color="000000"/>
            </w:tcBorders>
            <w:shd w:val="clear" w:color="auto" w:fill="C5D9F0"/>
          </w:tcPr>
          <w:p w14:paraId="2DEAACDD" w14:textId="77777777" w:rsidR="00962D10" w:rsidRDefault="008D75AF" w:rsidP="002E5374">
            <w:pPr>
              <w:pStyle w:val="TableParagraph"/>
              <w:tabs>
                <w:tab w:val="left" w:pos="1641"/>
              </w:tabs>
              <w:spacing w:line="301" w:lineRule="exact"/>
              <w:ind w:left="99"/>
              <w:jc w:val="both"/>
              <w:rPr>
                <w:rFonts w:ascii="Malgun Gothic" w:eastAsia="Malgun Gothic" w:hAnsi="Malgun Gothic" w:cs="Malgun Gothic"/>
                <w:sz w:val="20"/>
                <w:szCs w:val="20"/>
              </w:rPr>
            </w:pPr>
            <w:r>
              <w:rPr>
                <w:rFonts w:ascii="Malgun Gothic"/>
                <w:b/>
                <w:spacing w:val="-1"/>
                <w:w w:val="95"/>
                <w:sz w:val="20"/>
              </w:rPr>
              <w:t>Average</w:t>
            </w:r>
            <w:r>
              <w:rPr>
                <w:rFonts w:ascii="Malgun Gothic"/>
                <w:b/>
                <w:spacing w:val="-1"/>
                <w:w w:val="95"/>
                <w:sz w:val="20"/>
              </w:rPr>
              <w:tab/>
            </w:r>
            <w:r>
              <w:rPr>
                <w:rFonts w:ascii="Malgun Gothic"/>
                <w:b/>
                <w:spacing w:val="-1"/>
                <w:sz w:val="20"/>
              </w:rPr>
              <w:t>annual</w:t>
            </w:r>
          </w:p>
          <w:p w14:paraId="1EF674E0" w14:textId="77777777" w:rsidR="00962D10" w:rsidRDefault="008D75AF" w:rsidP="002E5374">
            <w:pPr>
              <w:pStyle w:val="TableParagraph"/>
              <w:spacing w:line="347" w:lineRule="exact"/>
              <w:ind w:left="99"/>
              <w:jc w:val="both"/>
              <w:rPr>
                <w:rFonts w:ascii="Malgun Gothic" w:eastAsia="Malgun Gothic" w:hAnsi="Malgun Gothic" w:cs="Malgun Gothic"/>
                <w:sz w:val="20"/>
                <w:szCs w:val="20"/>
              </w:rPr>
            </w:pPr>
            <w:proofErr w:type="gramStart"/>
            <w:r>
              <w:rPr>
                <w:rFonts w:ascii="Malgun Gothic"/>
                <w:b/>
                <w:spacing w:val="-1"/>
                <w:sz w:val="20"/>
              </w:rPr>
              <w:t>remuneration</w:t>
            </w:r>
            <w:proofErr w:type="gramEnd"/>
          </w:p>
        </w:tc>
        <w:tc>
          <w:tcPr>
            <w:tcW w:w="2679" w:type="dxa"/>
            <w:tcBorders>
              <w:top w:val="single" w:sz="5" w:space="0" w:color="000000"/>
              <w:left w:val="single" w:sz="5" w:space="0" w:color="000000"/>
              <w:bottom w:val="single" w:sz="5" w:space="0" w:color="000000"/>
              <w:right w:val="single" w:sz="5" w:space="0" w:color="000000"/>
            </w:tcBorders>
            <w:shd w:val="clear" w:color="auto" w:fill="C5D9F0"/>
          </w:tcPr>
          <w:p w14:paraId="6FEE8000" w14:textId="77777777" w:rsidR="00962D10" w:rsidRDefault="008D75AF" w:rsidP="002E5374">
            <w:pPr>
              <w:pStyle w:val="TableParagraph"/>
              <w:tabs>
                <w:tab w:val="left" w:pos="1382"/>
              </w:tabs>
              <w:spacing w:line="301" w:lineRule="exact"/>
              <w:ind w:left="99"/>
              <w:jc w:val="both"/>
              <w:rPr>
                <w:rFonts w:ascii="Malgun Gothic" w:eastAsia="Malgun Gothic" w:hAnsi="Malgun Gothic" w:cs="Malgun Gothic"/>
                <w:sz w:val="20"/>
                <w:szCs w:val="20"/>
              </w:rPr>
            </w:pPr>
            <w:r>
              <w:rPr>
                <w:rFonts w:ascii="Malgun Gothic"/>
                <w:b/>
                <w:spacing w:val="-1"/>
                <w:w w:val="95"/>
                <w:sz w:val="20"/>
              </w:rPr>
              <w:t>Average</w:t>
            </w:r>
            <w:r>
              <w:rPr>
                <w:rFonts w:ascii="Malgun Gothic"/>
                <w:b/>
                <w:spacing w:val="-1"/>
                <w:w w:val="95"/>
                <w:sz w:val="20"/>
              </w:rPr>
              <w:tab/>
            </w:r>
            <w:r>
              <w:rPr>
                <w:rFonts w:ascii="Malgun Gothic"/>
                <w:b/>
                <w:sz w:val="20"/>
              </w:rPr>
              <w:t>replacement</w:t>
            </w:r>
          </w:p>
          <w:p w14:paraId="2BB17CE8" w14:textId="77777777" w:rsidR="00962D10" w:rsidRDefault="008D75AF" w:rsidP="002E5374">
            <w:pPr>
              <w:pStyle w:val="TableParagraph"/>
              <w:spacing w:line="347" w:lineRule="exact"/>
              <w:ind w:left="99"/>
              <w:jc w:val="both"/>
              <w:rPr>
                <w:rFonts w:ascii="Malgun Gothic" w:eastAsia="Malgun Gothic" w:hAnsi="Malgun Gothic" w:cs="Malgun Gothic"/>
                <w:sz w:val="20"/>
                <w:szCs w:val="20"/>
              </w:rPr>
            </w:pPr>
            <w:proofErr w:type="gramStart"/>
            <w:r>
              <w:rPr>
                <w:rFonts w:ascii="Malgun Gothic"/>
                <w:b/>
                <w:sz w:val="20"/>
              </w:rPr>
              <w:t>rates</w:t>
            </w:r>
            <w:proofErr w:type="gramEnd"/>
          </w:p>
        </w:tc>
      </w:tr>
      <w:tr w:rsidR="00962D10" w14:paraId="542C096F" w14:textId="77777777">
        <w:trPr>
          <w:trHeight w:hRule="exact" w:val="358"/>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668D4662" w14:textId="77777777" w:rsidR="00962D10" w:rsidRDefault="008D75AF" w:rsidP="002E5374">
            <w:pPr>
              <w:pStyle w:val="TableParagraph"/>
              <w:spacing w:line="304" w:lineRule="exact"/>
              <w:ind w:left="102"/>
              <w:jc w:val="both"/>
              <w:rPr>
                <w:rFonts w:ascii="Malgun Gothic" w:eastAsia="Malgun Gothic" w:hAnsi="Malgun Gothic" w:cs="Malgun Gothic"/>
                <w:sz w:val="20"/>
                <w:szCs w:val="20"/>
              </w:rPr>
            </w:pPr>
            <w:proofErr w:type="spellStart"/>
            <w:r>
              <w:rPr>
                <w:rFonts w:ascii="Malgun Gothic"/>
                <w:b/>
                <w:spacing w:val="-1"/>
                <w:sz w:val="20"/>
              </w:rPr>
              <w:t>ASpI</w:t>
            </w:r>
            <w:proofErr w:type="spellEnd"/>
          </w:p>
        </w:tc>
        <w:tc>
          <w:tcPr>
            <w:tcW w:w="2393" w:type="dxa"/>
            <w:tcBorders>
              <w:top w:val="single" w:sz="5" w:space="0" w:color="000000"/>
              <w:left w:val="single" w:sz="5" w:space="0" w:color="000000"/>
              <w:bottom w:val="single" w:sz="5" w:space="0" w:color="000000"/>
              <w:right w:val="single" w:sz="5" w:space="0" w:color="000000"/>
            </w:tcBorders>
          </w:tcPr>
          <w:p w14:paraId="54D1FD95" w14:textId="77777777" w:rsidR="00962D10" w:rsidRDefault="008D75AF" w:rsidP="002E5374">
            <w:pPr>
              <w:pStyle w:val="TableParagraph"/>
              <w:spacing w:line="304"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€1,100,180</w:t>
            </w:r>
          </w:p>
        </w:tc>
        <w:tc>
          <w:tcPr>
            <w:tcW w:w="2398" w:type="dxa"/>
            <w:tcBorders>
              <w:top w:val="single" w:sz="5" w:space="0" w:color="000000"/>
              <w:left w:val="single" w:sz="5" w:space="0" w:color="000000"/>
              <w:bottom w:val="single" w:sz="5" w:space="0" w:color="000000"/>
              <w:right w:val="single" w:sz="5" w:space="0" w:color="000000"/>
            </w:tcBorders>
          </w:tcPr>
          <w:p w14:paraId="16FA311F" w14:textId="77777777" w:rsidR="00962D10" w:rsidRDefault="008D75AF" w:rsidP="002E5374">
            <w:pPr>
              <w:pStyle w:val="TableParagraph"/>
              <w:spacing w:line="304"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€19,095</w:t>
            </w:r>
          </w:p>
        </w:tc>
        <w:tc>
          <w:tcPr>
            <w:tcW w:w="2679" w:type="dxa"/>
            <w:tcBorders>
              <w:top w:val="single" w:sz="5" w:space="0" w:color="000000"/>
              <w:left w:val="single" w:sz="5" w:space="0" w:color="000000"/>
              <w:bottom w:val="single" w:sz="5" w:space="0" w:color="000000"/>
              <w:right w:val="single" w:sz="5" w:space="0" w:color="000000"/>
            </w:tcBorders>
          </w:tcPr>
          <w:p w14:paraId="173B2CA2" w14:textId="77777777" w:rsidR="00962D10" w:rsidRDefault="008D75AF" w:rsidP="002E5374">
            <w:pPr>
              <w:pStyle w:val="TableParagraph"/>
              <w:spacing w:line="304" w:lineRule="exact"/>
              <w:ind w:left="99"/>
              <w:jc w:val="both"/>
              <w:rPr>
                <w:rFonts w:ascii="Malgun Gothic" w:eastAsia="Malgun Gothic" w:hAnsi="Malgun Gothic" w:cs="Malgun Gothic"/>
                <w:sz w:val="20"/>
                <w:szCs w:val="20"/>
              </w:rPr>
            </w:pPr>
            <w:r>
              <w:rPr>
                <w:rFonts w:ascii="Malgun Gothic"/>
                <w:sz w:val="20"/>
              </w:rPr>
              <w:t>62</w:t>
            </w:r>
            <w:r>
              <w:rPr>
                <w:rFonts w:ascii="Malgun Gothic"/>
                <w:spacing w:val="-4"/>
                <w:sz w:val="20"/>
              </w:rPr>
              <w:t xml:space="preserve"> </w:t>
            </w:r>
            <w:r>
              <w:rPr>
                <w:rFonts w:ascii="Malgun Gothic"/>
                <w:sz w:val="20"/>
              </w:rPr>
              <w:t>%</w:t>
            </w:r>
          </w:p>
        </w:tc>
      </w:tr>
      <w:tr w:rsidR="00962D10" w14:paraId="71E955E9" w14:textId="77777777">
        <w:trPr>
          <w:trHeight w:hRule="exact" w:val="355"/>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3872C536"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pacing w:val="-1"/>
                <w:sz w:val="20"/>
              </w:rPr>
              <w:t>Mini</w:t>
            </w:r>
            <w:r>
              <w:rPr>
                <w:rFonts w:ascii="Malgun Gothic"/>
                <w:b/>
                <w:spacing w:val="-8"/>
                <w:sz w:val="20"/>
              </w:rPr>
              <w:t xml:space="preserve"> </w:t>
            </w:r>
            <w:proofErr w:type="spellStart"/>
            <w:r>
              <w:rPr>
                <w:rFonts w:ascii="Malgun Gothic"/>
                <w:b/>
                <w:spacing w:val="-1"/>
                <w:sz w:val="20"/>
              </w:rPr>
              <w:t>ASpI</w:t>
            </w:r>
            <w:proofErr w:type="spellEnd"/>
          </w:p>
        </w:tc>
        <w:tc>
          <w:tcPr>
            <w:tcW w:w="2393" w:type="dxa"/>
            <w:tcBorders>
              <w:top w:val="single" w:sz="5" w:space="0" w:color="000000"/>
              <w:left w:val="single" w:sz="5" w:space="0" w:color="000000"/>
              <w:bottom w:val="single" w:sz="5" w:space="0" w:color="000000"/>
              <w:right w:val="single" w:sz="5" w:space="0" w:color="000000"/>
            </w:tcBorders>
          </w:tcPr>
          <w:p w14:paraId="260472F3"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€549,778</w:t>
            </w:r>
          </w:p>
        </w:tc>
        <w:tc>
          <w:tcPr>
            <w:tcW w:w="2398" w:type="dxa"/>
            <w:tcBorders>
              <w:top w:val="single" w:sz="5" w:space="0" w:color="000000"/>
              <w:left w:val="single" w:sz="5" w:space="0" w:color="000000"/>
              <w:bottom w:val="single" w:sz="5" w:space="0" w:color="000000"/>
              <w:right w:val="single" w:sz="5" w:space="0" w:color="000000"/>
            </w:tcBorders>
          </w:tcPr>
          <w:p w14:paraId="13BA8EF3"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€15,669</w:t>
            </w:r>
          </w:p>
        </w:tc>
        <w:tc>
          <w:tcPr>
            <w:tcW w:w="2679" w:type="dxa"/>
            <w:tcBorders>
              <w:top w:val="single" w:sz="5" w:space="0" w:color="000000"/>
              <w:left w:val="single" w:sz="5" w:space="0" w:color="000000"/>
              <w:bottom w:val="single" w:sz="5" w:space="0" w:color="000000"/>
              <w:right w:val="single" w:sz="5" w:space="0" w:color="000000"/>
            </w:tcBorders>
          </w:tcPr>
          <w:p w14:paraId="770ABC5E"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sz w:val="20"/>
              </w:rPr>
              <w:t>68</w:t>
            </w:r>
            <w:r>
              <w:rPr>
                <w:rFonts w:ascii="Malgun Gothic"/>
                <w:spacing w:val="-4"/>
                <w:sz w:val="20"/>
              </w:rPr>
              <w:t xml:space="preserve"> </w:t>
            </w:r>
            <w:r>
              <w:rPr>
                <w:rFonts w:ascii="Malgun Gothic"/>
                <w:sz w:val="20"/>
              </w:rPr>
              <w:t>%</w:t>
            </w:r>
          </w:p>
        </w:tc>
      </w:tr>
      <w:tr w:rsidR="00962D10" w14:paraId="016FDF82" w14:textId="77777777">
        <w:trPr>
          <w:trHeight w:hRule="exact" w:val="358"/>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1F91BDEA"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pacing w:val="-1"/>
                <w:sz w:val="20"/>
              </w:rPr>
              <w:t>TOTAL</w:t>
            </w:r>
          </w:p>
        </w:tc>
        <w:tc>
          <w:tcPr>
            <w:tcW w:w="2393" w:type="dxa"/>
            <w:tcBorders>
              <w:top w:val="single" w:sz="5" w:space="0" w:color="000000"/>
              <w:left w:val="single" w:sz="5" w:space="0" w:color="000000"/>
              <w:bottom w:val="single" w:sz="5" w:space="0" w:color="000000"/>
              <w:right w:val="single" w:sz="5" w:space="0" w:color="000000"/>
            </w:tcBorders>
          </w:tcPr>
          <w:p w14:paraId="352F6DA2"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€2,174,442</w:t>
            </w:r>
          </w:p>
        </w:tc>
        <w:tc>
          <w:tcPr>
            <w:tcW w:w="2398" w:type="dxa"/>
            <w:tcBorders>
              <w:top w:val="single" w:sz="5" w:space="0" w:color="000000"/>
              <w:left w:val="single" w:sz="5" w:space="0" w:color="000000"/>
              <w:bottom w:val="single" w:sz="5" w:space="0" w:color="000000"/>
              <w:right w:val="single" w:sz="5" w:space="0" w:color="000000"/>
            </w:tcBorders>
          </w:tcPr>
          <w:p w14:paraId="778DBF75"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€18,753</w:t>
            </w:r>
          </w:p>
        </w:tc>
        <w:tc>
          <w:tcPr>
            <w:tcW w:w="2679" w:type="dxa"/>
            <w:tcBorders>
              <w:top w:val="single" w:sz="5" w:space="0" w:color="000000"/>
              <w:left w:val="single" w:sz="5" w:space="0" w:color="000000"/>
              <w:bottom w:val="single" w:sz="5" w:space="0" w:color="000000"/>
              <w:right w:val="single" w:sz="5" w:space="0" w:color="000000"/>
            </w:tcBorders>
          </w:tcPr>
          <w:p w14:paraId="13F6E304"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sz w:val="20"/>
              </w:rPr>
              <w:t>58</w:t>
            </w:r>
            <w:r>
              <w:rPr>
                <w:rFonts w:ascii="Malgun Gothic"/>
                <w:spacing w:val="-4"/>
                <w:sz w:val="20"/>
              </w:rPr>
              <w:t xml:space="preserve"> </w:t>
            </w:r>
            <w:r>
              <w:rPr>
                <w:rFonts w:ascii="Malgun Gothic"/>
                <w:sz w:val="20"/>
              </w:rPr>
              <w:t>%</w:t>
            </w:r>
          </w:p>
        </w:tc>
      </w:tr>
    </w:tbl>
    <w:p w14:paraId="3BDE238B" w14:textId="77777777" w:rsidR="00962D10" w:rsidRDefault="00962D10" w:rsidP="002E5374">
      <w:pPr>
        <w:jc w:val="both"/>
        <w:rPr>
          <w:rFonts w:ascii="Malgun Gothic" w:eastAsia="Malgun Gothic" w:hAnsi="Malgun Gothic" w:cs="Malgun Gothic"/>
          <w:sz w:val="20"/>
          <w:szCs w:val="20"/>
        </w:rPr>
      </w:pPr>
    </w:p>
    <w:p w14:paraId="54065081" w14:textId="77777777" w:rsidR="00962D10" w:rsidRDefault="00962D10" w:rsidP="002E5374">
      <w:pPr>
        <w:jc w:val="both"/>
        <w:rPr>
          <w:rFonts w:ascii="Malgun Gothic" w:eastAsia="Malgun Gothic" w:hAnsi="Malgun Gothic" w:cs="Malgun Gothic"/>
          <w:sz w:val="20"/>
          <w:szCs w:val="20"/>
        </w:rPr>
      </w:pPr>
    </w:p>
    <w:p w14:paraId="114B5555" w14:textId="77777777" w:rsidR="00962D10" w:rsidRDefault="00962D10" w:rsidP="002E5374">
      <w:pPr>
        <w:spacing w:before="15"/>
        <w:jc w:val="both"/>
        <w:rPr>
          <w:rFonts w:ascii="Malgun Gothic" w:eastAsia="Malgun Gothic" w:hAnsi="Malgun Gothic" w:cs="Malgun Gothic"/>
          <w:sz w:val="11"/>
          <w:szCs w:val="11"/>
        </w:rPr>
      </w:pPr>
    </w:p>
    <w:tbl>
      <w:tblPr>
        <w:tblW w:w="0" w:type="auto"/>
        <w:tblInd w:w="98" w:type="dxa"/>
        <w:tblLayout w:type="fixed"/>
        <w:tblCellMar>
          <w:left w:w="0" w:type="dxa"/>
          <w:right w:w="0" w:type="dxa"/>
        </w:tblCellMar>
        <w:tblLook w:val="01E0" w:firstRow="1" w:lastRow="1" w:firstColumn="1" w:lastColumn="1" w:noHBand="0" w:noVBand="0"/>
      </w:tblPr>
      <w:tblGrid>
        <w:gridCol w:w="4762"/>
        <w:gridCol w:w="2416"/>
        <w:gridCol w:w="2684"/>
      </w:tblGrid>
      <w:tr w:rsidR="00962D10" w14:paraId="5A90972E" w14:textId="77777777">
        <w:trPr>
          <w:trHeight w:hRule="exact" w:val="355"/>
        </w:trPr>
        <w:tc>
          <w:tcPr>
            <w:tcW w:w="9861" w:type="dxa"/>
            <w:gridSpan w:val="3"/>
            <w:tcBorders>
              <w:top w:val="single" w:sz="5" w:space="0" w:color="000000"/>
              <w:left w:val="single" w:sz="5" w:space="0" w:color="000000"/>
              <w:bottom w:val="single" w:sz="5" w:space="0" w:color="000000"/>
              <w:right w:val="single" w:sz="5" w:space="0" w:color="000000"/>
            </w:tcBorders>
            <w:shd w:val="clear" w:color="auto" w:fill="8DB3E1"/>
          </w:tcPr>
          <w:p w14:paraId="12156A02"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z w:val="20"/>
              </w:rPr>
              <w:t>YEAR</w:t>
            </w:r>
            <w:r>
              <w:rPr>
                <w:rFonts w:ascii="Malgun Gothic"/>
                <w:b/>
                <w:spacing w:val="-11"/>
                <w:sz w:val="20"/>
              </w:rPr>
              <w:t xml:space="preserve"> </w:t>
            </w:r>
            <w:r>
              <w:rPr>
                <w:rFonts w:ascii="Malgun Gothic"/>
                <w:b/>
                <w:sz w:val="20"/>
              </w:rPr>
              <w:t>2015</w:t>
            </w:r>
          </w:p>
        </w:tc>
      </w:tr>
      <w:tr w:rsidR="00962D10" w14:paraId="351FF657" w14:textId="77777777">
        <w:trPr>
          <w:trHeight w:hRule="exact" w:val="358"/>
        </w:trPr>
        <w:tc>
          <w:tcPr>
            <w:tcW w:w="4762" w:type="dxa"/>
            <w:tcBorders>
              <w:top w:val="single" w:sz="5" w:space="0" w:color="000000"/>
              <w:left w:val="single" w:sz="5" w:space="0" w:color="000000"/>
              <w:bottom w:val="single" w:sz="5" w:space="0" w:color="000000"/>
              <w:right w:val="nil"/>
            </w:tcBorders>
            <w:shd w:val="clear" w:color="auto" w:fill="C5D9F0"/>
          </w:tcPr>
          <w:p w14:paraId="7804B259" w14:textId="77777777" w:rsidR="00962D10" w:rsidRDefault="008D75AF" w:rsidP="002E5374">
            <w:pPr>
              <w:pStyle w:val="TableParagraph"/>
              <w:spacing w:line="302" w:lineRule="exact"/>
              <w:ind w:left="2490"/>
              <w:jc w:val="both"/>
              <w:rPr>
                <w:rFonts w:ascii="Malgun Gothic" w:eastAsia="Malgun Gothic" w:hAnsi="Malgun Gothic" w:cs="Malgun Gothic"/>
                <w:sz w:val="20"/>
                <w:szCs w:val="20"/>
              </w:rPr>
            </w:pPr>
            <w:r>
              <w:rPr>
                <w:rFonts w:ascii="Malgun Gothic"/>
                <w:b/>
                <w:spacing w:val="-1"/>
                <w:sz w:val="20"/>
              </w:rPr>
              <w:t>Amount</w:t>
            </w:r>
            <w:r>
              <w:rPr>
                <w:rFonts w:ascii="Malgun Gothic"/>
                <w:b/>
                <w:spacing w:val="-10"/>
                <w:sz w:val="20"/>
              </w:rPr>
              <w:t xml:space="preserve"> </w:t>
            </w:r>
            <w:r>
              <w:rPr>
                <w:rFonts w:ascii="Malgun Gothic"/>
                <w:b/>
                <w:spacing w:val="-1"/>
                <w:sz w:val="20"/>
              </w:rPr>
              <w:t>of</w:t>
            </w:r>
            <w:r>
              <w:rPr>
                <w:rFonts w:ascii="Malgun Gothic"/>
                <w:b/>
                <w:spacing w:val="-10"/>
                <w:sz w:val="20"/>
              </w:rPr>
              <w:t xml:space="preserve"> </w:t>
            </w:r>
            <w:r>
              <w:rPr>
                <w:rFonts w:ascii="Malgun Gothic"/>
                <w:b/>
                <w:sz w:val="20"/>
              </w:rPr>
              <w:t>allowances</w:t>
            </w:r>
          </w:p>
        </w:tc>
        <w:tc>
          <w:tcPr>
            <w:tcW w:w="2416" w:type="dxa"/>
            <w:tcBorders>
              <w:top w:val="single" w:sz="5" w:space="0" w:color="000000"/>
              <w:left w:val="nil"/>
              <w:bottom w:val="single" w:sz="5" w:space="0" w:color="000000"/>
              <w:right w:val="nil"/>
            </w:tcBorders>
            <w:shd w:val="clear" w:color="auto" w:fill="C5D9F0"/>
          </w:tcPr>
          <w:p w14:paraId="673AFD16" w14:textId="77777777" w:rsidR="00962D10" w:rsidRDefault="008D75AF" w:rsidP="002E5374">
            <w:pPr>
              <w:pStyle w:val="TableParagraph"/>
              <w:tabs>
                <w:tab w:val="left" w:pos="1670"/>
              </w:tabs>
              <w:spacing w:line="302" w:lineRule="exact"/>
              <w:ind w:left="128"/>
              <w:jc w:val="both"/>
              <w:rPr>
                <w:rFonts w:ascii="Malgun Gothic" w:eastAsia="Malgun Gothic" w:hAnsi="Malgun Gothic" w:cs="Malgun Gothic"/>
                <w:sz w:val="20"/>
                <w:szCs w:val="20"/>
              </w:rPr>
            </w:pPr>
            <w:r>
              <w:rPr>
                <w:rFonts w:ascii="Malgun Gothic"/>
                <w:b/>
                <w:spacing w:val="-1"/>
                <w:w w:val="95"/>
                <w:sz w:val="20"/>
              </w:rPr>
              <w:t>Average</w:t>
            </w:r>
            <w:r>
              <w:rPr>
                <w:rFonts w:ascii="Malgun Gothic"/>
                <w:b/>
                <w:spacing w:val="-1"/>
                <w:w w:val="95"/>
                <w:sz w:val="20"/>
              </w:rPr>
              <w:tab/>
            </w:r>
            <w:r>
              <w:rPr>
                <w:rFonts w:ascii="Malgun Gothic"/>
                <w:b/>
                <w:spacing w:val="-1"/>
                <w:sz w:val="20"/>
              </w:rPr>
              <w:t>annual</w:t>
            </w:r>
          </w:p>
        </w:tc>
        <w:tc>
          <w:tcPr>
            <w:tcW w:w="2684" w:type="dxa"/>
            <w:tcBorders>
              <w:top w:val="single" w:sz="5" w:space="0" w:color="000000"/>
              <w:left w:val="nil"/>
              <w:bottom w:val="single" w:sz="5" w:space="0" w:color="000000"/>
              <w:right w:val="single" w:sz="5" w:space="0" w:color="000000"/>
            </w:tcBorders>
            <w:shd w:val="clear" w:color="auto" w:fill="C5D9F0"/>
          </w:tcPr>
          <w:p w14:paraId="5D0C1F77" w14:textId="77777777" w:rsidR="00962D10" w:rsidRDefault="008D75AF" w:rsidP="002E5374">
            <w:pPr>
              <w:pStyle w:val="TableParagraph"/>
              <w:tabs>
                <w:tab w:val="left" w:pos="1393"/>
              </w:tabs>
              <w:spacing w:line="302" w:lineRule="exact"/>
              <w:ind w:left="110"/>
              <w:jc w:val="both"/>
              <w:rPr>
                <w:rFonts w:ascii="Malgun Gothic" w:eastAsia="Malgun Gothic" w:hAnsi="Malgun Gothic" w:cs="Malgun Gothic"/>
                <w:sz w:val="20"/>
                <w:szCs w:val="20"/>
              </w:rPr>
            </w:pPr>
            <w:r>
              <w:rPr>
                <w:rFonts w:ascii="Malgun Gothic"/>
                <w:b/>
                <w:spacing w:val="-1"/>
                <w:w w:val="95"/>
                <w:sz w:val="20"/>
              </w:rPr>
              <w:t>Average</w:t>
            </w:r>
            <w:r>
              <w:rPr>
                <w:rFonts w:ascii="Malgun Gothic"/>
                <w:b/>
                <w:spacing w:val="-1"/>
                <w:w w:val="95"/>
                <w:sz w:val="20"/>
              </w:rPr>
              <w:tab/>
            </w:r>
            <w:r>
              <w:rPr>
                <w:rFonts w:ascii="Malgun Gothic"/>
                <w:b/>
                <w:sz w:val="20"/>
              </w:rPr>
              <w:t>replacement</w:t>
            </w:r>
          </w:p>
        </w:tc>
      </w:tr>
    </w:tbl>
    <w:p w14:paraId="263A46D7" w14:textId="77777777" w:rsidR="00962D10" w:rsidRDefault="00962D10" w:rsidP="002E5374">
      <w:pPr>
        <w:spacing w:before="14"/>
        <w:jc w:val="both"/>
        <w:rPr>
          <w:rFonts w:ascii="Malgun Gothic" w:eastAsia="Malgun Gothic" w:hAnsi="Malgun Gothic" w:cs="Malgun Gothic"/>
          <w:sz w:val="4"/>
          <w:szCs w:val="4"/>
        </w:rPr>
      </w:pPr>
    </w:p>
    <w:tbl>
      <w:tblPr>
        <w:tblW w:w="0" w:type="auto"/>
        <w:tblInd w:w="98" w:type="dxa"/>
        <w:tblLayout w:type="fixed"/>
        <w:tblCellMar>
          <w:left w:w="0" w:type="dxa"/>
          <w:right w:w="0" w:type="dxa"/>
        </w:tblCellMar>
        <w:tblLook w:val="01E0" w:firstRow="1" w:lastRow="1" w:firstColumn="1" w:lastColumn="1" w:noHBand="0" w:noVBand="0"/>
      </w:tblPr>
      <w:tblGrid>
        <w:gridCol w:w="2391"/>
        <w:gridCol w:w="2393"/>
        <w:gridCol w:w="2398"/>
        <w:gridCol w:w="2679"/>
      </w:tblGrid>
      <w:tr w:rsidR="00962D10" w14:paraId="539914CE" w14:textId="77777777">
        <w:trPr>
          <w:trHeight w:hRule="exact" w:val="356"/>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24BC7AC7" w14:textId="77777777" w:rsidR="00962D10" w:rsidRDefault="00962D10" w:rsidP="002E5374">
            <w:pPr>
              <w:jc w:val="both"/>
            </w:pPr>
          </w:p>
        </w:tc>
        <w:tc>
          <w:tcPr>
            <w:tcW w:w="2393" w:type="dxa"/>
            <w:tcBorders>
              <w:top w:val="single" w:sz="5" w:space="0" w:color="000000"/>
              <w:left w:val="single" w:sz="5" w:space="0" w:color="000000"/>
              <w:bottom w:val="single" w:sz="5" w:space="0" w:color="000000"/>
              <w:right w:val="single" w:sz="5" w:space="0" w:color="000000"/>
            </w:tcBorders>
            <w:shd w:val="clear" w:color="auto" w:fill="C5D9F0"/>
          </w:tcPr>
          <w:p w14:paraId="6DBEE182" w14:textId="77777777" w:rsidR="00962D10" w:rsidRDefault="00962D10" w:rsidP="002E5374">
            <w:pPr>
              <w:jc w:val="both"/>
            </w:pPr>
          </w:p>
        </w:tc>
        <w:tc>
          <w:tcPr>
            <w:tcW w:w="2398" w:type="dxa"/>
            <w:tcBorders>
              <w:top w:val="single" w:sz="5" w:space="0" w:color="000000"/>
              <w:left w:val="single" w:sz="5" w:space="0" w:color="000000"/>
              <w:bottom w:val="single" w:sz="5" w:space="0" w:color="000000"/>
              <w:right w:val="single" w:sz="5" w:space="0" w:color="000000"/>
            </w:tcBorders>
            <w:shd w:val="clear" w:color="auto" w:fill="C5D9F0"/>
          </w:tcPr>
          <w:p w14:paraId="4EDE216D"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proofErr w:type="gramStart"/>
            <w:r>
              <w:rPr>
                <w:rFonts w:ascii="Malgun Gothic"/>
                <w:b/>
                <w:spacing w:val="-1"/>
                <w:sz w:val="20"/>
              </w:rPr>
              <w:t>remuneration</w:t>
            </w:r>
            <w:proofErr w:type="gramEnd"/>
          </w:p>
        </w:tc>
        <w:tc>
          <w:tcPr>
            <w:tcW w:w="2679" w:type="dxa"/>
            <w:tcBorders>
              <w:top w:val="single" w:sz="5" w:space="0" w:color="000000"/>
              <w:left w:val="single" w:sz="5" w:space="0" w:color="000000"/>
              <w:bottom w:val="single" w:sz="5" w:space="0" w:color="000000"/>
              <w:right w:val="single" w:sz="5" w:space="0" w:color="000000"/>
            </w:tcBorders>
            <w:shd w:val="clear" w:color="auto" w:fill="C5D9F0"/>
          </w:tcPr>
          <w:p w14:paraId="3AB52D56"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proofErr w:type="gramStart"/>
            <w:r>
              <w:rPr>
                <w:rFonts w:ascii="Malgun Gothic"/>
                <w:b/>
                <w:sz w:val="20"/>
              </w:rPr>
              <w:t>rates</w:t>
            </w:r>
            <w:proofErr w:type="gramEnd"/>
          </w:p>
        </w:tc>
      </w:tr>
      <w:tr w:rsidR="00962D10" w14:paraId="36C8610A" w14:textId="77777777">
        <w:trPr>
          <w:trHeight w:hRule="exact" w:val="358"/>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32C01780"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proofErr w:type="spellStart"/>
            <w:r>
              <w:rPr>
                <w:rFonts w:ascii="Malgun Gothic"/>
                <w:b/>
                <w:spacing w:val="-1"/>
                <w:sz w:val="20"/>
              </w:rPr>
              <w:t>ASpI</w:t>
            </w:r>
            <w:proofErr w:type="spellEnd"/>
          </w:p>
        </w:tc>
        <w:tc>
          <w:tcPr>
            <w:tcW w:w="2393" w:type="dxa"/>
            <w:tcBorders>
              <w:top w:val="single" w:sz="5" w:space="0" w:color="000000"/>
              <w:left w:val="single" w:sz="5" w:space="0" w:color="000000"/>
              <w:bottom w:val="single" w:sz="5" w:space="0" w:color="000000"/>
              <w:right w:val="single" w:sz="5" w:space="0" w:color="000000"/>
            </w:tcBorders>
          </w:tcPr>
          <w:p w14:paraId="0E525C39"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€353,725</w:t>
            </w:r>
          </w:p>
        </w:tc>
        <w:tc>
          <w:tcPr>
            <w:tcW w:w="2398" w:type="dxa"/>
            <w:tcBorders>
              <w:top w:val="single" w:sz="5" w:space="0" w:color="000000"/>
              <w:left w:val="single" w:sz="5" w:space="0" w:color="000000"/>
              <w:bottom w:val="single" w:sz="5" w:space="0" w:color="000000"/>
              <w:right w:val="single" w:sz="5" w:space="0" w:color="000000"/>
            </w:tcBorders>
          </w:tcPr>
          <w:p w14:paraId="08A8BE91"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€18,975</w:t>
            </w:r>
          </w:p>
        </w:tc>
        <w:tc>
          <w:tcPr>
            <w:tcW w:w="2679" w:type="dxa"/>
            <w:tcBorders>
              <w:top w:val="single" w:sz="5" w:space="0" w:color="000000"/>
              <w:left w:val="single" w:sz="5" w:space="0" w:color="000000"/>
              <w:bottom w:val="single" w:sz="5" w:space="0" w:color="000000"/>
              <w:right w:val="single" w:sz="5" w:space="0" w:color="000000"/>
            </w:tcBorders>
          </w:tcPr>
          <w:p w14:paraId="4CA37B92"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sz w:val="20"/>
              </w:rPr>
              <w:t>65</w:t>
            </w:r>
            <w:r>
              <w:rPr>
                <w:rFonts w:ascii="Malgun Gothic"/>
                <w:spacing w:val="-4"/>
                <w:sz w:val="20"/>
              </w:rPr>
              <w:t xml:space="preserve"> </w:t>
            </w:r>
            <w:r>
              <w:rPr>
                <w:rFonts w:ascii="Malgun Gothic"/>
                <w:sz w:val="20"/>
              </w:rPr>
              <w:t>%</w:t>
            </w:r>
          </w:p>
        </w:tc>
      </w:tr>
      <w:tr w:rsidR="00962D10" w14:paraId="7B725F58" w14:textId="77777777">
        <w:trPr>
          <w:trHeight w:hRule="exact" w:val="355"/>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403F7DAC"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pacing w:val="-1"/>
                <w:sz w:val="20"/>
              </w:rPr>
              <w:t>Mini</w:t>
            </w:r>
            <w:r>
              <w:rPr>
                <w:rFonts w:ascii="Malgun Gothic"/>
                <w:b/>
                <w:spacing w:val="-8"/>
                <w:sz w:val="20"/>
              </w:rPr>
              <w:t xml:space="preserve"> </w:t>
            </w:r>
            <w:proofErr w:type="spellStart"/>
            <w:r>
              <w:rPr>
                <w:rFonts w:ascii="Malgun Gothic"/>
                <w:b/>
                <w:spacing w:val="-1"/>
                <w:sz w:val="20"/>
              </w:rPr>
              <w:t>ASpI</w:t>
            </w:r>
            <w:proofErr w:type="spellEnd"/>
          </w:p>
        </w:tc>
        <w:tc>
          <w:tcPr>
            <w:tcW w:w="2393" w:type="dxa"/>
            <w:tcBorders>
              <w:top w:val="single" w:sz="5" w:space="0" w:color="000000"/>
              <w:left w:val="single" w:sz="5" w:space="0" w:color="000000"/>
              <w:bottom w:val="single" w:sz="5" w:space="0" w:color="000000"/>
              <w:right w:val="single" w:sz="5" w:space="0" w:color="000000"/>
            </w:tcBorders>
          </w:tcPr>
          <w:p w14:paraId="5EC4FC6F"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€148,706</w:t>
            </w:r>
          </w:p>
        </w:tc>
        <w:tc>
          <w:tcPr>
            <w:tcW w:w="2398" w:type="dxa"/>
            <w:tcBorders>
              <w:top w:val="single" w:sz="5" w:space="0" w:color="000000"/>
              <w:left w:val="single" w:sz="5" w:space="0" w:color="000000"/>
              <w:bottom w:val="single" w:sz="5" w:space="0" w:color="000000"/>
              <w:right w:val="single" w:sz="5" w:space="0" w:color="000000"/>
            </w:tcBorders>
          </w:tcPr>
          <w:p w14:paraId="46151D11"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€15,696</w:t>
            </w:r>
          </w:p>
        </w:tc>
        <w:tc>
          <w:tcPr>
            <w:tcW w:w="2679" w:type="dxa"/>
            <w:tcBorders>
              <w:top w:val="single" w:sz="5" w:space="0" w:color="000000"/>
              <w:left w:val="single" w:sz="5" w:space="0" w:color="000000"/>
              <w:bottom w:val="single" w:sz="5" w:space="0" w:color="000000"/>
              <w:right w:val="single" w:sz="5" w:space="0" w:color="000000"/>
            </w:tcBorders>
          </w:tcPr>
          <w:p w14:paraId="330900D9"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sz w:val="20"/>
              </w:rPr>
              <w:t>67</w:t>
            </w:r>
            <w:r>
              <w:rPr>
                <w:rFonts w:ascii="Malgun Gothic"/>
                <w:spacing w:val="-4"/>
                <w:sz w:val="20"/>
              </w:rPr>
              <w:t xml:space="preserve"> </w:t>
            </w:r>
            <w:r>
              <w:rPr>
                <w:rFonts w:ascii="Malgun Gothic"/>
                <w:sz w:val="20"/>
              </w:rPr>
              <w:t>%</w:t>
            </w:r>
          </w:p>
        </w:tc>
      </w:tr>
      <w:tr w:rsidR="00962D10" w14:paraId="25D6FE7E" w14:textId="77777777">
        <w:trPr>
          <w:trHeight w:hRule="exact" w:val="355"/>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6DC09CFD"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proofErr w:type="spellStart"/>
            <w:r>
              <w:rPr>
                <w:rFonts w:ascii="Malgun Gothic"/>
                <w:b/>
                <w:spacing w:val="-1"/>
                <w:sz w:val="20"/>
              </w:rPr>
              <w:t>NASpI</w:t>
            </w:r>
            <w:proofErr w:type="spellEnd"/>
          </w:p>
        </w:tc>
        <w:tc>
          <w:tcPr>
            <w:tcW w:w="2393" w:type="dxa"/>
            <w:tcBorders>
              <w:top w:val="single" w:sz="5" w:space="0" w:color="000000"/>
              <w:left w:val="single" w:sz="5" w:space="0" w:color="000000"/>
              <w:bottom w:val="single" w:sz="5" w:space="0" w:color="000000"/>
              <w:right w:val="single" w:sz="5" w:space="0" w:color="000000"/>
            </w:tcBorders>
          </w:tcPr>
          <w:p w14:paraId="11539704"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€1,170,435</w:t>
            </w:r>
          </w:p>
        </w:tc>
        <w:tc>
          <w:tcPr>
            <w:tcW w:w="2398" w:type="dxa"/>
            <w:tcBorders>
              <w:top w:val="single" w:sz="5" w:space="0" w:color="000000"/>
              <w:left w:val="single" w:sz="5" w:space="0" w:color="000000"/>
              <w:bottom w:val="single" w:sz="5" w:space="0" w:color="000000"/>
              <w:right w:val="single" w:sz="5" w:space="0" w:color="000000"/>
            </w:tcBorders>
          </w:tcPr>
          <w:p w14:paraId="4ED526BB"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€17,297</w:t>
            </w:r>
          </w:p>
        </w:tc>
        <w:tc>
          <w:tcPr>
            <w:tcW w:w="2679" w:type="dxa"/>
            <w:tcBorders>
              <w:top w:val="single" w:sz="5" w:space="0" w:color="000000"/>
              <w:left w:val="single" w:sz="5" w:space="0" w:color="000000"/>
              <w:bottom w:val="single" w:sz="5" w:space="0" w:color="000000"/>
              <w:right w:val="single" w:sz="5" w:space="0" w:color="000000"/>
            </w:tcBorders>
          </w:tcPr>
          <w:p w14:paraId="623BA933"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sz w:val="20"/>
              </w:rPr>
              <w:t>65</w:t>
            </w:r>
            <w:r>
              <w:rPr>
                <w:rFonts w:ascii="Malgun Gothic"/>
                <w:spacing w:val="-4"/>
                <w:sz w:val="20"/>
              </w:rPr>
              <w:t xml:space="preserve"> </w:t>
            </w:r>
            <w:r>
              <w:rPr>
                <w:rFonts w:ascii="Malgun Gothic"/>
                <w:sz w:val="20"/>
              </w:rPr>
              <w:t>%</w:t>
            </w:r>
          </w:p>
        </w:tc>
      </w:tr>
      <w:tr w:rsidR="00962D10" w14:paraId="7CC4173B" w14:textId="77777777">
        <w:trPr>
          <w:trHeight w:hRule="exact" w:val="358"/>
        </w:trPr>
        <w:tc>
          <w:tcPr>
            <w:tcW w:w="2391" w:type="dxa"/>
            <w:tcBorders>
              <w:top w:val="single" w:sz="5" w:space="0" w:color="000000"/>
              <w:left w:val="single" w:sz="5" w:space="0" w:color="000000"/>
              <w:bottom w:val="single" w:sz="5" w:space="0" w:color="000000"/>
              <w:right w:val="single" w:sz="5" w:space="0" w:color="000000"/>
            </w:tcBorders>
            <w:shd w:val="clear" w:color="auto" w:fill="C5D9F0"/>
          </w:tcPr>
          <w:p w14:paraId="43EDF001" w14:textId="77777777" w:rsidR="00962D10" w:rsidRDefault="008D75AF" w:rsidP="002E5374">
            <w:pPr>
              <w:pStyle w:val="TableParagraph"/>
              <w:spacing w:line="302" w:lineRule="exact"/>
              <w:ind w:left="102"/>
              <w:jc w:val="both"/>
              <w:rPr>
                <w:rFonts w:ascii="Malgun Gothic" w:eastAsia="Malgun Gothic" w:hAnsi="Malgun Gothic" w:cs="Malgun Gothic"/>
                <w:sz w:val="20"/>
                <w:szCs w:val="20"/>
              </w:rPr>
            </w:pPr>
            <w:r>
              <w:rPr>
                <w:rFonts w:ascii="Malgun Gothic"/>
                <w:b/>
                <w:spacing w:val="-1"/>
                <w:sz w:val="20"/>
              </w:rPr>
              <w:t>TOTAL</w:t>
            </w:r>
          </w:p>
        </w:tc>
        <w:tc>
          <w:tcPr>
            <w:tcW w:w="2393" w:type="dxa"/>
            <w:tcBorders>
              <w:top w:val="single" w:sz="5" w:space="0" w:color="000000"/>
              <w:left w:val="single" w:sz="5" w:space="0" w:color="000000"/>
              <w:bottom w:val="single" w:sz="5" w:space="0" w:color="000000"/>
              <w:right w:val="single" w:sz="5" w:space="0" w:color="000000"/>
            </w:tcBorders>
          </w:tcPr>
          <w:p w14:paraId="1A1D341A"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z w:val="20"/>
                <w:szCs w:val="20"/>
              </w:rPr>
              <w:t>€2,197,914</w:t>
            </w:r>
          </w:p>
        </w:tc>
        <w:tc>
          <w:tcPr>
            <w:tcW w:w="2398" w:type="dxa"/>
            <w:tcBorders>
              <w:top w:val="single" w:sz="5" w:space="0" w:color="000000"/>
              <w:left w:val="single" w:sz="5" w:space="0" w:color="000000"/>
              <w:bottom w:val="single" w:sz="5" w:space="0" w:color="000000"/>
              <w:right w:val="single" w:sz="5" w:space="0" w:color="000000"/>
            </w:tcBorders>
          </w:tcPr>
          <w:p w14:paraId="6D6485D6"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eastAsia="Malgun Gothic" w:hAnsi="Malgun Gothic" w:cs="Malgun Gothic"/>
                <w:spacing w:val="-1"/>
                <w:sz w:val="20"/>
                <w:szCs w:val="20"/>
              </w:rPr>
              <w:t>€18,519</w:t>
            </w:r>
          </w:p>
        </w:tc>
        <w:tc>
          <w:tcPr>
            <w:tcW w:w="2679" w:type="dxa"/>
            <w:tcBorders>
              <w:top w:val="single" w:sz="5" w:space="0" w:color="000000"/>
              <w:left w:val="single" w:sz="5" w:space="0" w:color="000000"/>
              <w:bottom w:val="single" w:sz="5" w:space="0" w:color="000000"/>
              <w:right w:val="single" w:sz="5" w:space="0" w:color="000000"/>
            </w:tcBorders>
          </w:tcPr>
          <w:p w14:paraId="446F4C04" w14:textId="77777777" w:rsidR="00962D10" w:rsidRDefault="008D75AF" w:rsidP="002E5374">
            <w:pPr>
              <w:pStyle w:val="TableParagraph"/>
              <w:spacing w:line="302" w:lineRule="exact"/>
              <w:ind w:left="99"/>
              <w:jc w:val="both"/>
              <w:rPr>
                <w:rFonts w:ascii="Malgun Gothic" w:eastAsia="Malgun Gothic" w:hAnsi="Malgun Gothic" w:cs="Malgun Gothic"/>
                <w:sz w:val="20"/>
                <w:szCs w:val="20"/>
              </w:rPr>
            </w:pPr>
            <w:r>
              <w:rPr>
                <w:rFonts w:ascii="Malgun Gothic"/>
                <w:sz w:val="20"/>
              </w:rPr>
              <w:t>59</w:t>
            </w:r>
            <w:r>
              <w:rPr>
                <w:rFonts w:ascii="Malgun Gothic"/>
                <w:spacing w:val="-4"/>
                <w:sz w:val="20"/>
              </w:rPr>
              <w:t xml:space="preserve"> </w:t>
            </w:r>
            <w:r>
              <w:rPr>
                <w:rFonts w:ascii="Malgun Gothic"/>
                <w:sz w:val="20"/>
              </w:rPr>
              <w:t>%</w:t>
            </w:r>
          </w:p>
        </w:tc>
      </w:tr>
    </w:tbl>
    <w:p w14:paraId="09BC3437" w14:textId="77777777" w:rsidR="00962D10" w:rsidRDefault="00962D10" w:rsidP="002E5374">
      <w:pPr>
        <w:spacing w:before="9"/>
        <w:jc w:val="both"/>
        <w:rPr>
          <w:rFonts w:ascii="Malgun Gothic" w:eastAsia="Malgun Gothic" w:hAnsi="Malgun Gothic" w:cs="Malgun Gothic"/>
          <w:sz w:val="3"/>
          <w:szCs w:val="3"/>
        </w:rPr>
      </w:pPr>
    </w:p>
    <w:p w14:paraId="142BC62D" w14:textId="77777777" w:rsidR="00D74940" w:rsidRPr="00D74940" w:rsidRDefault="00D74940" w:rsidP="00D74940"/>
    <w:p w14:paraId="6E5E558E" w14:textId="77777777" w:rsidR="00962D10" w:rsidRDefault="008D75AF" w:rsidP="002E5374">
      <w:pPr>
        <w:pStyle w:val="Heading2"/>
        <w:numPr>
          <w:ilvl w:val="1"/>
          <w:numId w:val="8"/>
        </w:numPr>
        <w:tabs>
          <w:tab w:val="left" w:pos="2018"/>
        </w:tabs>
        <w:spacing w:before="51"/>
        <w:ind w:left="2017"/>
        <w:jc w:val="both"/>
        <w:rPr>
          <w:b w:val="0"/>
          <w:bCs w:val="0"/>
        </w:rPr>
      </w:pPr>
      <w:proofErr w:type="spellStart"/>
      <w:r>
        <w:t>ASDI</w:t>
      </w:r>
      <w:proofErr w:type="spellEnd"/>
    </w:p>
    <w:p w14:paraId="3405250B" w14:textId="77777777" w:rsidR="00962D10" w:rsidRPr="002E5374" w:rsidRDefault="008D75AF" w:rsidP="006767C3">
      <w:pPr>
        <w:pStyle w:val="BodyText"/>
        <w:spacing w:before="77" w:line="238" w:lineRule="auto"/>
        <w:ind w:left="0" w:right="47"/>
        <w:jc w:val="both"/>
        <w:rPr>
          <w:rFonts w:ascii="Helvetica Neue" w:eastAsiaTheme="minorEastAsia" w:hAnsi="Helvetica Neue" w:cs="Times New Roman"/>
        </w:rPr>
      </w:pPr>
      <w:proofErr w:type="gramStart"/>
      <w:r w:rsidRPr="002E5374">
        <w:rPr>
          <w:rFonts w:ascii="Helvetica Neue" w:eastAsiaTheme="minorEastAsia" w:hAnsi="Helvetica Neue" w:cs="Times New Roman"/>
        </w:rPr>
        <w:t>With effect from 1 May 2015, Title III, Art.</w:t>
      </w:r>
      <w:proofErr w:type="gramEnd"/>
      <w:r w:rsidRPr="002E5374">
        <w:rPr>
          <w:rFonts w:ascii="Helvetica Neue" w:eastAsiaTheme="minorEastAsia" w:hAnsi="Helvetica Neue" w:cs="Times New Roman"/>
        </w:rPr>
        <w:t xml:space="preserve"> 16 of Italian Legislative Decree No. 22 of 4 March 2015, establishes the Unemployment Allowance</w:t>
      </w:r>
      <w:r w:rsidR="00735B5E">
        <w:rPr>
          <w:rFonts w:ascii="Helvetica Neue" w:eastAsiaTheme="minorEastAsia" w:hAnsi="Helvetica Neue" w:cs="Times New Roman"/>
        </w:rPr>
        <w:t xml:space="preserve"> (</w:t>
      </w:r>
      <w:proofErr w:type="spellStart"/>
      <w:r w:rsidR="00735B5E" w:rsidRPr="002E5374">
        <w:rPr>
          <w:rFonts w:ascii="Helvetica Neue" w:eastAsiaTheme="minorEastAsia" w:hAnsi="Helvetica Neue" w:cs="Times New Roman"/>
        </w:rPr>
        <w:t>ASDI</w:t>
      </w:r>
      <w:proofErr w:type="spellEnd"/>
      <w:r w:rsidR="00735B5E">
        <w:rPr>
          <w:rFonts w:ascii="Helvetica Neue" w:eastAsiaTheme="minorEastAsia" w:hAnsi="Helvetica Neue" w:cs="Times New Roman"/>
        </w:rPr>
        <w:t>),</w:t>
      </w:r>
      <w:r w:rsidRPr="002E5374">
        <w:rPr>
          <w:rFonts w:ascii="Helvetica Neue" w:eastAsiaTheme="minorEastAsia" w:hAnsi="Helvetica Neue" w:cs="Times New Roman"/>
        </w:rPr>
        <w:t xml:space="preserve"> on an experimental basis for the year 2015. Its function is to provide income support protection to workers</w:t>
      </w:r>
      <w:r w:rsidR="00735B5E">
        <w:rPr>
          <w:rFonts w:ascii="Helvetica Neue" w:eastAsiaTheme="minorEastAsia" w:hAnsi="Helvetica Neue" w:cs="Times New Roman"/>
        </w:rPr>
        <w:t xml:space="preserve"> who take advantage</w:t>
      </w:r>
      <w:r w:rsidRPr="002E5374">
        <w:rPr>
          <w:rFonts w:ascii="Helvetica Neue" w:eastAsiaTheme="minorEastAsia" w:hAnsi="Helvetica Neue" w:cs="Times New Roman"/>
        </w:rPr>
        <w:t xml:space="preserve"> of the New Social Insurance</w:t>
      </w:r>
      <w:r w:rsidR="00162CF8">
        <w:rPr>
          <w:rFonts w:ascii="Helvetica Neue" w:eastAsiaTheme="minorEastAsia" w:hAnsi="Helvetica Neue" w:cs="Times New Roman"/>
        </w:rPr>
        <w:t xml:space="preserve"> benefit </w:t>
      </w:r>
      <w:r w:rsidRPr="002E5374">
        <w:rPr>
          <w:rFonts w:ascii="Helvetica Neue" w:eastAsiaTheme="minorEastAsia" w:hAnsi="Helvetica Neue" w:cs="Times New Roman"/>
        </w:rPr>
        <w:t>for Employment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who have</w:t>
      </w:r>
      <w:r w:rsidR="00162CF8">
        <w:rPr>
          <w:rFonts w:ascii="Helvetica Neue" w:eastAsiaTheme="minorEastAsia" w:hAnsi="Helvetica Neue" w:cs="Times New Roman"/>
        </w:rPr>
        <w:t xml:space="preserve"> also</w:t>
      </w:r>
      <w:r w:rsidRPr="002E5374">
        <w:rPr>
          <w:rFonts w:ascii="Helvetica Neue" w:eastAsiaTheme="minorEastAsia" w:hAnsi="Helvetica Neue" w:cs="Times New Roman"/>
        </w:rPr>
        <w:t xml:space="preserve"> benefitted from it for its entire duration until 31 December 2015, </w:t>
      </w:r>
      <w:r w:rsidR="00162CF8">
        <w:rPr>
          <w:rFonts w:ascii="Helvetica Neue" w:eastAsiaTheme="minorEastAsia" w:hAnsi="Helvetica Neue" w:cs="Times New Roman"/>
        </w:rPr>
        <w:t>both</w:t>
      </w:r>
      <w:r w:rsidR="00162CF8"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unemployed and in a state of financial need.</w:t>
      </w:r>
    </w:p>
    <w:p w14:paraId="446AE599" w14:textId="77777777" w:rsidR="00962D10" w:rsidRPr="002E5374" w:rsidRDefault="008D75AF" w:rsidP="006767C3">
      <w:pPr>
        <w:pStyle w:val="BodyText"/>
        <w:spacing w:before="140"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In the first year of implementation, actions were primarily reserved for workers belonging to </w:t>
      </w:r>
      <w:r w:rsidR="00270B37">
        <w:rPr>
          <w:rFonts w:ascii="Helvetica Neue" w:eastAsiaTheme="minorEastAsia" w:hAnsi="Helvetica Neue" w:cs="Times New Roman"/>
        </w:rPr>
        <w:t>family units</w:t>
      </w:r>
      <w:r w:rsidRPr="002E5374">
        <w:rPr>
          <w:rFonts w:ascii="Helvetica Neue" w:eastAsiaTheme="minorEastAsia" w:hAnsi="Helvetica Neue" w:cs="Times New Roman"/>
        </w:rPr>
        <w:t xml:space="preserve"> with minors and then, to workers close to retirement age.</w:t>
      </w:r>
    </w:p>
    <w:p w14:paraId="53F6E6D0" w14:textId="77777777" w:rsidR="00962D10" w:rsidRDefault="008D75AF" w:rsidP="002E5374">
      <w:pPr>
        <w:pStyle w:val="Heading4"/>
        <w:spacing w:before="84"/>
        <w:ind w:left="217"/>
        <w:jc w:val="both"/>
        <w:rPr>
          <w:b w:val="0"/>
          <w:bCs w:val="0"/>
          <w:i w:val="0"/>
        </w:rPr>
      </w:pPr>
      <w:r>
        <w:rPr>
          <w:spacing w:val="-2"/>
        </w:rPr>
        <w:t>REQUIREMENTS</w:t>
      </w:r>
    </w:p>
    <w:p w14:paraId="4201974C" w14:textId="77777777" w:rsidR="00962D10" w:rsidRPr="002E5374" w:rsidRDefault="008D75AF" w:rsidP="00706DC7">
      <w:pPr>
        <w:pStyle w:val="BodyText"/>
        <w:spacing w:before="138"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The only recipients of the </w:t>
      </w:r>
      <w:proofErr w:type="spellStart"/>
      <w:r w:rsidRPr="002E5374">
        <w:rPr>
          <w:rFonts w:ascii="Helvetica Neue" w:eastAsiaTheme="minorEastAsia" w:hAnsi="Helvetica Neue" w:cs="Times New Roman"/>
        </w:rPr>
        <w:t>ASDI</w:t>
      </w:r>
      <w:proofErr w:type="spellEnd"/>
      <w:r w:rsidRPr="002E5374">
        <w:rPr>
          <w:rFonts w:ascii="Helvetica Neue" w:eastAsiaTheme="minorEastAsia" w:hAnsi="Helvetica Neue" w:cs="Times New Roman"/>
        </w:rPr>
        <w:t xml:space="preserve"> are those </w:t>
      </w:r>
      <w:r w:rsidR="004851C2">
        <w:rPr>
          <w:rFonts w:ascii="Helvetica Neue" w:eastAsiaTheme="minorEastAsia" w:hAnsi="Helvetica Neue" w:cs="Times New Roman"/>
        </w:rPr>
        <w:t>people</w:t>
      </w:r>
      <w:r w:rsidRPr="002E5374">
        <w:rPr>
          <w:rFonts w:ascii="Helvetica Neue" w:eastAsiaTheme="minorEastAsia" w:hAnsi="Helvetica Neue" w:cs="Times New Roman"/>
        </w:rPr>
        <w:t xml:space="preserve"> who are still</w:t>
      </w:r>
      <w:r w:rsidR="00934C54">
        <w:rPr>
          <w:rFonts w:ascii="Helvetica Neue" w:eastAsiaTheme="minorEastAsia" w:hAnsi="Helvetica Neue" w:cs="Times New Roman"/>
        </w:rPr>
        <w:t xml:space="preserve"> unemployed</w:t>
      </w:r>
      <w:r w:rsidRPr="002E5374">
        <w:rPr>
          <w:rFonts w:ascii="Helvetica Neue" w:eastAsiaTheme="minorEastAsia" w:hAnsi="Helvetica Neue" w:cs="Times New Roman"/>
        </w:rPr>
        <w:t xml:space="preserve"> at the end of the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applicability period and who have:</w:t>
      </w:r>
    </w:p>
    <w:p w14:paraId="5216215D" w14:textId="77777777" w:rsidR="00962D10" w:rsidRPr="002E5374" w:rsidRDefault="008D75AF" w:rsidP="002E5374">
      <w:pPr>
        <w:pStyle w:val="BodyText"/>
        <w:numPr>
          <w:ilvl w:val="1"/>
          <w:numId w:val="6"/>
        </w:numPr>
        <w:tabs>
          <w:tab w:val="left" w:pos="938"/>
        </w:tabs>
        <w:spacing w:before="96" w:line="347" w:lineRule="exact"/>
        <w:jc w:val="both"/>
        <w:rPr>
          <w:rFonts w:ascii="Helvetica Neue" w:eastAsiaTheme="minorEastAsia" w:hAnsi="Helvetica Neue" w:cs="Times New Roman"/>
        </w:rPr>
      </w:pPr>
      <w:r w:rsidRPr="002E5374">
        <w:rPr>
          <w:rFonts w:ascii="Helvetica Neue" w:eastAsiaTheme="minorEastAsia" w:hAnsi="Helvetica Neue" w:cs="Times New Roman"/>
        </w:rPr>
        <w:t>At least one minor under 18 years of age in the</w:t>
      </w:r>
      <w:r w:rsidR="00934C54">
        <w:rPr>
          <w:rFonts w:ascii="Helvetica Neue" w:eastAsiaTheme="minorEastAsia" w:hAnsi="Helvetica Neue" w:cs="Times New Roman"/>
        </w:rPr>
        <w:t xml:space="preserve"> family unit</w:t>
      </w:r>
      <w:r w:rsidRPr="002E5374">
        <w:rPr>
          <w:rFonts w:ascii="Helvetica Neue" w:eastAsiaTheme="minorEastAsia" w:hAnsi="Helvetica Neue" w:cs="Times New Roman"/>
        </w:rPr>
        <w:t>;</w:t>
      </w:r>
    </w:p>
    <w:p w14:paraId="360AD60F" w14:textId="77777777" w:rsidR="00962D10" w:rsidRPr="002E5374" w:rsidRDefault="008D75AF" w:rsidP="002E5374">
      <w:pPr>
        <w:pStyle w:val="BodyText"/>
        <w:numPr>
          <w:ilvl w:val="1"/>
          <w:numId w:val="6"/>
        </w:numPr>
        <w:tabs>
          <w:tab w:val="left" w:pos="938"/>
        </w:tabs>
        <w:spacing w:before="21" w:line="346" w:lineRule="exact"/>
        <w:ind w:right="224"/>
        <w:jc w:val="both"/>
        <w:rPr>
          <w:rFonts w:ascii="Helvetica Neue" w:eastAsiaTheme="minorEastAsia" w:hAnsi="Helvetica Neue" w:cs="Times New Roman"/>
        </w:rPr>
      </w:pPr>
      <w:r w:rsidRPr="002E5374">
        <w:rPr>
          <w:rFonts w:ascii="Helvetica Neue" w:eastAsiaTheme="minorEastAsia" w:hAnsi="Helvetica Neue" w:cs="Times New Roman"/>
        </w:rPr>
        <w:t>An age equal to or greater than 55 years and a lack of requirements for an early old-age pension;</w:t>
      </w:r>
    </w:p>
    <w:p w14:paraId="58C2DF28" w14:textId="77777777" w:rsidR="00962D10" w:rsidRPr="002E5374" w:rsidRDefault="008D75AF" w:rsidP="002E5374">
      <w:pPr>
        <w:pStyle w:val="BodyText"/>
        <w:numPr>
          <w:ilvl w:val="1"/>
          <w:numId w:val="6"/>
        </w:numPr>
        <w:tabs>
          <w:tab w:val="left" w:pos="938"/>
        </w:tabs>
        <w:spacing w:line="325" w:lineRule="exact"/>
        <w:jc w:val="both"/>
        <w:rPr>
          <w:rFonts w:ascii="Helvetica Neue" w:eastAsiaTheme="minorEastAsia" w:hAnsi="Helvetica Neue" w:cs="Times New Roman"/>
        </w:rPr>
      </w:pPr>
      <w:r w:rsidRPr="002E5374">
        <w:rPr>
          <w:rFonts w:ascii="Helvetica Neue" w:eastAsiaTheme="minorEastAsia" w:hAnsi="Helvetica Neue" w:cs="Times New Roman"/>
        </w:rPr>
        <w:t xml:space="preserve">An </w:t>
      </w:r>
      <w:proofErr w:type="spellStart"/>
      <w:r w:rsidRPr="002E5374">
        <w:rPr>
          <w:rFonts w:ascii="Helvetica Neue" w:eastAsiaTheme="minorEastAsia" w:hAnsi="Helvetica Neue" w:cs="Times New Roman"/>
        </w:rPr>
        <w:t>ISEE</w:t>
      </w:r>
      <w:proofErr w:type="spellEnd"/>
      <w:r w:rsidRPr="002E5374">
        <w:rPr>
          <w:rFonts w:ascii="Helvetica Neue" w:eastAsiaTheme="minorEastAsia" w:hAnsi="Helvetica Neue" w:cs="Times New Roman"/>
        </w:rPr>
        <w:t xml:space="preserve"> with a value equal to or less than </w:t>
      </w:r>
      <w:proofErr w:type="spellStart"/>
      <w:r w:rsidRPr="002E5374">
        <w:rPr>
          <w:rFonts w:ascii="Helvetica Neue" w:eastAsiaTheme="minorEastAsia" w:hAnsi="Helvetica Neue" w:cs="Times New Roman"/>
        </w:rPr>
        <w:t>EUR</w:t>
      </w:r>
      <w:proofErr w:type="spellEnd"/>
      <w:r w:rsidRPr="002E5374">
        <w:rPr>
          <w:rFonts w:ascii="Helvetica Neue" w:eastAsiaTheme="minorEastAsia" w:hAnsi="Helvetica Neue" w:cs="Times New Roman"/>
        </w:rPr>
        <w:t xml:space="preserve"> 5,000.</w:t>
      </w:r>
    </w:p>
    <w:p w14:paraId="46F7D5FA" w14:textId="77777777" w:rsidR="00962D10" w:rsidRPr="002E5374" w:rsidRDefault="008D75AF" w:rsidP="00706DC7">
      <w:pPr>
        <w:pStyle w:val="BodyText"/>
        <w:spacing w:before="117"/>
        <w:ind w:left="0"/>
        <w:jc w:val="both"/>
        <w:rPr>
          <w:rFonts w:ascii="Helvetica Neue" w:eastAsiaTheme="minorEastAsia" w:hAnsi="Helvetica Neue" w:cs="Times New Roman"/>
        </w:rPr>
      </w:pPr>
      <w:r w:rsidRPr="002E5374">
        <w:rPr>
          <w:rFonts w:ascii="Helvetica Neue" w:eastAsiaTheme="minorEastAsia" w:hAnsi="Helvetica Neue" w:cs="Times New Roman"/>
        </w:rPr>
        <w:t xml:space="preserve">The </w:t>
      </w:r>
      <w:proofErr w:type="spellStart"/>
      <w:r w:rsidRPr="002E5374">
        <w:rPr>
          <w:rFonts w:ascii="Helvetica Neue" w:eastAsiaTheme="minorEastAsia" w:hAnsi="Helvetica Neue" w:cs="Times New Roman"/>
        </w:rPr>
        <w:t>ASDI</w:t>
      </w:r>
      <w:proofErr w:type="spellEnd"/>
      <w:r w:rsidRPr="002E5374">
        <w:rPr>
          <w:rFonts w:ascii="Helvetica Neue" w:eastAsiaTheme="minorEastAsia" w:hAnsi="Helvetica Neue" w:cs="Times New Roman"/>
        </w:rPr>
        <w:t xml:space="preserve"> is revoked in the cases already specified for the previous benefits and, moreover, for:</w:t>
      </w:r>
    </w:p>
    <w:p w14:paraId="2CD8A67F" w14:textId="77777777" w:rsidR="00962D10" w:rsidRPr="002E5374" w:rsidRDefault="008D75AF" w:rsidP="002E5374">
      <w:pPr>
        <w:pStyle w:val="BodyText"/>
        <w:numPr>
          <w:ilvl w:val="1"/>
          <w:numId w:val="6"/>
        </w:numPr>
        <w:tabs>
          <w:tab w:val="left" w:pos="938"/>
        </w:tabs>
        <w:spacing w:before="143" w:line="346" w:lineRule="exact"/>
        <w:ind w:right="224"/>
        <w:jc w:val="both"/>
        <w:rPr>
          <w:rFonts w:ascii="Helvetica Neue" w:eastAsiaTheme="minorEastAsia" w:hAnsi="Helvetica Neue" w:cs="Times New Roman"/>
        </w:rPr>
      </w:pPr>
      <w:proofErr w:type="gramStart"/>
      <w:r w:rsidRPr="002E5374">
        <w:rPr>
          <w:rFonts w:ascii="Helvetica Neue" w:eastAsiaTheme="minorEastAsia" w:hAnsi="Helvetica Neue" w:cs="Times New Roman"/>
        </w:rPr>
        <w:t>Exceeding  the</w:t>
      </w:r>
      <w:proofErr w:type="gramEnd"/>
      <w:r w:rsidRPr="002E5374">
        <w:rPr>
          <w:rFonts w:ascii="Helvetica Neue" w:eastAsiaTheme="minorEastAsia" w:hAnsi="Helvetica Neue" w:cs="Times New Roman"/>
        </w:rPr>
        <w:t xml:space="preserve">  maximum  </w:t>
      </w:r>
      <w:proofErr w:type="spellStart"/>
      <w:r w:rsidRPr="002E5374">
        <w:rPr>
          <w:rFonts w:ascii="Helvetica Neue" w:eastAsiaTheme="minorEastAsia" w:hAnsi="Helvetica Neue" w:cs="Times New Roman"/>
        </w:rPr>
        <w:t>ISEE</w:t>
      </w:r>
      <w:proofErr w:type="spellEnd"/>
      <w:r w:rsidRPr="002E5374">
        <w:rPr>
          <w:rFonts w:ascii="Helvetica Neue" w:eastAsiaTheme="minorEastAsia" w:hAnsi="Helvetica Neue" w:cs="Times New Roman"/>
        </w:rPr>
        <w:t xml:space="preserve">  value  threshold  as  a  result  of  the  </w:t>
      </w:r>
      <w:proofErr w:type="spellStart"/>
      <w:r w:rsidRPr="002E5374">
        <w:rPr>
          <w:rFonts w:ascii="Helvetica Neue" w:eastAsiaTheme="minorEastAsia" w:hAnsi="Helvetica Neue" w:cs="Times New Roman"/>
        </w:rPr>
        <w:t>ISEE</w:t>
      </w:r>
      <w:proofErr w:type="spellEnd"/>
      <w:r w:rsidRPr="002E5374">
        <w:rPr>
          <w:rFonts w:ascii="Helvetica Neue" w:eastAsiaTheme="minorEastAsia" w:hAnsi="Helvetica Neue" w:cs="Times New Roman"/>
        </w:rPr>
        <w:t xml:space="preserve">  recalculation  for reemployment;</w:t>
      </w:r>
    </w:p>
    <w:p w14:paraId="0E782557" w14:textId="77777777" w:rsidR="00962D10" w:rsidRPr="002E5374" w:rsidRDefault="008D75AF" w:rsidP="002E5374">
      <w:pPr>
        <w:pStyle w:val="BodyText"/>
        <w:numPr>
          <w:ilvl w:val="1"/>
          <w:numId w:val="6"/>
        </w:numPr>
        <w:tabs>
          <w:tab w:val="left" w:pos="938"/>
        </w:tabs>
        <w:spacing w:line="346" w:lineRule="exact"/>
        <w:ind w:right="223"/>
        <w:jc w:val="both"/>
        <w:rPr>
          <w:rFonts w:ascii="Helvetica Neue" w:eastAsiaTheme="minorEastAsia" w:hAnsi="Helvetica Neue" w:cs="Times New Roman"/>
        </w:rPr>
      </w:pPr>
      <w:r w:rsidRPr="002E5374">
        <w:rPr>
          <w:rFonts w:ascii="Helvetica Neue" w:eastAsiaTheme="minorEastAsia" w:hAnsi="Helvetica Neue" w:cs="Times New Roman"/>
        </w:rPr>
        <w:t xml:space="preserve">Failure to submit a new </w:t>
      </w:r>
      <w:proofErr w:type="spellStart"/>
      <w:r w:rsidRPr="002E5374">
        <w:rPr>
          <w:rFonts w:ascii="Helvetica Neue" w:eastAsiaTheme="minorEastAsia" w:hAnsi="Helvetica Neue" w:cs="Times New Roman"/>
        </w:rPr>
        <w:t>DSU</w:t>
      </w:r>
      <w:proofErr w:type="spellEnd"/>
      <w:r w:rsidRPr="002E5374">
        <w:rPr>
          <w:rFonts w:ascii="Helvetica Neue" w:eastAsiaTheme="minorEastAsia" w:hAnsi="Helvetica Neue" w:cs="Times New Roman"/>
        </w:rPr>
        <w:t xml:space="preserve">, within thirty days from the request, following the expiry of the current </w:t>
      </w:r>
      <w:proofErr w:type="spellStart"/>
      <w:r w:rsidRPr="002E5374">
        <w:rPr>
          <w:rFonts w:ascii="Helvetica Neue" w:eastAsiaTheme="minorEastAsia" w:hAnsi="Helvetica Neue" w:cs="Times New Roman"/>
        </w:rPr>
        <w:t>ISEE</w:t>
      </w:r>
      <w:proofErr w:type="spellEnd"/>
      <w:r w:rsidRPr="002E5374">
        <w:rPr>
          <w:rFonts w:ascii="Helvetica Neue" w:eastAsiaTheme="minorEastAsia" w:hAnsi="Helvetica Neue" w:cs="Times New Roman"/>
        </w:rPr>
        <w:t xml:space="preserve"> validity.</w:t>
      </w:r>
    </w:p>
    <w:p w14:paraId="323D2DDC" w14:textId="77777777" w:rsidR="00962D10" w:rsidRDefault="00962D10" w:rsidP="002E5374">
      <w:pPr>
        <w:spacing w:before="14"/>
        <w:jc w:val="both"/>
        <w:rPr>
          <w:rFonts w:ascii="Malgun Gothic" w:eastAsia="Malgun Gothic" w:hAnsi="Malgun Gothic" w:cs="Malgun Gothic"/>
          <w:sz w:val="13"/>
          <w:szCs w:val="13"/>
        </w:rPr>
      </w:pPr>
    </w:p>
    <w:p w14:paraId="70150DB0" w14:textId="77777777" w:rsidR="00962D10" w:rsidRDefault="008D75AF" w:rsidP="002E5374">
      <w:pPr>
        <w:pStyle w:val="Heading4"/>
        <w:ind w:left="217"/>
        <w:jc w:val="both"/>
        <w:rPr>
          <w:b w:val="0"/>
          <w:bCs w:val="0"/>
          <w:i w:val="0"/>
        </w:rPr>
      </w:pPr>
      <w:r>
        <w:t>EXTENT</w:t>
      </w:r>
      <w:r>
        <w:rPr>
          <w:spacing w:val="-46"/>
        </w:rPr>
        <w:t xml:space="preserve"> </w:t>
      </w:r>
      <w:r>
        <w:rPr>
          <w:spacing w:val="-2"/>
        </w:rPr>
        <w:t>OF</w:t>
      </w:r>
      <w:r>
        <w:rPr>
          <w:spacing w:val="-46"/>
        </w:rPr>
        <w:t xml:space="preserve"> </w:t>
      </w:r>
      <w:r>
        <w:rPr>
          <w:spacing w:val="-2"/>
        </w:rPr>
        <w:t>ALLOWANCE</w:t>
      </w:r>
    </w:p>
    <w:p w14:paraId="72BAFEB0" w14:textId="77777777" w:rsidR="00962D10" w:rsidRDefault="00962D10" w:rsidP="002E5374">
      <w:pPr>
        <w:spacing w:before="2"/>
        <w:jc w:val="both"/>
        <w:rPr>
          <w:rFonts w:ascii="Malgun Gothic" w:eastAsia="Malgun Gothic" w:hAnsi="Malgun Gothic" w:cs="Malgun Gothic"/>
          <w:b/>
          <w:bCs/>
          <w:i/>
          <w:sz w:val="16"/>
          <w:szCs w:val="16"/>
        </w:rPr>
      </w:pPr>
    </w:p>
    <w:p w14:paraId="0AC9998E" w14:textId="77777777" w:rsidR="00962D10" w:rsidRDefault="008D75AF" w:rsidP="00706DC7">
      <w:pPr>
        <w:pStyle w:val="BodyText"/>
        <w:spacing w:line="238" w:lineRule="auto"/>
        <w:ind w:left="0" w:right="5"/>
        <w:jc w:val="both"/>
      </w:pPr>
      <w:r w:rsidRPr="002E5374">
        <w:rPr>
          <w:rFonts w:ascii="Helvetica Neue" w:eastAsiaTheme="minorEastAsia" w:hAnsi="Helvetica Neue" w:cs="Times New Roman"/>
        </w:rPr>
        <w:t xml:space="preserve">The </w:t>
      </w:r>
      <w:proofErr w:type="spellStart"/>
      <w:r w:rsidRPr="002E5374">
        <w:rPr>
          <w:rFonts w:ascii="Helvetica Neue" w:eastAsiaTheme="minorEastAsia" w:hAnsi="Helvetica Neue" w:cs="Times New Roman"/>
        </w:rPr>
        <w:t>ASDI</w:t>
      </w:r>
      <w:proofErr w:type="spellEnd"/>
      <w:r w:rsidRPr="002E5374">
        <w:rPr>
          <w:rFonts w:ascii="Helvetica Neue" w:eastAsiaTheme="minorEastAsia" w:hAnsi="Helvetica Neue" w:cs="Times New Roman"/>
        </w:rPr>
        <w:t xml:space="preserve"> is paid monthly for a maximum duration of six months. The </w:t>
      </w:r>
      <w:proofErr w:type="spellStart"/>
      <w:r w:rsidRPr="002E5374">
        <w:rPr>
          <w:rFonts w:ascii="Helvetica Neue" w:eastAsiaTheme="minorEastAsia" w:hAnsi="Helvetica Neue" w:cs="Times New Roman"/>
        </w:rPr>
        <w:t>ASDI</w:t>
      </w:r>
      <w:proofErr w:type="spellEnd"/>
      <w:r w:rsidRPr="002E5374">
        <w:rPr>
          <w:rFonts w:ascii="Helvetica Neue" w:eastAsiaTheme="minorEastAsia" w:hAnsi="Helvetica Neue" w:cs="Times New Roman"/>
        </w:rPr>
        <w:t xml:space="preserve"> amount is 75 % of the last </w:t>
      </w:r>
      <w:proofErr w:type="spellStart"/>
      <w:r w:rsidRPr="002E5374">
        <w:rPr>
          <w:rFonts w:ascii="Helvetica Neue" w:eastAsiaTheme="minorEastAsia" w:hAnsi="Helvetica Neue" w:cs="Times New Roman"/>
        </w:rPr>
        <w:t>NASpl</w:t>
      </w:r>
      <w:proofErr w:type="spellEnd"/>
      <w:r w:rsidRPr="002E5374">
        <w:rPr>
          <w:rFonts w:ascii="Helvetica Neue" w:eastAsiaTheme="minorEastAsia" w:hAnsi="Helvetica Neue" w:cs="Times New Roman"/>
        </w:rPr>
        <w:t xml:space="preserve"> allowance received. This amount may not, in any case, exceed the</w:t>
      </w:r>
      <w:r w:rsidR="00B613E7">
        <w:rPr>
          <w:rFonts w:ascii="Helvetica Neue" w:eastAsiaTheme="minorEastAsia" w:hAnsi="Helvetica Neue" w:cs="Times New Roman"/>
        </w:rPr>
        <w:t xml:space="preserve"> amount of the social allowance</w:t>
      </w:r>
      <w:r w:rsidR="00B613E7">
        <w:rPr>
          <w:rStyle w:val="FootnoteReference"/>
          <w:rFonts w:ascii="Helvetica Neue" w:eastAsiaTheme="minorEastAsia" w:hAnsi="Helvetica Neue" w:cs="Times New Roman"/>
        </w:rPr>
        <w:footnoteReference w:id="4"/>
      </w:r>
      <w:r w:rsidRPr="002E5374">
        <w:rPr>
          <w:rFonts w:ascii="Helvetica Neue" w:eastAsiaTheme="minorEastAsia" w:hAnsi="Helvetica Neue" w:cs="Times New Roman"/>
        </w:rPr>
        <w:t xml:space="preserve"> and be lower than that of the so-called Social Card</w:t>
      </w:r>
      <w:r w:rsidR="00B613E7">
        <w:rPr>
          <w:rStyle w:val="FootnoteReference"/>
          <w:rFonts w:ascii="Helvetica Neue" w:eastAsiaTheme="minorEastAsia" w:hAnsi="Helvetica Neue" w:cs="Times New Roman"/>
        </w:rPr>
        <w:footnoteReference w:id="5"/>
      </w:r>
      <w:r>
        <w:t>.</w:t>
      </w:r>
    </w:p>
    <w:p w14:paraId="73149A8D" w14:textId="77777777" w:rsidR="00934C54" w:rsidRDefault="00934C54" w:rsidP="002E5374">
      <w:pPr>
        <w:jc w:val="both"/>
        <w:rPr>
          <w:rFonts w:ascii="Malgun Gothic" w:eastAsia="Malgun Gothic" w:hAnsi="Malgun Gothic" w:cs="Malgun Gothic"/>
          <w:sz w:val="20"/>
          <w:szCs w:val="20"/>
        </w:rPr>
      </w:pPr>
    </w:p>
    <w:p w14:paraId="7879F560" w14:textId="77777777" w:rsidR="00962D10" w:rsidRDefault="00962D10" w:rsidP="002E5374">
      <w:pPr>
        <w:spacing w:before="2"/>
        <w:jc w:val="both"/>
        <w:rPr>
          <w:rFonts w:ascii="Malgun Gothic" w:eastAsia="Malgun Gothic" w:hAnsi="Malgun Gothic" w:cs="Malgun Gothic"/>
          <w:sz w:val="16"/>
          <w:szCs w:val="16"/>
        </w:rPr>
      </w:pPr>
    </w:p>
    <w:p w14:paraId="79C76247" w14:textId="77777777" w:rsidR="00962D10" w:rsidRDefault="008D75AF" w:rsidP="002E5374">
      <w:pPr>
        <w:pStyle w:val="Heading2"/>
        <w:numPr>
          <w:ilvl w:val="1"/>
          <w:numId w:val="8"/>
        </w:numPr>
        <w:tabs>
          <w:tab w:val="left" w:pos="2018"/>
        </w:tabs>
        <w:ind w:left="2017"/>
        <w:jc w:val="both"/>
        <w:rPr>
          <w:b w:val="0"/>
          <w:bCs w:val="0"/>
        </w:rPr>
      </w:pPr>
      <w:r>
        <w:t>THE</w:t>
      </w:r>
      <w:r>
        <w:rPr>
          <w:spacing w:val="-5"/>
        </w:rPr>
        <w:t xml:space="preserve"> </w:t>
      </w:r>
      <w:r>
        <w:rPr>
          <w:spacing w:val="-1"/>
        </w:rPr>
        <w:t>DIS-</w:t>
      </w:r>
      <w:proofErr w:type="spellStart"/>
      <w:r>
        <w:rPr>
          <w:spacing w:val="-1"/>
        </w:rPr>
        <w:t>COLL</w:t>
      </w:r>
      <w:proofErr w:type="spellEnd"/>
      <w:r>
        <w:rPr>
          <w:spacing w:val="-6"/>
        </w:rPr>
        <w:t xml:space="preserve"> </w:t>
      </w:r>
      <w:r>
        <w:t>(on</w:t>
      </w:r>
      <w:r>
        <w:rPr>
          <w:spacing w:val="-5"/>
        </w:rPr>
        <w:t xml:space="preserve"> </w:t>
      </w:r>
      <w:r>
        <w:rPr>
          <w:spacing w:val="-1"/>
        </w:rPr>
        <w:t>an</w:t>
      </w:r>
      <w:r>
        <w:rPr>
          <w:spacing w:val="-6"/>
        </w:rPr>
        <w:t xml:space="preserve"> </w:t>
      </w:r>
      <w:r>
        <w:rPr>
          <w:spacing w:val="-1"/>
        </w:rPr>
        <w:t>experimental</w:t>
      </w:r>
      <w:r>
        <w:rPr>
          <w:spacing w:val="-5"/>
        </w:rPr>
        <w:t xml:space="preserve"> </w:t>
      </w:r>
      <w:r>
        <w:rPr>
          <w:spacing w:val="-1"/>
        </w:rPr>
        <w:t>basis</w:t>
      </w:r>
      <w:r>
        <w:rPr>
          <w:spacing w:val="-6"/>
        </w:rPr>
        <w:t xml:space="preserve"> </w:t>
      </w:r>
      <w:r>
        <w:rPr>
          <w:spacing w:val="-1"/>
        </w:rPr>
        <w:t>until</w:t>
      </w:r>
      <w:r>
        <w:rPr>
          <w:spacing w:val="-5"/>
        </w:rPr>
        <w:t xml:space="preserve"> </w:t>
      </w:r>
      <w:r>
        <w:rPr>
          <w:spacing w:val="-1"/>
        </w:rPr>
        <w:t>31/12/2016)</w:t>
      </w:r>
    </w:p>
    <w:p w14:paraId="7112281D" w14:textId="77777777" w:rsidR="00962D10" w:rsidRPr="002E5374" w:rsidRDefault="008D75AF" w:rsidP="00D74940">
      <w:pPr>
        <w:pStyle w:val="BodyText"/>
        <w:spacing w:before="98"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Art. 15 of Italian Legislative Decree No. 22 of 4 March 2015 on “Provisions for the </w:t>
      </w:r>
      <w:proofErr w:type="spellStart"/>
      <w:r w:rsidRPr="002E5374">
        <w:rPr>
          <w:rFonts w:ascii="Helvetica Neue" w:eastAsiaTheme="minorEastAsia" w:hAnsi="Helvetica Neue" w:cs="Times New Roman"/>
        </w:rPr>
        <w:t>reorganisation</w:t>
      </w:r>
      <w:proofErr w:type="spellEnd"/>
      <w:r w:rsidRPr="002E5374">
        <w:rPr>
          <w:rFonts w:ascii="Helvetica Neue" w:eastAsiaTheme="minorEastAsia" w:hAnsi="Helvetica Neue" w:cs="Times New Roman"/>
        </w:rPr>
        <w:t xml:space="preserve"> of legislation on social safety nets in the case of involuntary unemployment and the outplacement of</w:t>
      </w:r>
      <w:r w:rsidR="00B613E7">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unemployed workers, </w:t>
      </w:r>
      <w:r w:rsidRPr="002E5374">
        <w:rPr>
          <w:rFonts w:ascii="Helvetica Neue" w:eastAsiaTheme="minorEastAsia" w:hAnsi="Helvetica Neue" w:cs="Times New Roman"/>
        </w:rPr>
        <w:lastRenderedPageBreak/>
        <w:t>in implementation of Italian Law No. 183 of 10 December 2014" establishes, in</w:t>
      </w:r>
      <w:r w:rsidR="00D74940">
        <w:rPr>
          <w:rFonts w:ascii="Helvetica Neue" w:eastAsiaTheme="minorEastAsia" w:hAnsi="Helvetica Neue" w:cs="Times New Roman"/>
        </w:rPr>
        <w:t xml:space="preserve"> </w:t>
      </w:r>
      <w:r w:rsidRPr="002E5374">
        <w:rPr>
          <w:rFonts w:ascii="Helvetica Neue" w:eastAsiaTheme="minorEastAsia" w:hAnsi="Helvetica Neue" w:cs="Times New Roman"/>
        </w:rPr>
        <w:t xml:space="preserve">relation to unemployment </w:t>
      </w:r>
      <w:r w:rsidR="00122BDF">
        <w:rPr>
          <w:rFonts w:ascii="Helvetica Neue" w:eastAsiaTheme="minorEastAsia" w:hAnsi="Helvetica Neue" w:cs="Times New Roman"/>
        </w:rPr>
        <w:t xml:space="preserve">events </w:t>
      </w:r>
      <w:proofErr w:type="gramStart"/>
      <w:r w:rsidR="00122BDF">
        <w:rPr>
          <w:rFonts w:ascii="Helvetica Neue" w:eastAsiaTheme="minorEastAsia" w:hAnsi="Helvetica Neue" w:cs="Times New Roman"/>
        </w:rPr>
        <w:t xml:space="preserve">happened </w:t>
      </w:r>
      <w:r w:rsidRPr="002E5374">
        <w:rPr>
          <w:rFonts w:ascii="Helvetica Neue" w:eastAsiaTheme="minorEastAsia" w:hAnsi="Helvetica Neue" w:cs="Times New Roman"/>
        </w:rPr>
        <w:t xml:space="preserve"> in</w:t>
      </w:r>
      <w:proofErr w:type="gramEnd"/>
      <w:r w:rsidRPr="002E5374">
        <w:rPr>
          <w:rFonts w:ascii="Helvetica Neue" w:eastAsiaTheme="minorEastAsia" w:hAnsi="Helvetica Neue" w:cs="Times New Roman"/>
        </w:rPr>
        <w:t xml:space="preserve"> the calendar year 2015, a monthly unemployment </w:t>
      </w:r>
      <w:r w:rsidR="00122BDF">
        <w:rPr>
          <w:rFonts w:ascii="Helvetica Neue" w:eastAsiaTheme="minorEastAsia" w:hAnsi="Helvetica Neue" w:cs="Times New Roman"/>
        </w:rPr>
        <w:t xml:space="preserve">benefit </w:t>
      </w:r>
      <w:r w:rsidRPr="002E5374">
        <w:rPr>
          <w:rFonts w:ascii="Helvetica Neue" w:eastAsiaTheme="minorEastAsia" w:hAnsi="Helvetica Neue" w:cs="Times New Roman"/>
        </w:rPr>
        <w:t xml:space="preserve"> called DIS-</w:t>
      </w:r>
      <w:proofErr w:type="spellStart"/>
      <w:r w:rsidRPr="002E5374">
        <w:rPr>
          <w:rFonts w:ascii="Helvetica Neue" w:eastAsiaTheme="minorEastAsia" w:hAnsi="Helvetica Neue" w:cs="Times New Roman"/>
        </w:rPr>
        <w:t>COLL</w:t>
      </w:r>
      <w:proofErr w:type="spellEnd"/>
      <w:r w:rsidRPr="002E5374">
        <w:rPr>
          <w:rFonts w:ascii="Helvetica Neue" w:eastAsiaTheme="minorEastAsia" w:hAnsi="Helvetica Neue" w:cs="Times New Roman"/>
        </w:rPr>
        <w:t xml:space="preserve"> for </w:t>
      </w:r>
      <w:r w:rsidR="00122BDF">
        <w:rPr>
          <w:rFonts w:ascii="Helvetica Neue" w:eastAsiaTheme="minorEastAsia" w:hAnsi="Helvetica Neue" w:cs="Times New Roman"/>
        </w:rPr>
        <w:t xml:space="preserve">coordinated and continuative coworkers, and also independent contractors, </w:t>
      </w:r>
      <w:r w:rsidRPr="002E5374">
        <w:rPr>
          <w:rFonts w:ascii="Helvetica Neue" w:eastAsiaTheme="minorEastAsia" w:hAnsi="Helvetica Neue" w:cs="Times New Roman"/>
        </w:rPr>
        <w:t xml:space="preserve"> with the exception of </w:t>
      </w:r>
      <w:r w:rsidR="00122BDF">
        <w:rPr>
          <w:rFonts w:ascii="Helvetica Neue" w:eastAsiaTheme="minorEastAsia" w:hAnsi="Helvetica Neue" w:cs="Times New Roman"/>
        </w:rPr>
        <w:t xml:space="preserve">administrators </w:t>
      </w:r>
      <w:r w:rsidRPr="002E5374">
        <w:rPr>
          <w:rFonts w:ascii="Helvetica Neue" w:eastAsiaTheme="minorEastAsia" w:hAnsi="Helvetica Neue" w:cs="Times New Roman"/>
        </w:rPr>
        <w:t xml:space="preserve"> and </w:t>
      </w:r>
      <w:r w:rsidR="00122BDF">
        <w:rPr>
          <w:rFonts w:ascii="Helvetica Neue" w:eastAsiaTheme="minorEastAsia" w:hAnsi="Helvetica Neue" w:cs="Times New Roman"/>
        </w:rPr>
        <w:t xml:space="preserve">statutory </w:t>
      </w:r>
      <w:r w:rsidRPr="002E5374">
        <w:rPr>
          <w:rFonts w:ascii="Helvetica Neue" w:eastAsiaTheme="minorEastAsia" w:hAnsi="Helvetica Neue" w:cs="Times New Roman"/>
        </w:rPr>
        <w:t>auditors registered exclusively under separate management, non-pensioners and VAT exempt, who have involuntarily lost their employment in the period between 1 January and 31 December 2016, are registered exclusively under separate management and jointly meet the following requirements:</w:t>
      </w:r>
    </w:p>
    <w:p w14:paraId="6099D725" w14:textId="77777777" w:rsidR="00962D10" w:rsidRPr="002E5374" w:rsidRDefault="008D75AF" w:rsidP="00706DC7">
      <w:pPr>
        <w:pStyle w:val="BodyText"/>
        <w:numPr>
          <w:ilvl w:val="1"/>
          <w:numId w:val="5"/>
        </w:numPr>
        <w:tabs>
          <w:tab w:val="left" w:pos="838"/>
        </w:tabs>
        <w:spacing w:before="140" w:line="346" w:lineRule="exact"/>
        <w:ind w:right="47"/>
        <w:jc w:val="both"/>
        <w:rPr>
          <w:rFonts w:ascii="Helvetica Neue" w:eastAsiaTheme="minorEastAsia" w:hAnsi="Helvetica Neue" w:cs="Times New Roman"/>
        </w:rPr>
      </w:pPr>
      <w:r w:rsidRPr="002E5374">
        <w:rPr>
          <w:rFonts w:ascii="Helvetica Neue" w:eastAsiaTheme="minorEastAsia" w:hAnsi="Helvetica Neue" w:cs="Times New Roman"/>
        </w:rPr>
        <w:t>They are unemployed at the time of submitting the benefit application pursuant to Art.19 of Italian Legislative Decree No. 150 of 2015;</w:t>
      </w:r>
    </w:p>
    <w:p w14:paraId="08DF94F7" w14:textId="77777777" w:rsidR="00962D10" w:rsidRPr="002E5374" w:rsidRDefault="008D75AF" w:rsidP="00706DC7">
      <w:pPr>
        <w:pStyle w:val="BodyText"/>
        <w:numPr>
          <w:ilvl w:val="1"/>
          <w:numId w:val="5"/>
        </w:numPr>
        <w:tabs>
          <w:tab w:val="left" w:pos="838"/>
        </w:tabs>
        <w:spacing w:before="96"/>
        <w:ind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They have paid at least three months of contributions in the period between 1 January of the calendar year preceding the state of unemployment and the </w:t>
      </w:r>
      <w:r w:rsidR="00E23C6A">
        <w:rPr>
          <w:rFonts w:ascii="Helvetica Neue" w:eastAsiaTheme="minorEastAsia" w:hAnsi="Helvetica Neue" w:cs="Times New Roman"/>
        </w:rPr>
        <w:t xml:space="preserve">event that caused this </w:t>
      </w:r>
      <w:proofErr w:type="gramStart"/>
      <w:r w:rsidR="00E23C6A">
        <w:rPr>
          <w:rFonts w:ascii="Helvetica Neue" w:eastAsiaTheme="minorEastAsia" w:hAnsi="Helvetica Neue" w:cs="Times New Roman"/>
        </w:rPr>
        <w:t xml:space="preserve">state </w:t>
      </w:r>
      <w:r w:rsidRPr="002E5374">
        <w:rPr>
          <w:rFonts w:ascii="Helvetica Neue" w:eastAsiaTheme="minorEastAsia" w:hAnsi="Helvetica Neue" w:cs="Times New Roman"/>
        </w:rPr>
        <w:t>;</w:t>
      </w:r>
      <w:proofErr w:type="gramEnd"/>
    </w:p>
    <w:p w14:paraId="04627823" w14:textId="77777777" w:rsidR="00962D10" w:rsidRPr="002E5374" w:rsidRDefault="003938A8" w:rsidP="00706DC7">
      <w:pPr>
        <w:pStyle w:val="BodyText"/>
        <w:numPr>
          <w:ilvl w:val="1"/>
          <w:numId w:val="5"/>
        </w:numPr>
        <w:tabs>
          <w:tab w:val="left" w:pos="838"/>
        </w:tabs>
        <w:spacing w:before="119" w:line="238" w:lineRule="auto"/>
        <w:ind w:right="47"/>
        <w:jc w:val="both"/>
        <w:rPr>
          <w:rFonts w:ascii="Helvetica Neue" w:eastAsiaTheme="minorEastAsia" w:hAnsi="Helvetica Neue" w:cs="Times New Roman"/>
        </w:rPr>
      </w:pPr>
      <w:r>
        <w:rPr>
          <w:rFonts w:ascii="Helvetica Neue" w:eastAsiaTheme="minorEastAsia" w:hAnsi="Helvetica Neue" w:cs="Times New Roman"/>
        </w:rPr>
        <w:t>They can assert, i</w:t>
      </w:r>
      <w:r w:rsidR="008D75AF" w:rsidRPr="002E5374">
        <w:rPr>
          <w:rFonts w:ascii="Helvetica Neue" w:eastAsiaTheme="minorEastAsia" w:hAnsi="Helvetica Neue" w:cs="Times New Roman"/>
        </w:rPr>
        <w:t xml:space="preserve">n the calendar year in which the termination of the </w:t>
      </w:r>
      <w:r>
        <w:rPr>
          <w:rFonts w:ascii="Helvetica Neue" w:eastAsiaTheme="minorEastAsia" w:hAnsi="Helvetica Neue" w:cs="Times New Roman"/>
        </w:rPr>
        <w:t>collaboration</w:t>
      </w:r>
      <w:r w:rsidR="007A2FB4">
        <w:rPr>
          <w:rFonts w:ascii="Helvetica Neue" w:eastAsiaTheme="minorEastAsia" w:hAnsi="Helvetica Neue" w:cs="Times New Roman"/>
        </w:rPr>
        <w:t xml:space="preserve"> relationship</w:t>
      </w:r>
      <w:r w:rsidR="008D75AF" w:rsidRPr="002E5374">
        <w:rPr>
          <w:rFonts w:ascii="Helvetica Neue" w:eastAsiaTheme="minorEastAsia" w:hAnsi="Helvetica Neue" w:cs="Times New Roman"/>
        </w:rPr>
        <w:t>,</w:t>
      </w:r>
      <w:r>
        <w:rPr>
          <w:rFonts w:ascii="Helvetica Neue" w:eastAsiaTheme="minorEastAsia" w:hAnsi="Helvetica Neue" w:cs="Times New Roman"/>
        </w:rPr>
        <w:t xml:space="preserve"> that </w:t>
      </w:r>
      <w:r w:rsidR="008D75AF" w:rsidRPr="002E5374">
        <w:rPr>
          <w:rFonts w:ascii="Helvetica Neue" w:eastAsiaTheme="minorEastAsia" w:hAnsi="Helvetica Neue" w:cs="Times New Roman"/>
        </w:rPr>
        <w:t>they have paid one month of contribution or, alternatively, a</w:t>
      </w:r>
      <w:r>
        <w:rPr>
          <w:rFonts w:ascii="Helvetica Neue" w:eastAsiaTheme="minorEastAsia" w:hAnsi="Helvetica Neue" w:cs="Times New Roman"/>
        </w:rPr>
        <w:t xml:space="preserve"> coordinated and continuative</w:t>
      </w:r>
      <w:r w:rsidR="008D75AF" w:rsidRPr="002E5374">
        <w:rPr>
          <w:rFonts w:ascii="Helvetica Neue" w:eastAsiaTheme="minorEastAsia" w:hAnsi="Helvetica Neue" w:cs="Times New Roman"/>
        </w:rPr>
        <w:t xml:space="preserve"> contract with a duration of at least one month and which yielded an income that is at least equal to one-half of the amount that entitles </w:t>
      </w:r>
      <w:r>
        <w:rPr>
          <w:rFonts w:ascii="Helvetica Neue" w:eastAsiaTheme="minorEastAsia" w:hAnsi="Helvetica Neue" w:cs="Times New Roman"/>
        </w:rPr>
        <w:t xml:space="preserve">to </w:t>
      </w:r>
      <w:r w:rsidR="008D75AF" w:rsidRPr="002E5374">
        <w:rPr>
          <w:rFonts w:ascii="Helvetica Neue" w:eastAsiaTheme="minorEastAsia" w:hAnsi="Helvetica Neue" w:cs="Times New Roman"/>
        </w:rPr>
        <w:t>the crediting of one month of contributions.</w:t>
      </w:r>
    </w:p>
    <w:p w14:paraId="50A7973A" w14:textId="77777777" w:rsidR="00962D10" w:rsidRPr="002E5374" w:rsidRDefault="008D75AF" w:rsidP="005657BC">
      <w:pPr>
        <w:pStyle w:val="BodyText"/>
        <w:spacing w:before="117"/>
        <w:ind w:left="0"/>
        <w:jc w:val="both"/>
        <w:rPr>
          <w:rFonts w:ascii="Helvetica Neue" w:eastAsiaTheme="minorEastAsia" w:hAnsi="Helvetica Neue" w:cs="Times New Roman"/>
        </w:rPr>
      </w:pPr>
      <w:r w:rsidRPr="002E5374">
        <w:rPr>
          <w:rFonts w:ascii="Helvetica Neue" w:eastAsiaTheme="minorEastAsia" w:hAnsi="Helvetica Neue" w:cs="Times New Roman"/>
        </w:rPr>
        <w:t>The extent of the benefit is equal to:</w:t>
      </w:r>
    </w:p>
    <w:p w14:paraId="486174F8" w14:textId="77777777" w:rsidR="00962D10" w:rsidRPr="002E5374" w:rsidRDefault="007A2FB4" w:rsidP="005657BC">
      <w:pPr>
        <w:pStyle w:val="BodyText"/>
        <w:numPr>
          <w:ilvl w:val="0"/>
          <w:numId w:val="4"/>
        </w:numPr>
        <w:tabs>
          <w:tab w:val="left" w:pos="838"/>
        </w:tabs>
        <w:spacing w:before="140" w:line="346" w:lineRule="exact"/>
        <w:ind w:right="19"/>
        <w:jc w:val="both"/>
        <w:rPr>
          <w:rFonts w:ascii="Helvetica Neue" w:eastAsiaTheme="minorEastAsia" w:hAnsi="Helvetica Neue" w:cs="Times New Roman"/>
        </w:rPr>
      </w:pPr>
      <w:r>
        <w:rPr>
          <w:rFonts w:ascii="Helvetica Neue" w:eastAsiaTheme="minorEastAsia" w:hAnsi="Helvetica Neue" w:cs="Times New Roman"/>
        </w:rPr>
        <w:t>75</w:t>
      </w:r>
      <w:r w:rsidR="008D75AF" w:rsidRPr="002E5374">
        <w:rPr>
          <w:rFonts w:ascii="Helvetica Neue" w:eastAsiaTheme="minorEastAsia" w:hAnsi="Helvetica Neue" w:cs="Times New Roman"/>
        </w:rPr>
        <w:t xml:space="preserve">% of the average monthly income, as determined above, in the case where the income is lower - for the year 2015 - than the amount of </w:t>
      </w:r>
      <w:proofErr w:type="spellStart"/>
      <w:r w:rsidR="008D75AF" w:rsidRPr="002E5374">
        <w:rPr>
          <w:rFonts w:ascii="Helvetica Neue" w:eastAsiaTheme="minorEastAsia" w:hAnsi="Helvetica Neue" w:cs="Times New Roman"/>
        </w:rPr>
        <w:t>EUR</w:t>
      </w:r>
      <w:proofErr w:type="spellEnd"/>
      <w:r w:rsidR="008D75AF" w:rsidRPr="002E5374">
        <w:rPr>
          <w:rFonts w:ascii="Helvetica Neue" w:eastAsiaTheme="minorEastAsia" w:hAnsi="Helvetica Neue" w:cs="Times New Roman"/>
        </w:rPr>
        <w:t xml:space="preserve"> 1,195, reassessed annually on the basis of variations in the </w:t>
      </w:r>
      <w:proofErr w:type="spellStart"/>
      <w:r w:rsidR="008D75AF" w:rsidRPr="002E5374">
        <w:rPr>
          <w:rFonts w:ascii="Helvetica Neue" w:eastAsiaTheme="minorEastAsia" w:hAnsi="Helvetica Neue" w:cs="Times New Roman"/>
        </w:rPr>
        <w:t>ISTAT</w:t>
      </w:r>
      <w:proofErr w:type="spellEnd"/>
      <w:r w:rsidR="008D75AF" w:rsidRPr="002E5374">
        <w:rPr>
          <w:rFonts w:ascii="Helvetica Neue" w:eastAsiaTheme="minorEastAsia" w:hAnsi="Helvetica Neue" w:cs="Times New Roman"/>
        </w:rPr>
        <w:t xml:space="preserve"> consumer price index for the families of </w:t>
      </w:r>
      <w:r w:rsidR="003938A8">
        <w:rPr>
          <w:rFonts w:ascii="Helvetica Neue" w:eastAsiaTheme="minorEastAsia" w:hAnsi="Helvetica Neue" w:cs="Times New Roman"/>
        </w:rPr>
        <w:t>workmen</w:t>
      </w:r>
      <w:r w:rsidR="008D75AF" w:rsidRPr="002E5374">
        <w:rPr>
          <w:rFonts w:ascii="Helvetica Neue" w:eastAsiaTheme="minorEastAsia" w:hAnsi="Helvetica Neue" w:cs="Times New Roman"/>
        </w:rPr>
        <w:t xml:space="preserve"> and employees referred to in the previous year;</w:t>
      </w:r>
    </w:p>
    <w:p w14:paraId="5DD13352" w14:textId="77777777" w:rsidR="00962D10" w:rsidRPr="007A2FB4" w:rsidRDefault="007A2FB4" w:rsidP="007A2FB4">
      <w:pPr>
        <w:pStyle w:val="BodyText"/>
        <w:numPr>
          <w:ilvl w:val="0"/>
          <w:numId w:val="4"/>
        </w:numPr>
        <w:tabs>
          <w:tab w:val="left" w:pos="838"/>
        </w:tabs>
        <w:spacing w:line="325" w:lineRule="exact"/>
        <w:ind w:right="19"/>
        <w:jc w:val="both"/>
        <w:rPr>
          <w:rFonts w:ascii="Helvetica Neue" w:eastAsiaTheme="minorEastAsia" w:hAnsi="Helvetica Neue" w:cs="Times New Roman"/>
        </w:rPr>
      </w:pPr>
      <w:r>
        <w:rPr>
          <w:rFonts w:ascii="Helvetica Neue" w:eastAsiaTheme="minorEastAsia" w:hAnsi="Helvetica Neue" w:cs="Times New Roman"/>
        </w:rPr>
        <w:t>75</w:t>
      </w:r>
      <w:r w:rsidR="008D75AF" w:rsidRPr="002E5374">
        <w:rPr>
          <w:rFonts w:ascii="Helvetica Neue" w:eastAsiaTheme="minorEastAsia" w:hAnsi="Helvetica Neue" w:cs="Times New Roman"/>
        </w:rPr>
        <w:t xml:space="preserve">% of the set amount – </w:t>
      </w:r>
      <w:proofErr w:type="spellStart"/>
      <w:r w:rsidR="008D75AF" w:rsidRPr="002E5374">
        <w:rPr>
          <w:rFonts w:ascii="Helvetica Neue" w:eastAsiaTheme="minorEastAsia" w:hAnsi="Helvetica Neue" w:cs="Times New Roman"/>
        </w:rPr>
        <w:t>EUR</w:t>
      </w:r>
      <w:proofErr w:type="spellEnd"/>
      <w:r w:rsidR="008D75AF" w:rsidRPr="002E5374">
        <w:rPr>
          <w:rFonts w:ascii="Helvetica Neue" w:eastAsiaTheme="minorEastAsia" w:hAnsi="Helvetica Neue" w:cs="Times New Roman"/>
        </w:rPr>
        <w:t xml:space="preserve"> 1,195 for 2015, reassessed annually - increased by a sum</w:t>
      </w:r>
      <w:r>
        <w:rPr>
          <w:rFonts w:ascii="Helvetica Neue" w:eastAsiaTheme="minorEastAsia" w:hAnsi="Helvetica Neue" w:cs="Times New Roman"/>
        </w:rPr>
        <w:t xml:space="preserve"> </w:t>
      </w:r>
      <w:r w:rsidR="008D75AF" w:rsidRPr="007A2FB4">
        <w:rPr>
          <w:rFonts w:ascii="Helvetica Neue" w:eastAsiaTheme="minorEastAsia" w:hAnsi="Helvetica Neue" w:cs="Times New Roman"/>
        </w:rPr>
        <w:t xml:space="preserve">amounting to 25 % of the difference between the average monthly income and </w:t>
      </w:r>
      <w:proofErr w:type="spellStart"/>
      <w:r w:rsidR="008D75AF" w:rsidRPr="007A2FB4">
        <w:rPr>
          <w:rFonts w:ascii="Helvetica Neue" w:eastAsiaTheme="minorEastAsia" w:hAnsi="Helvetica Neue" w:cs="Times New Roman"/>
        </w:rPr>
        <w:t>EUR</w:t>
      </w:r>
      <w:proofErr w:type="spellEnd"/>
      <w:r w:rsidR="008D75AF" w:rsidRPr="007A2FB4">
        <w:rPr>
          <w:rFonts w:ascii="Helvetica Neue" w:eastAsiaTheme="minorEastAsia" w:hAnsi="Helvetica Neue" w:cs="Times New Roman"/>
        </w:rPr>
        <w:t xml:space="preserve"> 1,195, if the average monthly income that constitutes the DIS-</w:t>
      </w:r>
      <w:proofErr w:type="spellStart"/>
      <w:r w:rsidR="008D75AF" w:rsidRPr="007A2FB4">
        <w:rPr>
          <w:rFonts w:ascii="Helvetica Neue" w:eastAsiaTheme="minorEastAsia" w:hAnsi="Helvetica Neue" w:cs="Times New Roman"/>
        </w:rPr>
        <w:t>COLL’s</w:t>
      </w:r>
      <w:proofErr w:type="spellEnd"/>
      <w:r w:rsidR="008D75AF" w:rsidRPr="007A2FB4">
        <w:rPr>
          <w:rFonts w:ascii="Helvetica Neue" w:eastAsiaTheme="minorEastAsia" w:hAnsi="Helvetica Neue" w:cs="Times New Roman"/>
        </w:rPr>
        <w:t xml:space="preserve"> basis of calculation is higher than the aforementioned amount.</w:t>
      </w:r>
    </w:p>
    <w:p w14:paraId="3DAAB9D7" w14:textId="77777777" w:rsidR="00962D10" w:rsidRPr="002E5374" w:rsidRDefault="008D75AF" w:rsidP="005657BC">
      <w:pPr>
        <w:pStyle w:val="BodyText"/>
        <w:spacing w:before="119" w:line="346" w:lineRule="exact"/>
        <w:ind w:left="0" w:right="33"/>
        <w:jc w:val="both"/>
        <w:rPr>
          <w:rFonts w:ascii="Helvetica Neue" w:eastAsiaTheme="minorEastAsia" w:hAnsi="Helvetica Neue" w:cs="Times New Roman"/>
        </w:rPr>
      </w:pPr>
      <w:r w:rsidRPr="002E5374">
        <w:rPr>
          <w:rFonts w:ascii="Helvetica Neue" w:eastAsiaTheme="minorEastAsia" w:hAnsi="Helvetica Neue" w:cs="Times New Roman"/>
        </w:rPr>
        <w:t xml:space="preserve">In any case, the allowance amount may not exceed the monthly maximum limit of </w:t>
      </w:r>
      <w:proofErr w:type="spellStart"/>
      <w:r w:rsidRPr="002E5374">
        <w:rPr>
          <w:rFonts w:ascii="Helvetica Neue" w:eastAsiaTheme="minorEastAsia" w:hAnsi="Helvetica Neue" w:cs="Times New Roman"/>
        </w:rPr>
        <w:t>EUR</w:t>
      </w:r>
      <w:proofErr w:type="spellEnd"/>
      <w:r w:rsidRPr="002E5374">
        <w:rPr>
          <w:rFonts w:ascii="Helvetica Neue" w:eastAsiaTheme="minorEastAsia" w:hAnsi="Helvetica Neue" w:cs="Times New Roman"/>
        </w:rPr>
        <w:t xml:space="preserve"> 1,300 for the year 2015, reassessed annually.</w:t>
      </w:r>
    </w:p>
    <w:p w14:paraId="59A839E8" w14:textId="77777777" w:rsidR="00962D10" w:rsidRPr="002E5374" w:rsidRDefault="008D75AF" w:rsidP="005657BC">
      <w:pPr>
        <w:pStyle w:val="BodyText"/>
        <w:spacing w:before="119" w:line="346" w:lineRule="exact"/>
        <w:ind w:left="0" w:right="33"/>
        <w:jc w:val="both"/>
        <w:rPr>
          <w:rFonts w:ascii="Helvetica Neue" w:eastAsiaTheme="minorEastAsia" w:hAnsi="Helvetica Neue" w:cs="Times New Roman"/>
        </w:rPr>
      </w:pPr>
      <w:r w:rsidRPr="002E5374">
        <w:rPr>
          <w:rFonts w:ascii="Helvetica Neue" w:eastAsiaTheme="minorEastAsia" w:hAnsi="Helvetica Neue" w:cs="Times New Roman"/>
        </w:rPr>
        <w:t>Starting from the fourth month of receipt (91st day), the DIS-</w:t>
      </w:r>
      <w:proofErr w:type="spellStart"/>
      <w:r w:rsidRPr="002E5374">
        <w:rPr>
          <w:rFonts w:ascii="Helvetica Neue" w:eastAsiaTheme="minorEastAsia" w:hAnsi="Helvetica Neue" w:cs="Times New Roman"/>
        </w:rPr>
        <w:t>COLL</w:t>
      </w:r>
      <w:proofErr w:type="spellEnd"/>
      <w:r w:rsidRPr="002E5374">
        <w:rPr>
          <w:rFonts w:ascii="Helvetica Neue" w:eastAsiaTheme="minorEastAsia" w:hAnsi="Helvetica Neue" w:cs="Times New Roman"/>
        </w:rPr>
        <w:t xml:space="preserve"> allowance is reduced by an amount equivalent to 3 %.</w:t>
      </w:r>
    </w:p>
    <w:p w14:paraId="25C25A17" w14:textId="77777777" w:rsidR="00962D10" w:rsidRPr="002E5374" w:rsidRDefault="008D75AF" w:rsidP="005657BC">
      <w:pPr>
        <w:pStyle w:val="BodyText"/>
        <w:spacing w:before="96"/>
        <w:ind w:left="0" w:right="33"/>
        <w:jc w:val="both"/>
        <w:rPr>
          <w:rFonts w:ascii="Helvetica Neue" w:eastAsiaTheme="minorEastAsia" w:hAnsi="Helvetica Neue" w:cs="Times New Roman"/>
        </w:rPr>
      </w:pPr>
      <w:r w:rsidRPr="002E5374">
        <w:rPr>
          <w:rFonts w:ascii="Helvetica Neue" w:eastAsiaTheme="minorEastAsia" w:hAnsi="Helvetica Neue" w:cs="Times New Roman"/>
        </w:rPr>
        <w:t>The following are not entitled to the DIS-</w:t>
      </w:r>
      <w:proofErr w:type="spellStart"/>
      <w:r w:rsidRPr="002E5374">
        <w:rPr>
          <w:rFonts w:ascii="Helvetica Neue" w:eastAsiaTheme="minorEastAsia" w:hAnsi="Helvetica Neue" w:cs="Times New Roman"/>
        </w:rPr>
        <w:t>COLL</w:t>
      </w:r>
      <w:proofErr w:type="spellEnd"/>
      <w:r w:rsidRPr="002E5374">
        <w:rPr>
          <w:rFonts w:ascii="Helvetica Neue" w:eastAsiaTheme="minorEastAsia" w:hAnsi="Helvetica Neue" w:cs="Times New Roman"/>
        </w:rPr>
        <w:t xml:space="preserve"> unemployment</w:t>
      </w:r>
      <w:r w:rsidR="001375C6">
        <w:rPr>
          <w:rFonts w:ascii="Helvetica Neue" w:eastAsiaTheme="minorEastAsia" w:hAnsi="Helvetica Neue" w:cs="Times New Roman"/>
        </w:rPr>
        <w:t xml:space="preserve"> benefit</w:t>
      </w:r>
      <w:r w:rsidRPr="002E5374">
        <w:rPr>
          <w:rFonts w:ascii="Helvetica Neue" w:eastAsiaTheme="minorEastAsia" w:hAnsi="Helvetica Neue" w:cs="Times New Roman"/>
        </w:rPr>
        <w:t>:</w:t>
      </w:r>
    </w:p>
    <w:p w14:paraId="2C06F1E8" w14:textId="77777777" w:rsidR="00962D10" w:rsidRPr="002E5374" w:rsidRDefault="003938A8" w:rsidP="002E5374">
      <w:pPr>
        <w:pStyle w:val="BodyText"/>
        <w:numPr>
          <w:ilvl w:val="0"/>
          <w:numId w:val="4"/>
        </w:numPr>
        <w:tabs>
          <w:tab w:val="left" w:pos="838"/>
        </w:tabs>
        <w:spacing w:before="120"/>
        <w:jc w:val="both"/>
        <w:rPr>
          <w:rFonts w:ascii="Helvetica Neue" w:eastAsiaTheme="minorEastAsia" w:hAnsi="Helvetica Neue" w:cs="Times New Roman"/>
        </w:rPr>
      </w:pPr>
      <w:r>
        <w:rPr>
          <w:rFonts w:ascii="Helvetica Neue" w:eastAsiaTheme="minorEastAsia" w:hAnsi="Helvetica Neue" w:cs="Times New Roman"/>
        </w:rPr>
        <w:t>Coworkers</w:t>
      </w:r>
      <w:r w:rsidR="008D75AF" w:rsidRPr="002E5374">
        <w:rPr>
          <w:rFonts w:ascii="Helvetica Neue" w:eastAsiaTheme="minorEastAsia" w:hAnsi="Helvetica Neue" w:cs="Times New Roman"/>
        </w:rPr>
        <w:t xml:space="preserve"> earning a pension or </w:t>
      </w:r>
      <w:r>
        <w:rPr>
          <w:rFonts w:ascii="Helvetica Neue" w:eastAsiaTheme="minorEastAsia" w:hAnsi="Helvetica Neue" w:cs="Times New Roman"/>
        </w:rPr>
        <w:t xml:space="preserve">who </w:t>
      </w:r>
      <w:r w:rsidR="008D75AF" w:rsidRPr="002E5374">
        <w:rPr>
          <w:rFonts w:ascii="Helvetica Neue" w:eastAsiaTheme="minorEastAsia" w:hAnsi="Helvetica Neue" w:cs="Times New Roman"/>
        </w:rPr>
        <w:t xml:space="preserve">are insured </w:t>
      </w:r>
      <w:proofErr w:type="gramStart"/>
      <w:r w:rsidR="00D06DE2">
        <w:rPr>
          <w:rFonts w:ascii="Helvetica Neue" w:eastAsiaTheme="minorEastAsia" w:hAnsi="Helvetica Neue" w:cs="Times New Roman"/>
        </w:rPr>
        <w:t xml:space="preserve">by </w:t>
      </w:r>
      <w:r w:rsidR="008D75AF" w:rsidRPr="002E5374">
        <w:rPr>
          <w:rFonts w:ascii="Helvetica Neue" w:eastAsiaTheme="minorEastAsia" w:hAnsi="Helvetica Neue" w:cs="Times New Roman"/>
        </w:rPr>
        <w:t xml:space="preserve"> other</w:t>
      </w:r>
      <w:proofErr w:type="gramEnd"/>
      <w:r w:rsidR="008D75AF" w:rsidRPr="002E5374">
        <w:rPr>
          <w:rFonts w:ascii="Helvetica Neue" w:eastAsiaTheme="minorEastAsia" w:hAnsi="Helvetica Neue" w:cs="Times New Roman"/>
        </w:rPr>
        <w:t xml:space="preserve"> forms of compulsory pensions funds;</w:t>
      </w:r>
    </w:p>
    <w:p w14:paraId="217B2B0C" w14:textId="77777777" w:rsidR="00962D10" w:rsidRPr="002E5374" w:rsidRDefault="003938A8" w:rsidP="002E5374">
      <w:pPr>
        <w:pStyle w:val="BodyText"/>
        <w:numPr>
          <w:ilvl w:val="0"/>
          <w:numId w:val="4"/>
        </w:numPr>
        <w:tabs>
          <w:tab w:val="left" w:pos="838"/>
        </w:tabs>
        <w:spacing w:before="117"/>
        <w:jc w:val="both"/>
        <w:rPr>
          <w:rFonts w:ascii="Helvetica Neue" w:eastAsiaTheme="minorEastAsia" w:hAnsi="Helvetica Neue" w:cs="Times New Roman"/>
        </w:rPr>
      </w:pPr>
      <w:r>
        <w:rPr>
          <w:rFonts w:ascii="Helvetica Neue" w:eastAsiaTheme="minorEastAsia" w:hAnsi="Helvetica Neue" w:cs="Times New Roman"/>
        </w:rPr>
        <w:t>Administrators</w:t>
      </w:r>
      <w:r w:rsidR="008D75AF" w:rsidRPr="002E5374">
        <w:rPr>
          <w:rFonts w:ascii="Helvetica Neue" w:eastAsiaTheme="minorEastAsia" w:hAnsi="Helvetica Neue" w:cs="Times New Roman"/>
        </w:rPr>
        <w:t xml:space="preserve"> and </w:t>
      </w:r>
      <w:r>
        <w:rPr>
          <w:rFonts w:ascii="Helvetica Neue" w:eastAsiaTheme="minorEastAsia" w:hAnsi="Helvetica Neue" w:cs="Times New Roman"/>
        </w:rPr>
        <w:t xml:space="preserve">statutory </w:t>
      </w:r>
      <w:r w:rsidR="008D75AF" w:rsidRPr="002E5374">
        <w:rPr>
          <w:rFonts w:ascii="Helvetica Neue" w:eastAsiaTheme="minorEastAsia" w:hAnsi="Helvetica Neue" w:cs="Times New Roman"/>
        </w:rPr>
        <w:t>auditors;</w:t>
      </w:r>
    </w:p>
    <w:p w14:paraId="0D2F3611" w14:textId="77777777" w:rsidR="00061EBD" w:rsidRDefault="008D75AF" w:rsidP="00061EBD">
      <w:pPr>
        <w:pStyle w:val="BodyText"/>
        <w:numPr>
          <w:ilvl w:val="0"/>
          <w:numId w:val="4"/>
        </w:numPr>
        <w:tabs>
          <w:tab w:val="left" w:pos="838"/>
        </w:tabs>
        <w:spacing w:before="117"/>
        <w:jc w:val="both"/>
        <w:rPr>
          <w:rFonts w:ascii="Helvetica Neue" w:eastAsiaTheme="minorEastAsia" w:hAnsi="Helvetica Neue" w:cs="Times New Roman"/>
        </w:rPr>
      </w:pPr>
      <w:r w:rsidRPr="002E5374">
        <w:rPr>
          <w:rFonts w:ascii="Helvetica Neue" w:eastAsiaTheme="minorEastAsia" w:hAnsi="Helvetica Neue" w:cs="Times New Roman"/>
        </w:rPr>
        <w:t>Holders of a VAT Registration Number;</w:t>
      </w:r>
    </w:p>
    <w:p w14:paraId="6739E152" w14:textId="77777777" w:rsidR="00061EBD" w:rsidRDefault="00061EBD" w:rsidP="00061EBD">
      <w:pPr>
        <w:pStyle w:val="BodyText"/>
        <w:numPr>
          <w:ilvl w:val="0"/>
          <w:numId w:val="4"/>
        </w:numPr>
        <w:tabs>
          <w:tab w:val="left" w:pos="838"/>
        </w:tabs>
        <w:spacing w:before="117"/>
        <w:jc w:val="both"/>
        <w:rPr>
          <w:rFonts w:ascii="Helvetica Neue" w:eastAsiaTheme="minorEastAsia" w:hAnsi="Helvetica Neue" w:cs="Times New Roman"/>
        </w:rPr>
      </w:pPr>
      <w:r w:rsidRPr="00061EBD">
        <w:rPr>
          <w:rFonts w:ascii="Helvetica Neue" w:eastAsiaTheme="minorEastAsia" w:hAnsi="Helvetica Neue" w:cs="Times New Roman"/>
        </w:rPr>
        <w:t>Postdoctoral Researcher</w:t>
      </w:r>
      <w:r>
        <w:rPr>
          <w:rFonts w:ascii="Helvetica Neue" w:eastAsiaTheme="minorEastAsia" w:hAnsi="Helvetica Neue" w:cs="Times New Roman"/>
        </w:rPr>
        <w:t>s</w:t>
      </w:r>
      <w:r w:rsidRPr="00061EBD">
        <w:rPr>
          <w:rFonts w:ascii="Helvetica Neue" w:eastAsiaTheme="minorEastAsia" w:hAnsi="Helvetica Neue" w:cs="Times New Roman"/>
        </w:rPr>
        <w:t xml:space="preserve"> and PhD</w:t>
      </w:r>
      <w:r w:rsidR="001375C6">
        <w:rPr>
          <w:rFonts w:ascii="Helvetica Neue" w:eastAsiaTheme="minorEastAsia" w:hAnsi="Helvetica Neue" w:cs="Times New Roman"/>
        </w:rPr>
        <w:t xml:space="preserve"> </w:t>
      </w:r>
      <w:r w:rsidR="008D75AF" w:rsidRPr="00061EBD">
        <w:rPr>
          <w:rFonts w:ascii="Helvetica Neue" w:eastAsiaTheme="minorEastAsia" w:hAnsi="Helvetica Neue" w:cs="Times New Roman"/>
        </w:rPr>
        <w:t>students with scholarships.</w:t>
      </w:r>
    </w:p>
    <w:p w14:paraId="3285FB01" w14:textId="77777777" w:rsidR="00061EBD" w:rsidRDefault="00061EBD" w:rsidP="00061EBD">
      <w:pPr>
        <w:pStyle w:val="BodyText"/>
        <w:tabs>
          <w:tab w:val="left" w:pos="838"/>
        </w:tabs>
        <w:spacing w:before="117"/>
        <w:jc w:val="both"/>
        <w:rPr>
          <w:rFonts w:ascii="Helvetica Neue" w:eastAsiaTheme="minorEastAsia" w:hAnsi="Helvetica Neue" w:cs="Times New Roman"/>
        </w:rPr>
      </w:pPr>
    </w:p>
    <w:p w14:paraId="58FB24A3" w14:textId="77777777" w:rsidR="00962D10" w:rsidRPr="00061EBD" w:rsidRDefault="008D75AF" w:rsidP="005657BC">
      <w:pPr>
        <w:pStyle w:val="BodyText"/>
        <w:tabs>
          <w:tab w:val="left" w:pos="838"/>
        </w:tabs>
        <w:spacing w:before="117"/>
        <w:ind w:left="0"/>
        <w:jc w:val="both"/>
        <w:rPr>
          <w:rFonts w:ascii="Helvetica Neue" w:eastAsiaTheme="minorEastAsia" w:hAnsi="Helvetica Neue" w:cs="Times New Roman"/>
        </w:rPr>
      </w:pPr>
      <w:r w:rsidRPr="00061EBD">
        <w:rPr>
          <w:rFonts w:ascii="Helvetica Neue" w:eastAsiaTheme="minorEastAsia" w:hAnsi="Helvetica Neue" w:cs="Times New Roman"/>
        </w:rPr>
        <w:t>The following are excluded:</w:t>
      </w:r>
    </w:p>
    <w:p w14:paraId="35B961CC" w14:textId="77777777" w:rsidR="00962D10" w:rsidRPr="002E5374" w:rsidRDefault="008D75AF" w:rsidP="002E5374">
      <w:pPr>
        <w:pStyle w:val="BodyText"/>
        <w:numPr>
          <w:ilvl w:val="0"/>
          <w:numId w:val="4"/>
        </w:numPr>
        <w:tabs>
          <w:tab w:val="left" w:pos="838"/>
        </w:tabs>
        <w:spacing w:before="69"/>
        <w:jc w:val="both"/>
        <w:rPr>
          <w:rFonts w:ascii="Helvetica Neue" w:eastAsiaTheme="minorEastAsia" w:hAnsi="Helvetica Neue" w:cs="Times New Roman"/>
        </w:rPr>
      </w:pPr>
      <w:r w:rsidRPr="002E5374">
        <w:rPr>
          <w:rFonts w:ascii="Helvetica Neue" w:eastAsiaTheme="minorEastAsia" w:hAnsi="Helvetica Neue" w:cs="Times New Roman"/>
        </w:rPr>
        <w:t>Executives</w:t>
      </w:r>
    </w:p>
    <w:p w14:paraId="23E9AE1F" w14:textId="77777777" w:rsidR="00962D10" w:rsidRPr="002E5374" w:rsidRDefault="008D75AF" w:rsidP="002E5374">
      <w:pPr>
        <w:pStyle w:val="BodyText"/>
        <w:numPr>
          <w:ilvl w:val="0"/>
          <w:numId w:val="4"/>
        </w:numPr>
        <w:tabs>
          <w:tab w:val="left" w:pos="838"/>
        </w:tabs>
        <w:spacing w:line="281" w:lineRule="exact"/>
        <w:jc w:val="both"/>
        <w:rPr>
          <w:rFonts w:ascii="Helvetica Neue" w:eastAsiaTheme="minorEastAsia" w:hAnsi="Helvetica Neue" w:cs="Times New Roman"/>
        </w:rPr>
      </w:pPr>
      <w:r w:rsidRPr="002E5374">
        <w:rPr>
          <w:rFonts w:ascii="Helvetica Neue" w:eastAsiaTheme="minorEastAsia" w:hAnsi="Helvetica Neue" w:cs="Times New Roman"/>
        </w:rPr>
        <w:t>Outworkers</w:t>
      </w:r>
    </w:p>
    <w:p w14:paraId="56C99B06" w14:textId="77777777" w:rsidR="00962D10" w:rsidRPr="002E5374" w:rsidRDefault="008D75AF" w:rsidP="002E5374">
      <w:pPr>
        <w:pStyle w:val="BodyText"/>
        <w:numPr>
          <w:ilvl w:val="0"/>
          <w:numId w:val="4"/>
        </w:numPr>
        <w:tabs>
          <w:tab w:val="left" w:pos="838"/>
        </w:tabs>
        <w:spacing w:before="22" w:line="346" w:lineRule="exact"/>
        <w:ind w:right="102"/>
        <w:jc w:val="both"/>
        <w:rPr>
          <w:rFonts w:ascii="Helvetica Neue" w:eastAsiaTheme="minorEastAsia" w:hAnsi="Helvetica Neue" w:cs="Times New Roman"/>
        </w:rPr>
      </w:pPr>
      <w:r w:rsidRPr="002E5374">
        <w:rPr>
          <w:rFonts w:ascii="Helvetica Neue" w:eastAsiaTheme="minorEastAsia" w:hAnsi="Helvetica Neue" w:cs="Times New Roman"/>
        </w:rPr>
        <w:t xml:space="preserve">Workers with an apprenticeship contract for the qualification and the professional diploma, the upper secondary education certificate and the </w:t>
      </w:r>
      <w:proofErr w:type="spellStart"/>
      <w:r w:rsidRPr="002E5374">
        <w:rPr>
          <w:rFonts w:ascii="Helvetica Neue" w:eastAsiaTheme="minorEastAsia" w:hAnsi="Helvetica Neue" w:cs="Times New Roman"/>
        </w:rPr>
        <w:t>specialised</w:t>
      </w:r>
      <w:proofErr w:type="spellEnd"/>
      <w:r w:rsidRPr="002E5374">
        <w:rPr>
          <w:rFonts w:ascii="Helvetica Neue" w:eastAsiaTheme="minorEastAsia" w:hAnsi="Helvetica Neue" w:cs="Times New Roman"/>
        </w:rPr>
        <w:t xml:space="preserve"> technical high school certificate;</w:t>
      </w:r>
    </w:p>
    <w:p w14:paraId="0F4D2520" w14:textId="77777777" w:rsidR="00962D10" w:rsidRPr="002E5374" w:rsidRDefault="008D75AF" w:rsidP="002E5374">
      <w:pPr>
        <w:pStyle w:val="BodyText"/>
        <w:numPr>
          <w:ilvl w:val="0"/>
          <w:numId w:val="4"/>
        </w:numPr>
        <w:tabs>
          <w:tab w:val="left" w:pos="838"/>
        </w:tabs>
        <w:spacing w:line="325" w:lineRule="exact"/>
        <w:jc w:val="both"/>
        <w:rPr>
          <w:rFonts w:ascii="Helvetica Neue" w:eastAsiaTheme="minorEastAsia" w:hAnsi="Helvetica Neue" w:cs="Times New Roman"/>
        </w:rPr>
      </w:pPr>
      <w:r w:rsidRPr="002E5374">
        <w:rPr>
          <w:rFonts w:ascii="Helvetica Neue" w:eastAsiaTheme="minorEastAsia" w:hAnsi="Helvetica Neue" w:cs="Times New Roman"/>
        </w:rPr>
        <w:t>Workers with an apprenticeship contract for higher education and research.</w:t>
      </w:r>
    </w:p>
    <w:p w14:paraId="1D95FE57" w14:textId="77777777" w:rsidR="00962D10" w:rsidRDefault="00962D10" w:rsidP="002E5374">
      <w:pPr>
        <w:jc w:val="both"/>
        <w:rPr>
          <w:rFonts w:ascii="Malgun Gothic" w:eastAsia="Malgun Gothic" w:hAnsi="Malgun Gothic" w:cs="Malgun Gothic"/>
          <w:sz w:val="20"/>
          <w:szCs w:val="20"/>
        </w:rPr>
      </w:pPr>
    </w:p>
    <w:p w14:paraId="1E4B0E8C" w14:textId="77777777" w:rsidR="00962D10" w:rsidRDefault="00962D10" w:rsidP="002E5374">
      <w:pPr>
        <w:spacing w:before="3"/>
        <w:jc w:val="both"/>
        <w:rPr>
          <w:rFonts w:ascii="Malgun Gothic" w:eastAsia="Malgun Gothic" w:hAnsi="Malgun Gothic" w:cs="Malgun Gothic"/>
          <w:sz w:val="13"/>
          <w:szCs w:val="13"/>
        </w:rPr>
      </w:pPr>
    </w:p>
    <w:p w14:paraId="4079DA84" w14:textId="77777777" w:rsidR="00962D10" w:rsidRDefault="008D75AF" w:rsidP="002E5374">
      <w:pPr>
        <w:pStyle w:val="Heading2"/>
        <w:numPr>
          <w:ilvl w:val="1"/>
          <w:numId w:val="8"/>
        </w:numPr>
        <w:tabs>
          <w:tab w:val="left" w:pos="1918"/>
        </w:tabs>
        <w:jc w:val="both"/>
        <w:rPr>
          <w:b w:val="0"/>
          <w:bCs w:val="0"/>
        </w:rPr>
      </w:pPr>
      <w:r>
        <w:rPr>
          <w:spacing w:val="-1"/>
        </w:rPr>
        <w:lastRenderedPageBreak/>
        <w:t>ORDINARY</w:t>
      </w:r>
      <w:r>
        <w:rPr>
          <w:spacing w:val="-7"/>
        </w:rPr>
        <w:t xml:space="preserve"> </w:t>
      </w:r>
      <w:r w:rsidR="003938A8">
        <w:rPr>
          <w:spacing w:val="-7"/>
        </w:rPr>
        <w:t xml:space="preserve">UNEMPLOYMENT INSURANCE </w:t>
      </w:r>
      <w:r w:rsidR="007A2FB4">
        <w:rPr>
          <w:spacing w:val="-7"/>
        </w:rPr>
        <w:t xml:space="preserve">EARNINGS </w:t>
      </w:r>
      <w:r w:rsidR="007A2FB4">
        <w:rPr>
          <w:spacing w:val="-8"/>
        </w:rPr>
        <w:t>(</w:t>
      </w:r>
      <w:proofErr w:type="spellStart"/>
      <w:r>
        <w:t>CIGO</w:t>
      </w:r>
      <w:proofErr w:type="spellEnd"/>
      <w:r>
        <w:t>)</w:t>
      </w:r>
    </w:p>
    <w:p w14:paraId="1DC0C2A3" w14:textId="77777777" w:rsidR="00962D10" w:rsidRDefault="00962D10" w:rsidP="002E5374">
      <w:pPr>
        <w:spacing w:before="2"/>
        <w:jc w:val="both"/>
        <w:rPr>
          <w:rFonts w:ascii="Calibri" w:eastAsia="Calibri" w:hAnsi="Calibri" w:cs="Calibri"/>
          <w:b/>
          <w:bCs/>
          <w:sz w:val="21"/>
          <w:szCs w:val="21"/>
        </w:rPr>
      </w:pPr>
    </w:p>
    <w:p w14:paraId="06F7A20A" w14:textId="77777777" w:rsidR="00962D10" w:rsidRPr="002E5374" w:rsidRDefault="008D75AF" w:rsidP="005657BC">
      <w:pPr>
        <w:pStyle w:val="BodyText"/>
        <w:spacing w:line="344" w:lineRule="exact"/>
        <w:ind w:left="0" w:right="19"/>
        <w:jc w:val="both"/>
        <w:rPr>
          <w:rFonts w:ascii="Helvetica Neue" w:eastAsiaTheme="minorEastAsia" w:hAnsi="Helvetica Neue" w:cs="Times New Roman"/>
        </w:rPr>
      </w:pPr>
      <w:r w:rsidRPr="002E5374">
        <w:rPr>
          <w:rFonts w:ascii="Helvetica Neue" w:eastAsiaTheme="minorEastAsia" w:hAnsi="Helvetica Neue" w:cs="Times New Roman"/>
        </w:rPr>
        <w:t>This is granted if a company’s productivity issues are due to temporary events (lack of work, weather conditions etc.) and production is definitely expected to resume.</w:t>
      </w:r>
    </w:p>
    <w:p w14:paraId="650FFD4C" w14:textId="77777777" w:rsidR="00962D10" w:rsidRPr="002E5374" w:rsidRDefault="00962D10" w:rsidP="005657BC">
      <w:pPr>
        <w:ind w:right="19"/>
        <w:jc w:val="both"/>
        <w:rPr>
          <w:rFonts w:ascii="Helvetica Neue" w:eastAsiaTheme="minorEastAsia" w:hAnsi="Helvetica Neue" w:cs="Times New Roman"/>
          <w:sz w:val="20"/>
          <w:szCs w:val="20"/>
        </w:rPr>
      </w:pPr>
    </w:p>
    <w:p w14:paraId="31753822" w14:textId="77777777" w:rsidR="00962D10" w:rsidRPr="002E5374" w:rsidRDefault="008D75AF" w:rsidP="005657BC">
      <w:pPr>
        <w:pStyle w:val="BodyText"/>
        <w:spacing w:line="239" w:lineRule="auto"/>
        <w:ind w:left="0" w:right="19"/>
        <w:jc w:val="both"/>
        <w:rPr>
          <w:rFonts w:ascii="Helvetica Neue" w:eastAsiaTheme="minorEastAsia" w:hAnsi="Helvetica Neue" w:cs="Times New Roman"/>
        </w:rPr>
      </w:pPr>
      <w:r w:rsidRPr="002E5374">
        <w:rPr>
          <w:rFonts w:ascii="Helvetica Neue" w:eastAsiaTheme="minorEastAsia" w:hAnsi="Helvetica Neue" w:cs="Times New Roman"/>
        </w:rPr>
        <w:t xml:space="preserve">The financing of this benefit </w:t>
      </w:r>
      <w:r w:rsidR="003938A8">
        <w:rPr>
          <w:rFonts w:ascii="Helvetica Neue" w:eastAsiaTheme="minorEastAsia" w:hAnsi="Helvetica Neue" w:cs="Times New Roman"/>
        </w:rPr>
        <w:t>occurs</w:t>
      </w:r>
      <w:r w:rsidRPr="002E5374">
        <w:rPr>
          <w:rFonts w:ascii="Helvetica Neue" w:eastAsiaTheme="minorEastAsia" w:hAnsi="Helvetica Neue" w:cs="Times New Roman"/>
        </w:rPr>
        <w:t xml:space="preserve"> through the</w:t>
      </w:r>
      <w:r w:rsidR="00C1356A">
        <w:rPr>
          <w:rFonts w:ascii="Helvetica Neue" w:eastAsiaTheme="minorEastAsia" w:hAnsi="Helvetica Neue" w:cs="Times New Roman"/>
        </w:rPr>
        <w:t xml:space="preserve"> payment of a</w:t>
      </w:r>
      <w:r w:rsidRPr="002E5374">
        <w:rPr>
          <w:rFonts w:ascii="Helvetica Neue" w:eastAsiaTheme="minorEastAsia" w:hAnsi="Helvetica Neue" w:cs="Times New Roman"/>
        </w:rPr>
        <w:t xml:space="preserve"> contribution made by companies that is commensurate to taxable remuneration for social security purposes and through an additional contribution to be paid only by companies that submit an application for wage</w:t>
      </w:r>
      <w:r w:rsidR="00C1356A">
        <w:rPr>
          <w:rFonts w:ascii="Helvetica Neue" w:eastAsiaTheme="minorEastAsia" w:hAnsi="Helvetica Neue" w:cs="Times New Roman"/>
        </w:rPr>
        <w:t xml:space="preserve"> integration</w:t>
      </w:r>
      <w:r w:rsidRPr="002E5374">
        <w:rPr>
          <w:rFonts w:ascii="Helvetica Neue" w:eastAsiaTheme="minorEastAsia" w:hAnsi="Helvetica Neue" w:cs="Times New Roman"/>
        </w:rPr>
        <w:t xml:space="preserve"> linked to the effective use of the </w:t>
      </w:r>
      <w:r w:rsidR="00C1356A">
        <w:rPr>
          <w:rFonts w:ascii="Helvetica Neue" w:eastAsiaTheme="minorEastAsia" w:hAnsi="Helvetica Neue" w:cs="Times New Roman"/>
        </w:rPr>
        <w:t>treatment</w:t>
      </w:r>
      <w:r w:rsidRPr="002E5374">
        <w:rPr>
          <w:rFonts w:ascii="Helvetica Neue" w:eastAsiaTheme="minorEastAsia" w:hAnsi="Helvetica Neue" w:cs="Times New Roman"/>
        </w:rPr>
        <w:t>.</w:t>
      </w:r>
    </w:p>
    <w:p w14:paraId="78F73CED" w14:textId="77777777" w:rsidR="00962D10" w:rsidRDefault="008D75AF" w:rsidP="002E5374">
      <w:pPr>
        <w:pStyle w:val="Heading5"/>
        <w:spacing w:before="102"/>
        <w:jc w:val="both"/>
        <w:rPr>
          <w:i w:val="0"/>
        </w:rPr>
      </w:pPr>
      <w:r>
        <w:rPr>
          <w:spacing w:val="-2"/>
          <w:u w:val="single" w:color="000000"/>
        </w:rPr>
        <w:t>Duration</w:t>
      </w:r>
      <w:r>
        <w:rPr>
          <w:spacing w:val="-40"/>
          <w:u w:val="single" w:color="000000"/>
        </w:rPr>
        <w:t xml:space="preserve"> </w:t>
      </w:r>
      <w:r>
        <w:rPr>
          <w:spacing w:val="1"/>
          <w:u w:val="single" w:color="000000"/>
        </w:rPr>
        <w:t>of</w:t>
      </w:r>
      <w:r>
        <w:rPr>
          <w:spacing w:val="-40"/>
          <w:u w:val="single" w:color="000000"/>
        </w:rPr>
        <w:t xml:space="preserve"> </w:t>
      </w:r>
      <w:r>
        <w:rPr>
          <w:u w:val="single" w:color="000000"/>
        </w:rPr>
        <w:t>the</w:t>
      </w:r>
      <w:r>
        <w:rPr>
          <w:spacing w:val="-40"/>
          <w:u w:val="single" w:color="000000"/>
        </w:rPr>
        <w:t xml:space="preserve"> </w:t>
      </w:r>
      <w:r>
        <w:rPr>
          <w:spacing w:val="-2"/>
          <w:u w:val="single" w:color="000000"/>
        </w:rPr>
        <w:t>benefit</w:t>
      </w:r>
    </w:p>
    <w:p w14:paraId="3FE9425D" w14:textId="77777777" w:rsidR="00962D10" w:rsidRDefault="00962D10" w:rsidP="002E5374">
      <w:pPr>
        <w:spacing w:before="13"/>
        <w:jc w:val="both"/>
        <w:rPr>
          <w:rFonts w:ascii="Malgun Gothic" w:eastAsia="Malgun Gothic" w:hAnsi="Malgun Gothic" w:cs="Malgun Gothic"/>
          <w:i/>
          <w:sz w:val="8"/>
          <w:szCs w:val="8"/>
        </w:rPr>
      </w:pPr>
    </w:p>
    <w:p w14:paraId="72A3C3C5" w14:textId="77777777" w:rsidR="00962D10" w:rsidRPr="002E5374" w:rsidRDefault="008D75AF" w:rsidP="005657BC">
      <w:pPr>
        <w:pStyle w:val="BodyText"/>
        <w:spacing w:line="311"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 xml:space="preserve">The </w:t>
      </w:r>
      <w:proofErr w:type="spellStart"/>
      <w:r w:rsidRPr="002E5374">
        <w:rPr>
          <w:rFonts w:ascii="Helvetica Neue" w:eastAsiaTheme="minorEastAsia" w:hAnsi="Helvetica Neue" w:cs="Times New Roman"/>
        </w:rPr>
        <w:t>authorised</w:t>
      </w:r>
      <w:proofErr w:type="spellEnd"/>
      <w:r w:rsidRPr="002E5374">
        <w:rPr>
          <w:rFonts w:ascii="Helvetica Neue" w:eastAsiaTheme="minorEastAsia" w:hAnsi="Helvetica Neue" w:cs="Times New Roman"/>
        </w:rPr>
        <w:t xml:space="preserve"> </w:t>
      </w:r>
      <w:proofErr w:type="spellStart"/>
      <w:r w:rsidRPr="002E5374">
        <w:rPr>
          <w:rFonts w:ascii="Helvetica Neue" w:eastAsiaTheme="minorEastAsia" w:hAnsi="Helvetica Neue" w:cs="Times New Roman"/>
        </w:rPr>
        <w:t>CIGO</w:t>
      </w:r>
      <w:proofErr w:type="spellEnd"/>
      <w:r w:rsidRPr="002E5374">
        <w:rPr>
          <w:rFonts w:ascii="Helvetica Neue" w:eastAsiaTheme="minorEastAsia" w:hAnsi="Helvetica Neue" w:cs="Times New Roman"/>
        </w:rPr>
        <w:t xml:space="preserve"> periods must simultaneously comply with the following conditions:</w:t>
      </w:r>
    </w:p>
    <w:p w14:paraId="0F9A628B" w14:textId="77777777" w:rsidR="00962D10" w:rsidRPr="002E5374" w:rsidRDefault="008D75AF" w:rsidP="002E5374">
      <w:pPr>
        <w:pStyle w:val="BodyText"/>
        <w:numPr>
          <w:ilvl w:val="0"/>
          <w:numId w:val="4"/>
        </w:numPr>
        <w:tabs>
          <w:tab w:val="left" w:pos="838"/>
        </w:tabs>
        <w:spacing w:before="117"/>
        <w:jc w:val="both"/>
        <w:rPr>
          <w:rFonts w:ascii="Helvetica Neue" w:eastAsiaTheme="minorEastAsia" w:hAnsi="Helvetica Neue" w:cs="Times New Roman"/>
        </w:rPr>
      </w:pPr>
      <w:r w:rsidRPr="002E5374">
        <w:rPr>
          <w:rFonts w:ascii="Helvetica Neue" w:eastAsiaTheme="minorEastAsia" w:hAnsi="Helvetica Neue" w:cs="Times New Roman"/>
        </w:rPr>
        <w:t>They do not exceed 52 weeks in the mobile two-year period</w:t>
      </w:r>
      <w:r w:rsidR="002E6024">
        <w:rPr>
          <w:rStyle w:val="FootnoteReference"/>
          <w:rFonts w:ascii="Helvetica Neue" w:eastAsiaTheme="minorEastAsia" w:hAnsi="Helvetica Neue" w:cs="Times New Roman"/>
        </w:rPr>
        <w:footnoteReference w:id="6"/>
      </w:r>
      <w:r w:rsidRPr="002E5374">
        <w:rPr>
          <w:rFonts w:ascii="Helvetica Neue" w:eastAsiaTheme="minorEastAsia" w:hAnsi="Helvetica Neue" w:cs="Times New Roman"/>
        </w:rPr>
        <w:t>;</w:t>
      </w:r>
    </w:p>
    <w:p w14:paraId="30C31948" w14:textId="77777777" w:rsidR="00962D10" w:rsidRPr="002E5374" w:rsidRDefault="008D75AF" w:rsidP="002E5374">
      <w:pPr>
        <w:pStyle w:val="BodyText"/>
        <w:numPr>
          <w:ilvl w:val="0"/>
          <w:numId w:val="4"/>
        </w:numPr>
        <w:tabs>
          <w:tab w:val="left" w:pos="838"/>
        </w:tabs>
        <w:spacing w:before="140" w:line="346" w:lineRule="exact"/>
        <w:ind w:right="102"/>
        <w:jc w:val="both"/>
        <w:rPr>
          <w:rFonts w:ascii="Helvetica Neue" w:eastAsiaTheme="minorEastAsia" w:hAnsi="Helvetica Neue" w:cs="Times New Roman"/>
        </w:rPr>
      </w:pPr>
      <w:r w:rsidRPr="002E5374">
        <w:rPr>
          <w:rFonts w:ascii="Helvetica Neue" w:eastAsiaTheme="minorEastAsia" w:hAnsi="Helvetica Neue" w:cs="Times New Roman"/>
        </w:rPr>
        <w:t xml:space="preserve">The number of </w:t>
      </w:r>
      <w:proofErr w:type="spellStart"/>
      <w:r w:rsidRPr="002E5374">
        <w:rPr>
          <w:rFonts w:ascii="Helvetica Neue" w:eastAsiaTheme="minorEastAsia" w:hAnsi="Helvetica Neue" w:cs="Times New Roman"/>
        </w:rPr>
        <w:t>authorised</w:t>
      </w:r>
      <w:proofErr w:type="spellEnd"/>
      <w:r w:rsidRPr="002E5374">
        <w:rPr>
          <w:rFonts w:ascii="Helvetica Neue" w:eastAsiaTheme="minorEastAsia" w:hAnsi="Helvetica Neue" w:cs="Times New Roman"/>
        </w:rPr>
        <w:t xml:space="preserve"> hours do not exceed the </w:t>
      </w:r>
      <w:r w:rsidR="00C1356A">
        <w:rPr>
          <w:rFonts w:ascii="Helvetica Neue" w:eastAsiaTheme="minorEastAsia" w:hAnsi="Helvetica Neue" w:cs="Times New Roman"/>
        </w:rPr>
        <w:t xml:space="preserve">limit of </w:t>
      </w:r>
      <w:r w:rsidRPr="002E5374">
        <w:rPr>
          <w:rFonts w:ascii="Helvetica Neue" w:eastAsiaTheme="minorEastAsia" w:hAnsi="Helvetica Neue" w:cs="Times New Roman"/>
        </w:rPr>
        <w:t>1/</w:t>
      </w:r>
      <w:proofErr w:type="gramStart"/>
      <w:r w:rsidRPr="002E5374">
        <w:rPr>
          <w:rFonts w:ascii="Helvetica Neue" w:eastAsiaTheme="minorEastAsia" w:hAnsi="Helvetica Neue" w:cs="Times New Roman"/>
        </w:rPr>
        <w:t>3  of</w:t>
      </w:r>
      <w:proofErr w:type="gramEnd"/>
      <w:r w:rsidRPr="002E5374">
        <w:rPr>
          <w:rFonts w:ascii="Helvetica Neue" w:eastAsiaTheme="minorEastAsia" w:hAnsi="Helvetica Neue" w:cs="Times New Roman"/>
        </w:rPr>
        <w:t xml:space="preserve"> ordinary working hours in the mobile two-year period with refer</w:t>
      </w:r>
      <w:r w:rsidR="002E6024">
        <w:rPr>
          <w:rFonts w:ascii="Helvetica Neue" w:eastAsiaTheme="minorEastAsia" w:hAnsi="Helvetica Neue" w:cs="Times New Roman"/>
        </w:rPr>
        <w:t>ence to all the production unit</w:t>
      </w:r>
      <w:r w:rsidR="002E6024">
        <w:rPr>
          <w:rStyle w:val="FootnoteReference"/>
          <w:rFonts w:ascii="Helvetica Neue" w:eastAsiaTheme="minorEastAsia" w:hAnsi="Helvetica Neue" w:cs="Times New Roman"/>
        </w:rPr>
        <w:footnoteReference w:id="7"/>
      </w:r>
      <w:r w:rsidRPr="002E5374">
        <w:rPr>
          <w:rFonts w:ascii="Helvetica Neue" w:eastAsiaTheme="minorEastAsia" w:hAnsi="Helvetica Neue" w:cs="Times New Roman"/>
        </w:rPr>
        <w:t xml:space="preserve"> workers employed on average in the six months prior to the application;</w:t>
      </w:r>
    </w:p>
    <w:p w14:paraId="47ADAE21" w14:textId="77777777" w:rsidR="00962D10" w:rsidRPr="002E5374" w:rsidRDefault="008D75AF" w:rsidP="002E5374">
      <w:pPr>
        <w:pStyle w:val="BodyText"/>
        <w:numPr>
          <w:ilvl w:val="0"/>
          <w:numId w:val="4"/>
        </w:numPr>
        <w:tabs>
          <w:tab w:val="left" w:pos="838"/>
        </w:tabs>
        <w:spacing w:before="97"/>
        <w:ind w:right="100"/>
        <w:jc w:val="both"/>
        <w:rPr>
          <w:rFonts w:ascii="Helvetica Neue" w:eastAsiaTheme="minorEastAsia" w:hAnsi="Helvetica Neue" w:cs="Times New Roman"/>
        </w:rPr>
      </w:pPr>
      <w:r w:rsidRPr="002E5374">
        <w:rPr>
          <w:rFonts w:ascii="Helvetica Neue" w:eastAsiaTheme="minorEastAsia" w:hAnsi="Helvetica Neue" w:cs="Times New Roman"/>
        </w:rPr>
        <w:t xml:space="preserve">They do not exceed 24 months (30 for the construction sector) in the mobile five-year period also considered for any periods of extraordinary wage </w:t>
      </w:r>
      <w:r w:rsidR="00C1356A">
        <w:rPr>
          <w:rFonts w:ascii="Helvetica Neue" w:eastAsiaTheme="minorEastAsia" w:hAnsi="Helvetica Neue" w:cs="Times New Roman"/>
        </w:rPr>
        <w:t>integrations</w:t>
      </w:r>
      <w:r w:rsidRPr="002E5374">
        <w:rPr>
          <w:rFonts w:ascii="Helvetica Neue" w:eastAsiaTheme="minorEastAsia" w:hAnsi="Helvetica Neue" w:cs="Times New Roman"/>
        </w:rPr>
        <w:t>.</w:t>
      </w:r>
    </w:p>
    <w:p w14:paraId="6CFE130F" w14:textId="77777777" w:rsidR="00962D10" w:rsidRPr="002E5374" w:rsidRDefault="00962D10" w:rsidP="002E5374">
      <w:pPr>
        <w:jc w:val="both"/>
        <w:rPr>
          <w:rFonts w:ascii="Helvetica Neue" w:eastAsiaTheme="minorEastAsia" w:hAnsi="Helvetica Neue" w:cs="Times New Roman"/>
          <w:sz w:val="20"/>
          <w:szCs w:val="20"/>
        </w:rPr>
      </w:pPr>
    </w:p>
    <w:p w14:paraId="6A2E15F1" w14:textId="77777777" w:rsidR="00962D10" w:rsidRDefault="00962D10" w:rsidP="002E5374">
      <w:pPr>
        <w:spacing w:before="1"/>
        <w:jc w:val="both"/>
        <w:rPr>
          <w:rFonts w:ascii="Malgun Gothic" w:eastAsia="Malgun Gothic" w:hAnsi="Malgun Gothic" w:cs="Malgun Gothic"/>
          <w:sz w:val="16"/>
          <w:szCs w:val="16"/>
        </w:rPr>
      </w:pPr>
    </w:p>
    <w:p w14:paraId="050CA32F" w14:textId="77777777" w:rsidR="00962D10" w:rsidRDefault="008D75AF" w:rsidP="002E5374">
      <w:pPr>
        <w:pStyle w:val="Heading2"/>
        <w:numPr>
          <w:ilvl w:val="1"/>
          <w:numId w:val="8"/>
        </w:numPr>
        <w:tabs>
          <w:tab w:val="left" w:pos="1918"/>
        </w:tabs>
        <w:jc w:val="both"/>
        <w:rPr>
          <w:b w:val="0"/>
          <w:bCs w:val="0"/>
        </w:rPr>
      </w:pPr>
      <w:r>
        <w:rPr>
          <w:spacing w:val="-1"/>
        </w:rPr>
        <w:t>EXTRAORDINARY</w:t>
      </w:r>
      <w:r>
        <w:rPr>
          <w:spacing w:val="-8"/>
        </w:rPr>
        <w:t xml:space="preserve"> </w:t>
      </w:r>
      <w:r w:rsidR="00C1356A">
        <w:rPr>
          <w:spacing w:val="-7"/>
        </w:rPr>
        <w:t xml:space="preserve">UNEMPLOYMENT INSURANCE </w:t>
      </w:r>
      <w:r w:rsidR="005657BC">
        <w:rPr>
          <w:spacing w:val="-7"/>
        </w:rPr>
        <w:t xml:space="preserve">EARNINGS </w:t>
      </w:r>
      <w:r w:rsidR="005657BC">
        <w:rPr>
          <w:spacing w:val="-4"/>
        </w:rPr>
        <w:t>(</w:t>
      </w:r>
      <w:r>
        <w:rPr>
          <w:spacing w:val="-1"/>
        </w:rPr>
        <w:t>CIGS)</w:t>
      </w:r>
    </w:p>
    <w:p w14:paraId="50DCF360" w14:textId="77777777" w:rsidR="00962D10" w:rsidRPr="002E5374" w:rsidRDefault="008D75AF" w:rsidP="005657BC">
      <w:pPr>
        <w:pStyle w:val="BodyText"/>
        <w:spacing w:before="98"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This is due when the company is undergoing restructuring (technological upgrading), </w:t>
      </w:r>
      <w:proofErr w:type="spellStart"/>
      <w:r w:rsidRPr="002E5374">
        <w:rPr>
          <w:rFonts w:ascii="Helvetica Neue" w:eastAsiaTheme="minorEastAsia" w:hAnsi="Helvetica Neue" w:cs="Times New Roman"/>
        </w:rPr>
        <w:t>reorganisation</w:t>
      </w:r>
      <w:proofErr w:type="spellEnd"/>
      <w:r w:rsidRPr="002E5374">
        <w:rPr>
          <w:rFonts w:ascii="Helvetica Neue" w:eastAsiaTheme="minorEastAsia" w:hAnsi="Helvetica Neue" w:cs="Times New Roman"/>
        </w:rPr>
        <w:t xml:space="preserve"> (changing the internal </w:t>
      </w:r>
      <w:proofErr w:type="spellStart"/>
      <w:r w:rsidRPr="002E5374">
        <w:rPr>
          <w:rFonts w:ascii="Helvetica Neue" w:eastAsiaTheme="minorEastAsia" w:hAnsi="Helvetica Neue" w:cs="Times New Roman"/>
        </w:rPr>
        <w:t>organisation</w:t>
      </w:r>
      <w:proofErr w:type="spellEnd"/>
      <w:r w:rsidRPr="002E5374">
        <w:rPr>
          <w:rFonts w:ascii="Helvetica Neue" w:eastAsiaTheme="minorEastAsia" w:hAnsi="Helvetica Neue" w:cs="Times New Roman"/>
        </w:rPr>
        <w:t xml:space="preserve"> chart), retraining (change of activity) or crisis. Moreover, this extraordinary allowance may be requested in the event of the company’s bankruptcy, a</w:t>
      </w:r>
      <w:r w:rsidR="00C1356A">
        <w:rPr>
          <w:rFonts w:ascii="Helvetica Neue" w:eastAsiaTheme="minorEastAsia" w:hAnsi="Helvetica Neue" w:cs="Times New Roman"/>
        </w:rPr>
        <w:t xml:space="preserve"> composition </w:t>
      </w:r>
      <w:r w:rsidRPr="002E5374">
        <w:rPr>
          <w:rFonts w:ascii="Helvetica Neue" w:eastAsiaTheme="minorEastAsia" w:hAnsi="Helvetica Neue" w:cs="Times New Roman"/>
        </w:rPr>
        <w:t>with creditors, compulsory administrative liquidation and extraordinary management. This may be extended for a longer period than the ordinary allowance depending on the severity of events.</w:t>
      </w:r>
    </w:p>
    <w:p w14:paraId="477197A5" w14:textId="77777777" w:rsidR="00962D10" w:rsidRPr="002E5374" w:rsidRDefault="008D75AF" w:rsidP="005657BC">
      <w:pPr>
        <w:pStyle w:val="BodyText"/>
        <w:spacing w:before="99"/>
        <w:ind w:left="0" w:right="47"/>
        <w:jc w:val="both"/>
        <w:rPr>
          <w:rFonts w:ascii="Helvetica Neue" w:eastAsiaTheme="minorEastAsia" w:hAnsi="Helvetica Neue" w:cs="Times New Roman"/>
        </w:rPr>
      </w:pPr>
      <w:r w:rsidRPr="002E5374">
        <w:rPr>
          <w:rFonts w:ascii="Helvetica Neue" w:eastAsiaTheme="minorEastAsia" w:hAnsi="Helvetica Neue" w:cs="Times New Roman"/>
        </w:rPr>
        <w:t>The allowance is financed by a fixed contribution paid by all employers</w:t>
      </w:r>
      <w:r w:rsidR="00C1356A">
        <w:rPr>
          <w:rFonts w:ascii="Helvetica Neue" w:eastAsiaTheme="minorEastAsia" w:hAnsi="Helvetica Neue" w:cs="Times New Roman"/>
        </w:rPr>
        <w:t>,</w:t>
      </w:r>
      <w:r w:rsidRPr="002E5374">
        <w:rPr>
          <w:rFonts w:ascii="Helvetica Neue" w:eastAsiaTheme="minorEastAsia" w:hAnsi="Helvetica Neue" w:cs="Times New Roman"/>
        </w:rPr>
        <w:t xml:space="preserve"> and by public contribution.</w:t>
      </w:r>
    </w:p>
    <w:p w14:paraId="6BD372C0" w14:textId="77777777" w:rsidR="00962D10" w:rsidRPr="002E5374" w:rsidRDefault="008D75AF" w:rsidP="007A2FB4">
      <w:pPr>
        <w:pStyle w:val="BodyText"/>
        <w:spacing w:before="140"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This allowance is paid to</w:t>
      </w:r>
      <w:r w:rsidR="00C1356A">
        <w:rPr>
          <w:rFonts w:ascii="Helvetica Neue" w:eastAsiaTheme="minorEastAsia" w:hAnsi="Helvetica Neue" w:cs="Times New Roman"/>
        </w:rPr>
        <w:t xml:space="preserve"> workmen</w:t>
      </w:r>
      <w:r w:rsidRPr="002E5374">
        <w:rPr>
          <w:rFonts w:ascii="Helvetica Neue" w:eastAsiaTheme="minorEastAsia" w:hAnsi="Helvetica Neue" w:cs="Times New Roman"/>
        </w:rPr>
        <w:t xml:space="preserve">, employees and </w:t>
      </w:r>
      <w:r w:rsidR="00C1356A">
        <w:rPr>
          <w:rFonts w:ascii="Helvetica Neue" w:eastAsiaTheme="minorEastAsia" w:hAnsi="Helvetica Neue" w:cs="Times New Roman"/>
        </w:rPr>
        <w:t xml:space="preserve">managers </w:t>
      </w:r>
      <w:r w:rsidRPr="002E5374">
        <w:rPr>
          <w:rFonts w:ascii="Helvetica Neue" w:eastAsiaTheme="minorEastAsia" w:hAnsi="Helvetica Neue" w:cs="Times New Roman"/>
        </w:rPr>
        <w:t>employed by industrial companies (including construction companies), by catering service</w:t>
      </w:r>
      <w:r w:rsidR="00C1356A">
        <w:rPr>
          <w:rFonts w:ascii="Helvetica Neue" w:eastAsiaTheme="minorEastAsia" w:hAnsi="Helvetica Neue" w:cs="Times New Roman"/>
        </w:rPr>
        <w:t>s</w:t>
      </w:r>
      <w:r w:rsidRPr="002E5374">
        <w:rPr>
          <w:rFonts w:ascii="Helvetica Neue" w:eastAsiaTheme="minorEastAsia" w:hAnsi="Helvetica Neue" w:cs="Times New Roman"/>
        </w:rPr>
        <w:t xml:space="preserve"> providers and cleaning companies (only if more than 15 workers are employed in the six months prior to the application); by commercial, shipping and</w:t>
      </w:r>
      <w:r w:rsidR="007154BE">
        <w:rPr>
          <w:rFonts w:ascii="Helvetica Neue" w:eastAsiaTheme="minorEastAsia" w:hAnsi="Helvetica Neue" w:cs="Times New Roman"/>
        </w:rPr>
        <w:t xml:space="preserve"> </w:t>
      </w:r>
      <w:r w:rsidRPr="002E5374">
        <w:rPr>
          <w:rFonts w:ascii="Helvetica Neue" w:eastAsiaTheme="minorEastAsia" w:hAnsi="Helvetica Neue" w:cs="Times New Roman"/>
        </w:rPr>
        <w:t>transport companies, travel and tourism agencies with more than 50 employees (excluding apprentices</w:t>
      </w:r>
      <w:r w:rsidR="007A2FB4">
        <w:rPr>
          <w:rFonts w:ascii="Helvetica Neue" w:eastAsiaTheme="minorEastAsia" w:hAnsi="Helvetica Neue" w:cs="Times New Roman"/>
        </w:rPr>
        <w:t xml:space="preserve"> </w:t>
      </w:r>
      <w:r w:rsidRPr="002E5374">
        <w:rPr>
          <w:rFonts w:ascii="Helvetica Neue" w:eastAsiaTheme="minorEastAsia" w:hAnsi="Helvetica Neue" w:cs="Times New Roman"/>
        </w:rPr>
        <w:t>and trainees); by security service companies with more than 15 employees; and, airlines.</w:t>
      </w:r>
    </w:p>
    <w:p w14:paraId="29E6197A" w14:textId="77777777" w:rsidR="00962D10" w:rsidRPr="002E5374" w:rsidRDefault="008D75AF" w:rsidP="005657BC">
      <w:pPr>
        <w:pStyle w:val="BodyText"/>
        <w:spacing w:before="140" w:line="346" w:lineRule="exact"/>
        <w:ind w:left="0" w:right="47"/>
        <w:jc w:val="both"/>
        <w:rPr>
          <w:rFonts w:ascii="Helvetica Neue" w:eastAsiaTheme="minorEastAsia" w:hAnsi="Helvetica Neue" w:cs="Times New Roman"/>
        </w:rPr>
      </w:pPr>
      <w:r w:rsidRPr="002E5374">
        <w:rPr>
          <w:rFonts w:ascii="Helvetica Neue" w:eastAsiaTheme="minorEastAsia" w:hAnsi="Helvetica Neue" w:cs="Times New Roman"/>
        </w:rPr>
        <w:t xml:space="preserve">For each production unit, the extraordinary </w:t>
      </w:r>
      <w:r w:rsidR="00C1356A">
        <w:rPr>
          <w:rFonts w:ascii="Helvetica Neue" w:eastAsiaTheme="minorEastAsia" w:hAnsi="Helvetica Neue" w:cs="Times New Roman"/>
        </w:rPr>
        <w:t>treatments</w:t>
      </w:r>
      <w:r w:rsidR="00C1356A" w:rsidRPr="002E5374">
        <w:rPr>
          <w:rFonts w:ascii="Helvetica Neue" w:eastAsiaTheme="minorEastAsia" w:hAnsi="Helvetica Neue" w:cs="Times New Roman"/>
        </w:rPr>
        <w:t xml:space="preserve"> </w:t>
      </w:r>
      <w:r w:rsidRPr="002E5374">
        <w:rPr>
          <w:rFonts w:ascii="Helvetica Neue" w:eastAsiaTheme="minorEastAsia" w:hAnsi="Helvetica Neue" w:cs="Times New Roman"/>
        </w:rPr>
        <w:t>paid for any reason may not exceed 24</w:t>
      </w:r>
      <w:r w:rsidR="002E6024">
        <w:rPr>
          <w:rStyle w:val="FootnoteReference"/>
          <w:rFonts w:ascii="Helvetica Neue" w:eastAsiaTheme="minorEastAsia" w:hAnsi="Helvetica Neue" w:cs="Times New Roman"/>
        </w:rPr>
        <w:footnoteReference w:id="8"/>
      </w:r>
      <w:r w:rsidRPr="002E5374">
        <w:rPr>
          <w:rFonts w:ascii="Helvetica Neue" w:eastAsiaTheme="minorEastAsia" w:hAnsi="Helvetica Neue" w:cs="Times New Roman"/>
        </w:rPr>
        <w:t xml:space="preserve"> months (up to 36 in the case of Solidarity Contract) over a mobile five-year period.</w:t>
      </w:r>
    </w:p>
    <w:p w14:paraId="7B6C1C2F" w14:textId="77777777" w:rsidR="00962D10" w:rsidRDefault="008D75AF" w:rsidP="002E5374">
      <w:pPr>
        <w:pStyle w:val="Heading5"/>
        <w:spacing w:before="81"/>
        <w:jc w:val="both"/>
        <w:rPr>
          <w:i w:val="0"/>
        </w:rPr>
      </w:pPr>
      <w:r>
        <w:rPr>
          <w:spacing w:val="-2"/>
          <w:u w:val="single" w:color="000000"/>
        </w:rPr>
        <w:t>Extent</w:t>
      </w:r>
      <w:r>
        <w:rPr>
          <w:spacing w:val="-35"/>
          <w:u w:val="single" w:color="000000"/>
        </w:rPr>
        <w:t xml:space="preserve"> </w:t>
      </w:r>
      <w:r>
        <w:rPr>
          <w:spacing w:val="-2"/>
          <w:u w:val="single" w:color="000000"/>
        </w:rPr>
        <w:t>of</w:t>
      </w:r>
      <w:r>
        <w:rPr>
          <w:spacing w:val="-35"/>
          <w:u w:val="single" w:color="000000"/>
        </w:rPr>
        <w:t xml:space="preserve"> </w:t>
      </w:r>
      <w:r>
        <w:rPr>
          <w:u w:val="single" w:color="000000"/>
        </w:rPr>
        <w:t>the</w:t>
      </w:r>
      <w:r>
        <w:rPr>
          <w:spacing w:val="-36"/>
          <w:u w:val="single" w:color="000000"/>
        </w:rPr>
        <w:t xml:space="preserve"> </w:t>
      </w:r>
      <w:r>
        <w:rPr>
          <w:spacing w:val="-2"/>
          <w:u w:val="single" w:color="000000"/>
        </w:rPr>
        <w:t>benefit</w:t>
      </w:r>
    </w:p>
    <w:p w14:paraId="7D82201F" w14:textId="77777777" w:rsidR="00962D10" w:rsidRDefault="00962D10" w:rsidP="002E5374">
      <w:pPr>
        <w:spacing w:before="15"/>
        <w:jc w:val="both"/>
        <w:rPr>
          <w:rFonts w:ascii="Malgun Gothic" w:eastAsia="Malgun Gothic" w:hAnsi="Malgun Gothic" w:cs="Malgun Gothic"/>
          <w:i/>
          <w:sz w:val="8"/>
          <w:szCs w:val="8"/>
        </w:rPr>
      </w:pPr>
    </w:p>
    <w:p w14:paraId="04173895" w14:textId="77777777" w:rsidR="00962D10" w:rsidRPr="002E5374" w:rsidRDefault="008D75AF" w:rsidP="005657BC">
      <w:pPr>
        <w:pStyle w:val="BodyText"/>
        <w:spacing w:line="310" w:lineRule="exact"/>
        <w:ind w:left="0"/>
        <w:jc w:val="both"/>
        <w:rPr>
          <w:rFonts w:ascii="Helvetica Neue" w:eastAsiaTheme="minorEastAsia" w:hAnsi="Helvetica Neue" w:cs="Times New Roman"/>
        </w:rPr>
      </w:pPr>
      <w:r w:rsidRPr="002E5374">
        <w:rPr>
          <w:rFonts w:ascii="Helvetica Neue" w:eastAsiaTheme="minorEastAsia" w:hAnsi="Helvetica Neue" w:cs="Times New Roman"/>
        </w:rPr>
        <w:t>For both the ordinary and extraordinary allowances the amount of the benefit is 80 % of the total wage</w:t>
      </w:r>
    </w:p>
    <w:p w14:paraId="09E24E3A" w14:textId="77777777" w:rsidR="00962D10" w:rsidRPr="002E5374" w:rsidRDefault="008D75AF" w:rsidP="005657BC">
      <w:pPr>
        <w:pStyle w:val="BodyText"/>
        <w:spacing w:line="347" w:lineRule="exact"/>
        <w:ind w:left="0"/>
        <w:jc w:val="both"/>
        <w:rPr>
          <w:rFonts w:ascii="Helvetica Neue" w:eastAsiaTheme="minorEastAsia" w:hAnsi="Helvetica Neue" w:cs="Times New Roman"/>
        </w:rPr>
      </w:pPr>
      <w:proofErr w:type="gramStart"/>
      <w:r w:rsidRPr="002E5374">
        <w:rPr>
          <w:rFonts w:ascii="Helvetica Neue" w:eastAsiaTheme="minorEastAsia" w:hAnsi="Helvetica Neue" w:cs="Times New Roman"/>
        </w:rPr>
        <w:t>that</w:t>
      </w:r>
      <w:proofErr w:type="gramEnd"/>
      <w:r w:rsidRPr="002E5374">
        <w:rPr>
          <w:rFonts w:ascii="Helvetica Neue" w:eastAsiaTheme="minorEastAsia" w:hAnsi="Helvetica Neue" w:cs="Times New Roman"/>
        </w:rPr>
        <w:t xml:space="preserve"> the worker would have earned for hours not worked, up to a maximum of 40 hours per week.</w:t>
      </w:r>
    </w:p>
    <w:p w14:paraId="49DFACFC" w14:textId="77777777" w:rsidR="00962D10" w:rsidRPr="002E5374" w:rsidRDefault="008D75AF" w:rsidP="005657BC">
      <w:pPr>
        <w:pStyle w:val="BodyText"/>
        <w:spacing w:before="140" w:line="346" w:lineRule="exact"/>
        <w:ind w:left="0" w:right="124"/>
        <w:jc w:val="both"/>
        <w:rPr>
          <w:rFonts w:ascii="Helvetica Neue" w:eastAsiaTheme="minorEastAsia" w:hAnsi="Helvetica Neue" w:cs="Times New Roman"/>
        </w:rPr>
      </w:pPr>
      <w:r w:rsidRPr="002E5374">
        <w:rPr>
          <w:rFonts w:ascii="Helvetica Neue" w:eastAsiaTheme="minorEastAsia" w:hAnsi="Helvetica Neue" w:cs="Times New Roman"/>
        </w:rPr>
        <w:lastRenderedPageBreak/>
        <w:t xml:space="preserve">The amount to be paid is limited to a maximum monthly sum adjusted each year on the basis of the </w:t>
      </w:r>
      <w:proofErr w:type="spellStart"/>
      <w:r w:rsidRPr="002E5374">
        <w:rPr>
          <w:rFonts w:ascii="Helvetica Neue" w:eastAsiaTheme="minorEastAsia" w:hAnsi="Helvetica Neue" w:cs="Times New Roman"/>
        </w:rPr>
        <w:t>ISTAT</w:t>
      </w:r>
      <w:proofErr w:type="spellEnd"/>
      <w:r w:rsidRPr="002E5374">
        <w:rPr>
          <w:rFonts w:ascii="Helvetica Neue" w:eastAsiaTheme="minorEastAsia" w:hAnsi="Helvetica Neue" w:cs="Times New Roman"/>
        </w:rPr>
        <w:t xml:space="preserve"> consumer price index.</w:t>
      </w:r>
    </w:p>
    <w:p w14:paraId="24FC15F1" w14:textId="77777777" w:rsidR="00962D10" w:rsidRDefault="00962D10" w:rsidP="002E5374">
      <w:pPr>
        <w:spacing w:before="17"/>
        <w:jc w:val="both"/>
        <w:rPr>
          <w:rFonts w:ascii="Malgun Gothic" w:eastAsia="Malgun Gothic" w:hAnsi="Malgun Gothic" w:cs="Malgun Gothic"/>
          <w:sz w:val="20"/>
          <w:szCs w:val="20"/>
        </w:rPr>
      </w:pPr>
    </w:p>
    <w:p w14:paraId="75E28295" w14:textId="77777777" w:rsidR="007A2FB4" w:rsidRDefault="007A2FB4" w:rsidP="002E5374">
      <w:pPr>
        <w:spacing w:before="17"/>
        <w:jc w:val="both"/>
        <w:rPr>
          <w:rFonts w:ascii="Malgun Gothic" w:eastAsia="Malgun Gothic" w:hAnsi="Malgun Gothic" w:cs="Malgun Gothic"/>
          <w:sz w:val="20"/>
          <w:szCs w:val="20"/>
        </w:rPr>
      </w:pPr>
    </w:p>
    <w:p w14:paraId="0DB88BA3" w14:textId="77777777" w:rsidR="007A2FB4" w:rsidRDefault="007A2FB4" w:rsidP="002E5374">
      <w:pPr>
        <w:spacing w:before="17"/>
        <w:jc w:val="both"/>
        <w:rPr>
          <w:rFonts w:ascii="Malgun Gothic" w:eastAsia="Malgun Gothic" w:hAnsi="Malgun Gothic" w:cs="Malgun Gothic"/>
          <w:sz w:val="20"/>
          <w:szCs w:val="20"/>
        </w:rPr>
      </w:pPr>
    </w:p>
    <w:p w14:paraId="7BD1A947" w14:textId="77777777" w:rsidR="00962D10" w:rsidRDefault="008D75AF" w:rsidP="002E5374">
      <w:pPr>
        <w:pStyle w:val="Heading1"/>
        <w:ind w:firstLine="0"/>
        <w:jc w:val="both"/>
        <w:rPr>
          <w:b w:val="0"/>
          <w:bCs w:val="0"/>
        </w:rPr>
      </w:pPr>
      <w:r>
        <w:rPr>
          <w:spacing w:val="-1"/>
        </w:rPr>
        <w:t>4.</w:t>
      </w:r>
      <w:r>
        <w:t xml:space="preserve"> </w:t>
      </w:r>
      <w:r>
        <w:rPr>
          <w:spacing w:val="16"/>
        </w:rPr>
        <w:t xml:space="preserve"> </w:t>
      </w:r>
      <w:r>
        <w:rPr>
          <w:spacing w:val="-1"/>
        </w:rPr>
        <w:t>UNIVERSAL</w:t>
      </w:r>
      <w:r>
        <w:rPr>
          <w:spacing w:val="-3"/>
        </w:rPr>
        <w:t xml:space="preserve"> </w:t>
      </w:r>
      <w:r>
        <w:rPr>
          <w:spacing w:val="-1"/>
        </w:rPr>
        <w:t>COVERAGE</w:t>
      </w:r>
    </w:p>
    <w:p w14:paraId="35580A6B" w14:textId="77777777" w:rsidR="00962D10" w:rsidRDefault="00962D10" w:rsidP="002E5374">
      <w:pPr>
        <w:spacing w:before="11"/>
        <w:jc w:val="both"/>
        <w:rPr>
          <w:rFonts w:ascii="Calibri" w:eastAsia="Calibri" w:hAnsi="Calibri" w:cs="Calibri"/>
          <w:b/>
          <w:bCs/>
        </w:rPr>
      </w:pPr>
    </w:p>
    <w:p w14:paraId="0D948E01" w14:textId="77777777" w:rsidR="00962D10" w:rsidRDefault="008D75AF" w:rsidP="002E5374">
      <w:pPr>
        <w:pStyle w:val="Heading2"/>
        <w:ind w:left="1557" w:firstLine="0"/>
        <w:jc w:val="both"/>
        <w:rPr>
          <w:b w:val="0"/>
          <w:bCs w:val="0"/>
        </w:rPr>
      </w:pPr>
      <w:r>
        <w:t>4.1</w:t>
      </w:r>
      <w:r>
        <w:rPr>
          <w:spacing w:val="-10"/>
        </w:rPr>
        <w:t xml:space="preserve"> </w:t>
      </w:r>
      <w:r>
        <w:rPr>
          <w:spacing w:val="-1"/>
        </w:rPr>
        <w:t>RELATIONS</w:t>
      </w:r>
      <w:r>
        <w:rPr>
          <w:spacing w:val="-7"/>
        </w:rPr>
        <w:t xml:space="preserve"> </w:t>
      </w:r>
      <w:r>
        <w:rPr>
          <w:spacing w:val="-1"/>
        </w:rPr>
        <w:t>BETWEEN</w:t>
      </w:r>
      <w:r>
        <w:rPr>
          <w:spacing w:val="-5"/>
        </w:rPr>
        <w:t xml:space="preserve"> </w:t>
      </w:r>
      <w:r>
        <w:rPr>
          <w:spacing w:val="-1"/>
        </w:rPr>
        <w:t>SOCIAL</w:t>
      </w:r>
      <w:r>
        <w:rPr>
          <w:spacing w:val="-7"/>
        </w:rPr>
        <w:t xml:space="preserve"> </w:t>
      </w:r>
      <w:r>
        <w:rPr>
          <w:spacing w:val="-1"/>
        </w:rPr>
        <w:t>SECURITY</w:t>
      </w:r>
      <w:r>
        <w:rPr>
          <w:spacing w:val="-6"/>
        </w:rPr>
        <w:t xml:space="preserve"> </w:t>
      </w:r>
      <w:r>
        <w:t>AND</w:t>
      </w:r>
      <w:r>
        <w:rPr>
          <w:spacing w:val="-9"/>
        </w:rPr>
        <w:t xml:space="preserve"> </w:t>
      </w:r>
      <w:r>
        <w:rPr>
          <w:spacing w:val="-1"/>
        </w:rPr>
        <w:t>EMPLOYMENT</w:t>
      </w:r>
      <w:r>
        <w:rPr>
          <w:spacing w:val="-5"/>
        </w:rPr>
        <w:t xml:space="preserve"> </w:t>
      </w:r>
      <w:r>
        <w:rPr>
          <w:spacing w:val="-1"/>
        </w:rPr>
        <w:t>POLICIES</w:t>
      </w:r>
    </w:p>
    <w:p w14:paraId="17187BC1" w14:textId="77777777" w:rsidR="00962D10" w:rsidRDefault="00962D10" w:rsidP="002E5374">
      <w:pPr>
        <w:spacing w:before="6"/>
        <w:jc w:val="both"/>
        <w:rPr>
          <w:rFonts w:ascii="Calibri" w:eastAsia="Calibri" w:hAnsi="Calibri" w:cs="Calibri"/>
          <w:b/>
          <w:bCs/>
          <w:sz w:val="19"/>
          <w:szCs w:val="19"/>
        </w:rPr>
      </w:pPr>
    </w:p>
    <w:p w14:paraId="21506837" w14:textId="77777777" w:rsidR="00962D10" w:rsidRPr="002E5374" w:rsidRDefault="008D75AF" w:rsidP="005657BC">
      <w:pPr>
        <w:pStyle w:val="BodyText"/>
        <w:ind w:left="0"/>
        <w:jc w:val="both"/>
        <w:rPr>
          <w:rFonts w:ascii="Helvetica Neue" w:eastAsiaTheme="minorEastAsia" w:hAnsi="Helvetica Neue" w:cs="Times New Roman"/>
        </w:rPr>
      </w:pPr>
      <w:r w:rsidRPr="002E5374">
        <w:rPr>
          <w:rFonts w:ascii="Helvetica Neue" w:eastAsiaTheme="minorEastAsia" w:hAnsi="Helvetica Neue" w:cs="Times New Roman"/>
        </w:rPr>
        <w:t>Source: processing of INPS internal data</w:t>
      </w:r>
    </w:p>
    <w:p w14:paraId="24BADC4D" w14:textId="77777777" w:rsidR="00962D10" w:rsidRPr="002E5374" w:rsidRDefault="008D75AF" w:rsidP="005657BC">
      <w:pPr>
        <w:pStyle w:val="BodyText"/>
        <w:spacing w:before="117"/>
        <w:ind w:left="0"/>
        <w:jc w:val="both"/>
        <w:rPr>
          <w:rFonts w:ascii="Helvetica Neue" w:eastAsiaTheme="minorEastAsia" w:hAnsi="Helvetica Neue" w:cs="Times New Roman"/>
        </w:rPr>
      </w:pPr>
      <w:r w:rsidRPr="002E5374">
        <w:rPr>
          <w:rFonts w:ascii="Helvetica Neue" w:eastAsiaTheme="minorEastAsia" w:hAnsi="Helvetica Neue" w:cs="Times New Roman"/>
        </w:rPr>
        <w:t>Over the past thirty years, the Italian social security system was affected by structural reforms aimed at:</w:t>
      </w:r>
    </w:p>
    <w:p w14:paraId="2FA2330A" w14:textId="77777777" w:rsidR="005657BC" w:rsidRDefault="008D75AF" w:rsidP="005657BC">
      <w:pPr>
        <w:pStyle w:val="BodyText"/>
        <w:numPr>
          <w:ilvl w:val="0"/>
          <w:numId w:val="18"/>
        </w:numPr>
        <w:tabs>
          <w:tab w:val="left" w:pos="271"/>
        </w:tabs>
        <w:spacing w:before="140" w:line="346" w:lineRule="exact"/>
        <w:ind w:right="19"/>
        <w:jc w:val="both"/>
        <w:rPr>
          <w:rFonts w:ascii="Helvetica Neue" w:eastAsiaTheme="minorEastAsia" w:hAnsi="Helvetica Neue" w:cs="Times New Roman"/>
        </w:rPr>
      </w:pPr>
      <w:r w:rsidRPr="002E5374">
        <w:rPr>
          <w:rFonts w:ascii="Helvetica Neue" w:eastAsiaTheme="minorEastAsia" w:hAnsi="Helvetica Neue" w:cs="Times New Roman"/>
        </w:rPr>
        <w:t>The progressive control of public expenditure on pensions, which was assuming large proportions with respect to the Gross Domestic Product;</w:t>
      </w:r>
    </w:p>
    <w:p w14:paraId="7C8CE1E4" w14:textId="77777777" w:rsidR="00962D10" w:rsidRPr="005657BC" w:rsidRDefault="008D75AF" w:rsidP="005657BC">
      <w:pPr>
        <w:pStyle w:val="BodyText"/>
        <w:numPr>
          <w:ilvl w:val="0"/>
          <w:numId w:val="18"/>
        </w:numPr>
        <w:tabs>
          <w:tab w:val="left" w:pos="271"/>
        </w:tabs>
        <w:spacing w:before="140" w:line="346" w:lineRule="exact"/>
        <w:ind w:right="47"/>
        <w:jc w:val="both"/>
        <w:rPr>
          <w:rFonts w:ascii="Helvetica Neue" w:eastAsiaTheme="minorEastAsia" w:hAnsi="Helvetica Neue" w:cs="Times New Roman"/>
        </w:rPr>
      </w:pPr>
      <w:r w:rsidRPr="005657BC">
        <w:rPr>
          <w:rFonts w:ascii="Helvetica Neue" w:eastAsiaTheme="minorEastAsia" w:hAnsi="Helvetica Neue" w:cs="Times New Roman"/>
        </w:rPr>
        <w:t>The establishment of a supplementary social security system that works alongside the public one.</w:t>
      </w:r>
    </w:p>
    <w:p w14:paraId="43C2F12C" w14:textId="77777777" w:rsidR="00962D10" w:rsidRPr="002E5374" w:rsidRDefault="008D75AF" w:rsidP="005657BC">
      <w:pPr>
        <w:pStyle w:val="BodyText"/>
        <w:spacing w:before="140"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 xml:space="preserve">To understand the scope of these reforms, it is important to </w:t>
      </w:r>
      <w:proofErr w:type="spellStart"/>
      <w:r w:rsidRPr="002E5374">
        <w:rPr>
          <w:rFonts w:ascii="Helvetica Neue" w:eastAsiaTheme="minorEastAsia" w:hAnsi="Helvetica Neue" w:cs="Times New Roman"/>
        </w:rPr>
        <w:t>summarise</w:t>
      </w:r>
      <w:proofErr w:type="spellEnd"/>
      <w:r w:rsidRPr="002E5374">
        <w:rPr>
          <w:rFonts w:ascii="Helvetica Neue" w:eastAsiaTheme="minorEastAsia" w:hAnsi="Helvetica Neue" w:cs="Times New Roman"/>
        </w:rPr>
        <w:t xml:space="preserve"> - albeit briefly - the most important stages of the evolvement of the pension system in our country.</w:t>
      </w:r>
    </w:p>
    <w:p w14:paraId="28AAFCE1" w14:textId="77777777" w:rsidR="00962D10" w:rsidRPr="002E5374" w:rsidRDefault="008D75AF" w:rsidP="005657BC">
      <w:pPr>
        <w:pStyle w:val="BodyText"/>
        <w:spacing w:before="122"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 xml:space="preserve">During the Seventies, just like the majority of western countries, Italy was affected by a major slowdown in the economy, caused mainly by the oil crisis of the 1973-1976 </w:t>
      </w:r>
      <w:proofErr w:type="gramStart"/>
      <w:r w:rsidRPr="002E5374">
        <w:rPr>
          <w:rFonts w:ascii="Helvetica Neue" w:eastAsiaTheme="minorEastAsia" w:hAnsi="Helvetica Neue" w:cs="Times New Roman"/>
        </w:rPr>
        <w:t>period which</w:t>
      </w:r>
      <w:proofErr w:type="gramEnd"/>
      <w:r w:rsidRPr="002E5374">
        <w:rPr>
          <w:rFonts w:ascii="Helvetica Neue" w:eastAsiaTheme="minorEastAsia" w:hAnsi="Helvetica Neue" w:cs="Times New Roman"/>
        </w:rPr>
        <w:t xml:space="preserve"> shook the country’s economic framework.</w:t>
      </w:r>
    </w:p>
    <w:p w14:paraId="42B3F9B0" w14:textId="77777777" w:rsidR="00962D10" w:rsidRPr="002E5374" w:rsidRDefault="008D75AF" w:rsidP="005657BC">
      <w:pPr>
        <w:pStyle w:val="BodyText"/>
        <w:spacing w:before="119"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 xml:space="preserve">The State had to incur greater expenditure in support of businesses in a crisis and those who could not find employment; this contributed </w:t>
      </w:r>
      <w:r w:rsidR="00061EBD">
        <w:rPr>
          <w:rFonts w:ascii="Helvetica Neue" w:eastAsiaTheme="minorEastAsia" w:hAnsi="Helvetica Neue" w:cs="Times New Roman"/>
        </w:rPr>
        <w:t xml:space="preserve">to </w:t>
      </w:r>
      <w:r w:rsidRPr="002E5374">
        <w:rPr>
          <w:rFonts w:ascii="Helvetica Neue" w:eastAsiaTheme="minorEastAsia" w:hAnsi="Helvetica Neue" w:cs="Times New Roman"/>
        </w:rPr>
        <w:t xml:space="preserve"> </w:t>
      </w:r>
      <w:r w:rsidR="00061EBD">
        <w:rPr>
          <w:rFonts w:ascii="Helvetica Neue" w:eastAsiaTheme="minorEastAsia" w:hAnsi="Helvetica Neue" w:cs="Times New Roman"/>
        </w:rPr>
        <w:t xml:space="preserve"> create </w:t>
      </w:r>
      <w:r w:rsidRPr="002E5374">
        <w:rPr>
          <w:rFonts w:ascii="Helvetica Neue" w:eastAsiaTheme="minorEastAsia" w:hAnsi="Helvetica Neue" w:cs="Times New Roman"/>
        </w:rPr>
        <w:t>a difficult situation for public finances, caused by the strong increase in public debt.</w:t>
      </w:r>
    </w:p>
    <w:p w14:paraId="0D7EA663" w14:textId="77777777" w:rsidR="00962D10" w:rsidRPr="002E5374" w:rsidRDefault="008D75AF" w:rsidP="005657BC">
      <w:pPr>
        <w:pStyle w:val="BodyText"/>
        <w:spacing w:before="98" w:line="238" w:lineRule="auto"/>
        <w:ind w:left="0" w:right="5"/>
        <w:jc w:val="both"/>
        <w:rPr>
          <w:rFonts w:ascii="Helvetica Neue" w:eastAsiaTheme="minorEastAsia" w:hAnsi="Helvetica Neue" w:cs="Times New Roman"/>
        </w:rPr>
      </w:pPr>
      <w:r w:rsidRPr="002E5374">
        <w:rPr>
          <w:rFonts w:ascii="Helvetica Neue" w:eastAsiaTheme="minorEastAsia" w:hAnsi="Helvetica Neue" w:cs="Times New Roman"/>
        </w:rPr>
        <w:t xml:space="preserve">During the Eighties, there was an increased awareness in most </w:t>
      </w:r>
      <w:proofErr w:type="spellStart"/>
      <w:r w:rsidRPr="002E5374">
        <w:rPr>
          <w:rFonts w:ascii="Helvetica Neue" w:eastAsiaTheme="minorEastAsia" w:hAnsi="Helvetica Neue" w:cs="Times New Roman"/>
        </w:rPr>
        <w:t>industrialised</w:t>
      </w:r>
      <w:proofErr w:type="spellEnd"/>
      <w:r w:rsidRPr="002E5374">
        <w:rPr>
          <w:rFonts w:ascii="Helvetica Neue" w:eastAsiaTheme="minorEastAsia" w:hAnsi="Helvetica Neue" w:cs="Times New Roman"/>
        </w:rPr>
        <w:t xml:space="preserve"> countries regarding the need to provide </w:t>
      </w:r>
      <w:r w:rsidR="00061EBD">
        <w:rPr>
          <w:rFonts w:ascii="Helvetica Neue" w:eastAsiaTheme="minorEastAsia" w:hAnsi="Helvetica Neue" w:cs="Times New Roman"/>
        </w:rPr>
        <w:t xml:space="preserve">the restoration of the equilibrium of the public finances </w:t>
      </w:r>
      <w:r w:rsidRPr="002E5374">
        <w:rPr>
          <w:rFonts w:ascii="Helvetica Neue" w:eastAsiaTheme="minorEastAsia" w:hAnsi="Helvetica Neue" w:cs="Times New Roman"/>
        </w:rPr>
        <w:t xml:space="preserve">through the downsizing of current expenditure. In Italy, only at the end of the decade corrective action of budget deficits </w:t>
      </w:r>
      <w:r w:rsidR="006709BA">
        <w:rPr>
          <w:rFonts w:ascii="Helvetica Neue" w:eastAsiaTheme="minorEastAsia" w:hAnsi="Helvetica Neue" w:cs="Times New Roman"/>
        </w:rPr>
        <w:t xml:space="preserve">has been carried out, </w:t>
      </w:r>
      <w:r w:rsidRPr="002E5374">
        <w:rPr>
          <w:rFonts w:ascii="Helvetica Neue" w:eastAsiaTheme="minorEastAsia" w:hAnsi="Helvetica Neue" w:cs="Times New Roman"/>
        </w:rPr>
        <w:t>based on the tightening of fiscal pressure.</w:t>
      </w:r>
    </w:p>
    <w:p w14:paraId="4EC1E873" w14:textId="77777777" w:rsidR="00962D10" w:rsidRPr="002E5374" w:rsidRDefault="006709BA" w:rsidP="005657BC">
      <w:pPr>
        <w:pStyle w:val="BodyText"/>
        <w:spacing w:before="117"/>
        <w:ind w:left="0" w:right="5"/>
        <w:jc w:val="both"/>
        <w:rPr>
          <w:rFonts w:ascii="Helvetica Neue" w:eastAsiaTheme="minorEastAsia" w:hAnsi="Helvetica Neue" w:cs="Times New Roman"/>
        </w:rPr>
      </w:pPr>
      <w:r>
        <w:rPr>
          <w:rFonts w:ascii="Helvetica Neue" w:eastAsiaTheme="minorEastAsia" w:hAnsi="Helvetica Neue" w:cs="Times New Roman"/>
        </w:rPr>
        <w:t>I</w:t>
      </w:r>
      <w:r w:rsidRPr="002E5374">
        <w:rPr>
          <w:rFonts w:ascii="Helvetica Neue" w:eastAsiaTheme="minorEastAsia" w:hAnsi="Helvetica Neue" w:cs="Times New Roman"/>
        </w:rPr>
        <w:t>n the Nineties</w:t>
      </w:r>
      <w:r>
        <w:rPr>
          <w:rFonts w:ascii="Helvetica Neue" w:eastAsiaTheme="minorEastAsia" w:hAnsi="Helvetica Neue" w:cs="Times New Roman"/>
        </w:rPr>
        <w:t xml:space="preserve">, </w:t>
      </w:r>
      <w:r w:rsidR="008D75AF" w:rsidRPr="002E5374">
        <w:rPr>
          <w:rFonts w:ascii="Helvetica Neue" w:eastAsiaTheme="minorEastAsia" w:hAnsi="Helvetica Neue" w:cs="Times New Roman"/>
        </w:rPr>
        <w:t>Structural reforms were launched that also affected the pension sector.</w:t>
      </w:r>
    </w:p>
    <w:p w14:paraId="7FFF5E5D" w14:textId="77777777" w:rsidR="00962D10" w:rsidRPr="002E5374" w:rsidRDefault="008D75AF" w:rsidP="005657BC">
      <w:pPr>
        <w:pStyle w:val="BodyText"/>
        <w:spacing w:before="140"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 xml:space="preserve">In our country, the public pension system (INPS, </w:t>
      </w:r>
      <w:proofErr w:type="spellStart"/>
      <w:r w:rsidRPr="002E5374">
        <w:rPr>
          <w:rFonts w:ascii="Helvetica Neue" w:eastAsiaTheme="minorEastAsia" w:hAnsi="Helvetica Neue" w:cs="Times New Roman"/>
        </w:rPr>
        <w:t>INPDAP</w:t>
      </w:r>
      <w:proofErr w:type="spellEnd"/>
      <w:r w:rsidRPr="002E5374">
        <w:rPr>
          <w:rFonts w:ascii="Helvetica Neue" w:eastAsiaTheme="minorEastAsia" w:hAnsi="Helvetica Neue" w:cs="Times New Roman"/>
        </w:rPr>
        <w:t>, etc.) is financed according to a pay-as-you-go system. This means that the contributions that workers and companies pay to social security institutions</w:t>
      </w:r>
      <w:r w:rsidR="002E6024">
        <w:rPr>
          <w:rFonts w:ascii="Helvetica Neue" w:eastAsiaTheme="minorEastAsia" w:hAnsi="Helvetica Neue" w:cs="Times New Roman"/>
        </w:rPr>
        <w:t xml:space="preserve"> </w:t>
      </w:r>
      <w:r w:rsidRPr="002E5374">
        <w:rPr>
          <w:rFonts w:ascii="Helvetica Neue" w:eastAsiaTheme="minorEastAsia" w:hAnsi="Helvetica Neue" w:cs="Times New Roman"/>
        </w:rPr>
        <w:t>are used to pay for the pensions of those who have retired from work. Therefore, there is no reserve</w:t>
      </w:r>
      <w:r w:rsidR="002C2E35">
        <w:rPr>
          <w:rFonts w:ascii="Helvetica Neue" w:eastAsiaTheme="minorEastAsia" w:hAnsi="Helvetica Neue" w:cs="Times New Roman"/>
        </w:rPr>
        <w:t xml:space="preserve"> </w:t>
      </w:r>
      <w:r w:rsidRPr="002E5374">
        <w:rPr>
          <w:rFonts w:ascii="Helvetica Neue" w:eastAsiaTheme="minorEastAsia" w:hAnsi="Helvetica Neue" w:cs="Times New Roman"/>
        </w:rPr>
        <w:t>accumulation to meet the payment of future pensions.</w:t>
      </w:r>
    </w:p>
    <w:p w14:paraId="02D406C8" w14:textId="77777777" w:rsidR="00962D10" w:rsidRPr="002E5374" w:rsidRDefault="008D75AF" w:rsidP="005657BC">
      <w:pPr>
        <w:pStyle w:val="BodyText"/>
        <w:spacing w:before="140"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 xml:space="preserve">It is evident that in a system </w:t>
      </w:r>
      <w:proofErr w:type="spellStart"/>
      <w:r w:rsidRPr="002E5374">
        <w:rPr>
          <w:rFonts w:ascii="Helvetica Neue" w:eastAsiaTheme="minorEastAsia" w:hAnsi="Helvetica Neue" w:cs="Times New Roman"/>
        </w:rPr>
        <w:t>organised</w:t>
      </w:r>
      <w:proofErr w:type="spellEnd"/>
      <w:r w:rsidRPr="002E5374">
        <w:rPr>
          <w:rFonts w:ascii="Helvetica Neue" w:eastAsiaTheme="minorEastAsia" w:hAnsi="Helvetica Neue" w:cs="Times New Roman"/>
        </w:rPr>
        <w:t xml:space="preserve"> in such a way, </w:t>
      </w:r>
      <w:r w:rsidR="002C2E35">
        <w:rPr>
          <w:rFonts w:ascii="Helvetica Neue" w:eastAsiaTheme="minorEastAsia" w:hAnsi="Helvetica Neue" w:cs="Times New Roman"/>
        </w:rPr>
        <w:t xml:space="preserve">cash flow </w:t>
      </w:r>
      <w:r w:rsidR="005657BC">
        <w:rPr>
          <w:rFonts w:ascii="Helvetica Neue" w:eastAsiaTheme="minorEastAsia" w:hAnsi="Helvetica Neue" w:cs="Times New Roman"/>
        </w:rPr>
        <w:t xml:space="preserve">revenue </w:t>
      </w:r>
      <w:r w:rsidRPr="002E5374">
        <w:rPr>
          <w:rFonts w:ascii="Helvetica Neue" w:eastAsiaTheme="minorEastAsia" w:hAnsi="Helvetica Neue" w:cs="Times New Roman"/>
        </w:rPr>
        <w:t>(represented by contributions) must be in balance with the level of expenditure (pensions paid).</w:t>
      </w:r>
    </w:p>
    <w:p w14:paraId="1B14D6D6" w14:textId="77777777" w:rsidR="00962D10" w:rsidRPr="002E5374" w:rsidRDefault="008D75AF" w:rsidP="005657BC">
      <w:pPr>
        <w:pStyle w:val="BodyText"/>
        <w:spacing w:before="98" w:line="239" w:lineRule="auto"/>
        <w:ind w:left="0" w:right="5"/>
        <w:jc w:val="both"/>
        <w:rPr>
          <w:rFonts w:ascii="Helvetica Neue" w:eastAsiaTheme="minorEastAsia" w:hAnsi="Helvetica Neue" w:cs="Times New Roman"/>
        </w:rPr>
      </w:pPr>
      <w:r w:rsidRPr="002E5374">
        <w:rPr>
          <w:rFonts w:ascii="Helvetica Neue" w:eastAsiaTheme="minorEastAsia" w:hAnsi="Helvetica Neue" w:cs="Times New Roman"/>
        </w:rPr>
        <w:t>In Italy, on the one hand, the progressive increase in the average life expectancy of the population has led to the payment of pensions for a longer period and, on the other hand, the slowdown in economic growth has curbed revenue contributions.</w:t>
      </w:r>
    </w:p>
    <w:p w14:paraId="0982A1B8" w14:textId="77777777" w:rsidR="00962D10" w:rsidRPr="002E5374" w:rsidRDefault="008D75AF" w:rsidP="005657BC">
      <w:pPr>
        <w:pStyle w:val="BodyText"/>
        <w:spacing w:before="140" w:line="346" w:lineRule="exact"/>
        <w:ind w:left="0" w:right="5"/>
        <w:jc w:val="both"/>
        <w:rPr>
          <w:rFonts w:ascii="Helvetica Neue" w:eastAsiaTheme="minorEastAsia" w:hAnsi="Helvetica Neue" w:cs="Times New Roman"/>
        </w:rPr>
      </w:pPr>
      <w:r w:rsidRPr="002E5374">
        <w:rPr>
          <w:rFonts w:ascii="Helvetica Neue" w:eastAsiaTheme="minorEastAsia" w:hAnsi="Helvetica Neue" w:cs="Times New Roman"/>
        </w:rPr>
        <w:t>To address this situation, a series of reforms have been implemented that are all designed to bring pension expenditure under control.</w:t>
      </w:r>
    </w:p>
    <w:p w14:paraId="7382CF61" w14:textId="77777777" w:rsidR="00962D10" w:rsidRPr="002E5374" w:rsidRDefault="008D75AF" w:rsidP="005657BC">
      <w:pPr>
        <w:pStyle w:val="BodyText"/>
        <w:spacing w:before="96"/>
        <w:ind w:left="0" w:right="5"/>
        <w:jc w:val="both"/>
        <w:rPr>
          <w:rFonts w:ascii="Helvetica Neue" w:eastAsiaTheme="minorEastAsia" w:hAnsi="Helvetica Neue" w:cs="Times New Roman"/>
        </w:rPr>
      </w:pPr>
      <w:r w:rsidRPr="002E5374">
        <w:rPr>
          <w:rFonts w:ascii="Helvetica Neue" w:eastAsiaTheme="minorEastAsia" w:hAnsi="Helvetica Neue" w:cs="Times New Roman"/>
        </w:rPr>
        <w:t>In chronological order, these are the main changes introduced in Italy by the public pension reforms system and at the same time, the development of supplementary social security:</w:t>
      </w:r>
    </w:p>
    <w:p w14:paraId="7C5ABDA3" w14:textId="77777777" w:rsidR="00962D10" w:rsidRPr="00773CA4" w:rsidRDefault="008D75AF" w:rsidP="005657BC">
      <w:pPr>
        <w:pStyle w:val="BodyText"/>
        <w:numPr>
          <w:ilvl w:val="0"/>
          <w:numId w:val="19"/>
        </w:numPr>
        <w:tabs>
          <w:tab w:val="left" w:pos="278"/>
        </w:tabs>
        <w:spacing w:before="20" w:line="346" w:lineRule="exact"/>
        <w:ind w:right="47"/>
        <w:jc w:val="both"/>
        <w:rPr>
          <w:rFonts w:ascii="Helvetica Neue" w:eastAsiaTheme="minorEastAsia" w:hAnsi="Helvetica Neue" w:cs="Times New Roman"/>
        </w:rPr>
      </w:pPr>
      <w:r w:rsidRPr="00773CA4">
        <w:rPr>
          <w:rFonts w:ascii="Helvetica Neue" w:eastAsiaTheme="minorEastAsia" w:hAnsi="Helvetica Neue" w:cs="Times New Roman"/>
        </w:rPr>
        <w:t xml:space="preserve">Up to December 1992: workers registered </w:t>
      </w:r>
      <w:r w:rsidR="002C2E35" w:rsidRPr="00773CA4">
        <w:rPr>
          <w:rFonts w:ascii="Helvetica Neue" w:eastAsiaTheme="minorEastAsia" w:hAnsi="Helvetica Neue" w:cs="Times New Roman"/>
        </w:rPr>
        <w:t>to</w:t>
      </w:r>
      <w:r w:rsidRPr="00773CA4">
        <w:rPr>
          <w:rFonts w:ascii="Helvetica Neue" w:eastAsiaTheme="minorEastAsia" w:hAnsi="Helvetica Neue" w:cs="Times New Roman"/>
        </w:rPr>
        <w:t xml:space="preserve"> INPS received a pension whose amount was linked to the remuneration received in the last years of employment. With an average revaluation of 2 per cent </w:t>
      </w:r>
      <w:r w:rsidRPr="00773CA4">
        <w:rPr>
          <w:rFonts w:ascii="Helvetica Neue" w:eastAsiaTheme="minorEastAsia" w:hAnsi="Helvetica Neue" w:cs="Times New Roman"/>
        </w:rPr>
        <w:lastRenderedPageBreak/>
        <w:t>for every year of contribution</w:t>
      </w:r>
      <w:r w:rsidR="002C2E35" w:rsidRPr="00773CA4">
        <w:rPr>
          <w:rFonts w:ascii="Helvetica Neue" w:eastAsiaTheme="minorEastAsia" w:hAnsi="Helvetica Neue" w:cs="Times New Roman"/>
        </w:rPr>
        <w:t>,</w:t>
      </w:r>
      <w:r w:rsidRPr="00773CA4">
        <w:rPr>
          <w:rFonts w:ascii="Helvetica Neue" w:eastAsiaTheme="minorEastAsia" w:hAnsi="Helvetica Neue" w:cs="Times New Roman"/>
        </w:rPr>
        <w:t xml:space="preserve"> for 40 years of payments, </w:t>
      </w:r>
      <w:r w:rsidR="00A86524">
        <w:rPr>
          <w:rFonts w:ascii="Helvetica Neue" w:eastAsiaTheme="minorEastAsia" w:hAnsi="Helvetica Neue" w:cs="Times New Roman"/>
        </w:rPr>
        <w:t xml:space="preserve">the amount of the </w:t>
      </w:r>
      <w:r w:rsidRPr="00773CA4">
        <w:rPr>
          <w:rFonts w:ascii="Helvetica Neue" w:eastAsiaTheme="minorEastAsia" w:hAnsi="Helvetica Neue" w:cs="Times New Roman"/>
        </w:rPr>
        <w:t>pension corresponded to about</w:t>
      </w:r>
      <w:r w:rsidR="00773CA4">
        <w:rPr>
          <w:rFonts w:ascii="Helvetica Neue" w:eastAsiaTheme="minorEastAsia" w:hAnsi="Helvetica Neue" w:cs="Times New Roman"/>
        </w:rPr>
        <w:t xml:space="preserve"> </w:t>
      </w:r>
      <w:r w:rsidRPr="00773CA4">
        <w:rPr>
          <w:rFonts w:ascii="Helvetica Neue" w:eastAsiaTheme="minorEastAsia" w:hAnsi="Helvetica Neue" w:cs="Times New Roman"/>
        </w:rPr>
        <w:t xml:space="preserve">80 per cent of the remuneration earned in the last period of employment. Furthermore, the </w:t>
      </w:r>
      <w:r w:rsidR="002C2E35" w:rsidRPr="00773CA4">
        <w:rPr>
          <w:rFonts w:ascii="Helvetica Neue" w:eastAsiaTheme="minorEastAsia" w:hAnsi="Helvetica Neue" w:cs="Times New Roman"/>
        </w:rPr>
        <w:t xml:space="preserve">payable </w:t>
      </w:r>
      <w:r w:rsidR="005657BC">
        <w:rPr>
          <w:rFonts w:ascii="Helvetica Neue" w:eastAsiaTheme="minorEastAsia" w:hAnsi="Helvetica Neue" w:cs="Times New Roman"/>
        </w:rPr>
        <w:t xml:space="preserve">pension </w:t>
      </w:r>
      <w:r w:rsidRPr="00773CA4">
        <w:rPr>
          <w:rFonts w:ascii="Helvetica Neue" w:eastAsiaTheme="minorEastAsia" w:hAnsi="Helvetica Neue" w:cs="Times New Roman"/>
        </w:rPr>
        <w:t>was revalued in subsequent years by taking two fundamental elements into account: price</w:t>
      </w:r>
      <w:r w:rsidR="0087246B">
        <w:rPr>
          <w:rFonts w:ascii="Helvetica Neue" w:eastAsiaTheme="minorEastAsia" w:hAnsi="Helvetica Neue" w:cs="Times New Roman"/>
        </w:rPr>
        <w:t>s</w:t>
      </w:r>
      <w:r w:rsidRPr="00773CA4">
        <w:rPr>
          <w:rFonts w:ascii="Helvetica Neue" w:eastAsiaTheme="minorEastAsia" w:hAnsi="Helvetica Neue" w:cs="Times New Roman"/>
        </w:rPr>
        <w:t xml:space="preserve"> increase and the rise in real wages.</w:t>
      </w:r>
    </w:p>
    <w:p w14:paraId="402A0ABB" w14:textId="77777777" w:rsidR="00962D10" w:rsidRPr="009B1AEC" w:rsidRDefault="008D75AF" w:rsidP="005657BC">
      <w:pPr>
        <w:pStyle w:val="BodyText"/>
        <w:spacing w:before="119" w:line="346" w:lineRule="exact"/>
        <w:ind w:left="0" w:right="33"/>
        <w:jc w:val="both"/>
        <w:rPr>
          <w:rFonts w:ascii="Helvetica Neue" w:eastAsiaTheme="minorEastAsia" w:hAnsi="Helvetica Neue" w:cs="Times New Roman"/>
        </w:rPr>
      </w:pPr>
      <w:r w:rsidRPr="009B1AEC">
        <w:rPr>
          <w:rFonts w:ascii="Helvetica Neue" w:eastAsiaTheme="minorEastAsia" w:hAnsi="Helvetica Neue" w:cs="Times New Roman"/>
        </w:rPr>
        <w:t>In this phase</w:t>
      </w:r>
      <w:proofErr w:type="gramStart"/>
      <w:r w:rsidRPr="009B1AEC">
        <w:rPr>
          <w:rFonts w:ascii="Helvetica Neue" w:eastAsiaTheme="minorEastAsia" w:hAnsi="Helvetica Neue" w:cs="Times New Roman"/>
        </w:rPr>
        <w:t>,  experience</w:t>
      </w:r>
      <w:r w:rsidR="0087246B">
        <w:rPr>
          <w:rFonts w:ascii="Helvetica Neue" w:eastAsiaTheme="minorEastAsia" w:hAnsi="Helvetica Neue" w:cs="Times New Roman"/>
        </w:rPr>
        <w:t>s</w:t>
      </w:r>
      <w:proofErr w:type="gramEnd"/>
      <w:r w:rsidRPr="009B1AEC">
        <w:rPr>
          <w:rFonts w:ascii="Helvetica Neue" w:eastAsiaTheme="minorEastAsia" w:hAnsi="Helvetica Neue" w:cs="Times New Roman"/>
        </w:rPr>
        <w:t xml:space="preserve"> of supplementary pension schemes only existed in banks and in some companies with special pension funds set up only for company employees;</w:t>
      </w:r>
    </w:p>
    <w:p w14:paraId="27EA6CCB" w14:textId="77777777" w:rsidR="00962D10" w:rsidRPr="009B1AEC" w:rsidRDefault="008D75AF" w:rsidP="005657BC">
      <w:pPr>
        <w:pStyle w:val="BodyText"/>
        <w:numPr>
          <w:ilvl w:val="0"/>
          <w:numId w:val="19"/>
        </w:numPr>
        <w:tabs>
          <w:tab w:val="left" w:pos="302"/>
        </w:tabs>
        <w:spacing w:before="99" w:line="238" w:lineRule="auto"/>
        <w:ind w:right="47"/>
        <w:jc w:val="both"/>
        <w:rPr>
          <w:rFonts w:ascii="Helvetica Neue" w:eastAsiaTheme="minorEastAsia" w:hAnsi="Helvetica Neue" w:cs="Times New Roman"/>
        </w:rPr>
      </w:pPr>
      <w:r w:rsidRPr="009B1AEC">
        <w:rPr>
          <w:rFonts w:ascii="Helvetica Neue" w:eastAsiaTheme="minorEastAsia" w:hAnsi="Helvetica Neue" w:cs="Times New Roman"/>
        </w:rPr>
        <w:t>With the Amato reform of 1992 (Italian Legislative Decree 503 of 1992), the scenario changed: the pensionable age was raised</w:t>
      </w:r>
      <w:r w:rsidR="0087246B">
        <w:rPr>
          <w:rFonts w:ascii="Helvetica Neue" w:eastAsiaTheme="minorEastAsia" w:hAnsi="Helvetica Neue" w:cs="Times New Roman"/>
        </w:rPr>
        <w:t>,</w:t>
      </w:r>
      <w:r w:rsidRPr="009B1AEC">
        <w:rPr>
          <w:rFonts w:ascii="Helvetica Neue" w:eastAsiaTheme="minorEastAsia" w:hAnsi="Helvetica Neue" w:cs="Times New Roman"/>
        </w:rPr>
        <w:t xml:space="preserve"> the minimum contributory requirement for access to the old-age pension increased </w:t>
      </w:r>
      <w:proofErr w:type="gramStart"/>
      <w:r w:rsidR="0087246B">
        <w:rPr>
          <w:rFonts w:ascii="Helvetica Neue" w:eastAsiaTheme="minorEastAsia" w:hAnsi="Helvetica Neue" w:cs="Times New Roman"/>
        </w:rPr>
        <w:t xml:space="preserve">and </w:t>
      </w:r>
      <w:r w:rsidRPr="009B1AEC">
        <w:rPr>
          <w:rFonts w:ascii="Helvetica Neue" w:eastAsiaTheme="minorEastAsia" w:hAnsi="Helvetica Neue" w:cs="Times New Roman"/>
        </w:rPr>
        <w:t xml:space="preserve"> the</w:t>
      </w:r>
      <w:proofErr w:type="gramEnd"/>
      <w:r w:rsidRPr="009B1AEC">
        <w:rPr>
          <w:rFonts w:ascii="Helvetica Neue" w:eastAsiaTheme="minorEastAsia" w:hAnsi="Helvetica Neue" w:cs="Times New Roman"/>
        </w:rPr>
        <w:t xml:space="preserve"> period of contributions</w:t>
      </w:r>
      <w:r w:rsidR="0087246B">
        <w:rPr>
          <w:rFonts w:ascii="Helvetica Neue" w:eastAsiaTheme="minorEastAsia" w:hAnsi="Helvetica Neue" w:cs="Times New Roman"/>
        </w:rPr>
        <w:t xml:space="preserve"> is gradually extended, which</w:t>
      </w:r>
      <w:r w:rsidRPr="009B1AEC">
        <w:rPr>
          <w:rFonts w:ascii="Helvetica Neue" w:eastAsiaTheme="minorEastAsia" w:hAnsi="Helvetica Neue" w:cs="Times New Roman"/>
        </w:rPr>
        <w:t xml:space="preserve"> was the reference for the pension calculation; the wages taken into consideration to determine the pension amount was revalued at 1 %; the automatic revaluation of pensions payable was limited to price trends (and did not even include real wages). The Amato reform led the way to a </w:t>
      </w:r>
      <w:proofErr w:type="spellStart"/>
      <w:r w:rsidRPr="009B1AEC">
        <w:rPr>
          <w:rFonts w:ascii="Helvetica Neue" w:eastAsiaTheme="minorEastAsia" w:hAnsi="Helvetica Neue" w:cs="Times New Roman"/>
        </w:rPr>
        <w:t>harmonisation</w:t>
      </w:r>
      <w:proofErr w:type="spellEnd"/>
      <w:r w:rsidRPr="009B1AEC">
        <w:rPr>
          <w:rFonts w:ascii="Helvetica Neue" w:eastAsiaTheme="minorEastAsia" w:hAnsi="Helvetica Neue" w:cs="Times New Roman"/>
        </w:rPr>
        <w:t xml:space="preserve"> process of the rules between the various social security schemes, but in fact also led to a reduction in the level of pension cover with respect to the last salary earned (replacement rate).</w:t>
      </w:r>
    </w:p>
    <w:p w14:paraId="675C7ED0" w14:textId="77777777" w:rsidR="00962D10" w:rsidRPr="009B1AEC" w:rsidRDefault="008D75AF" w:rsidP="005657BC">
      <w:pPr>
        <w:pStyle w:val="BodyText"/>
        <w:spacing w:before="118" w:line="239" w:lineRule="auto"/>
        <w:ind w:left="0" w:right="19"/>
        <w:jc w:val="both"/>
        <w:rPr>
          <w:rFonts w:ascii="Helvetica Neue" w:eastAsiaTheme="minorEastAsia" w:hAnsi="Helvetica Neue" w:cs="Times New Roman"/>
        </w:rPr>
      </w:pPr>
      <w:r w:rsidRPr="009B1AEC">
        <w:rPr>
          <w:rFonts w:ascii="Helvetica Neue" w:eastAsiaTheme="minorEastAsia" w:hAnsi="Helvetica Neue" w:cs="Times New Roman"/>
        </w:rPr>
        <w:t xml:space="preserve">Hence, the </w:t>
      </w:r>
      <w:proofErr w:type="gramStart"/>
      <w:r w:rsidRPr="009B1AEC">
        <w:rPr>
          <w:rFonts w:ascii="Helvetica Neue" w:eastAsiaTheme="minorEastAsia" w:hAnsi="Helvetica Neue" w:cs="Times New Roman"/>
        </w:rPr>
        <w:t>need to introduce an organic framework of supplementary pension schemes with the establishment of negotiated and open</w:t>
      </w:r>
      <w:proofErr w:type="gramEnd"/>
      <w:r w:rsidRPr="009B1AEC">
        <w:rPr>
          <w:rFonts w:ascii="Helvetica Neue" w:eastAsiaTheme="minorEastAsia" w:hAnsi="Helvetica Neue" w:cs="Times New Roman"/>
        </w:rPr>
        <w:t xml:space="preserve"> collective membership pension funds (Italian Legislative Decree 124 of 1993);</w:t>
      </w:r>
    </w:p>
    <w:p w14:paraId="6279CDF3" w14:textId="77777777" w:rsidR="00962D10" w:rsidRPr="009B1AEC" w:rsidRDefault="008D75AF" w:rsidP="005034C2">
      <w:pPr>
        <w:pStyle w:val="BodyText"/>
        <w:numPr>
          <w:ilvl w:val="0"/>
          <w:numId w:val="19"/>
        </w:numPr>
        <w:tabs>
          <w:tab w:val="left" w:pos="333"/>
        </w:tabs>
        <w:spacing w:before="140" w:line="346" w:lineRule="exact"/>
        <w:ind w:right="19"/>
        <w:jc w:val="both"/>
        <w:rPr>
          <w:rFonts w:ascii="Helvetica Neue" w:eastAsiaTheme="minorEastAsia" w:hAnsi="Helvetica Neue" w:cs="Times New Roman"/>
        </w:rPr>
      </w:pPr>
      <w:r w:rsidRPr="009B1AEC">
        <w:rPr>
          <w:rFonts w:ascii="Helvetica Neue" w:eastAsiaTheme="minorEastAsia" w:hAnsi="Helvetica Neue" w:cs="Times New Roman"/>
        </w:rPr>
        <w:t xml:space="preserve">With the </w:t>
      </w:r>
      <w:proofErr w:type="spellStart"/>
      <w:r w:rsidRPr="009B1AEC">
        <w:rPr>
          <w:rFonts w:ascii="Helvetica Neue" w:eastAsiaTheme="minorEastAsia" w:hAnsi="Helvetica Neue" w:cs="Times New Roman"/>
        </w:rPr>
        <w:t>Dini</w:t>
      </w:r>
      <w:proofErr w:type="spellEnd"/>
      <w:r w:rsidRPr="009B1AEC">
        <w:rPr>
          <w:rFonts w:ascii="Helvetica Neue" w:eastAsiaTheme="minorEastAsia" w:hAnsi="Helvetica Neue" w:cs="Times New Roman"/>
        </w:rPr>
        <w:t xml:space="preserve"> reform of 1995 (Italian Law 335 of 1995), </w:t>
      </w:r>
      <w:r w:rsidR="0087246B">
        <w:rPr>
          <w:rFonts w:ascii="Helvetica Neue" w:eastAsiaTheme="minorEastAsia" w:hAnsi="Helvetica Neue" w:cs="Times New Roman"/>
        </w:rPr>
        <w:t>Italy moved from a</w:t>
      </w:r>
      <w:r w:rsidRPr="009B1AEC">
        <w:rPr>
          <w:rFonts w:ascii="Helvetica Neue" w:eastAsiaTheme="minorEastAsia" w:hAnsi="Helvetica Neue" w:cs="Times New Roman"/>
        </w:rPr>
        <w:t xml:space="preserve"> payment system to a contributory system. The difference between the two systems is substantial:</w:t>
      </w:r>
    </w:p>
    <w:p w14:paraId="75DEBBB1" w14:textId="77777777" w:rsidR="00962D10" w:rsidRPr="009B1AEC" w:rsidRDefault="008D75AF" w:rsidP="005034C2">
      <w:pPr>
        <w:pStyle w:val="BodyText"/>
        <w:numPr>
          <w:ilvl w:val="1"/>
          <w:numId w:val="3"/>
        </w:numPr>
        <w:tabs>
          <w:tab w:val="left" w:pos="838"/>
        </w:tabs>
        <w:spacing w:before="119" w:line="346" w:lineRule="exact"/>
        <w:ind w:right="19"/>
        <w:jc w:val="both"/>
        <w:rPr>
          <w:rFonts w:ascii="Helvetica Neue" w:eastAsiaTheme="minorEastAsia" w:hAnsi="Helvetica Neue" w:cs="Times New Roman"/>
        </w:rPr>
      </w:pPr>
      <w:r w:rsidRPr="009B1AEC">
        <w:rPr>
          <w:rFonts w:ascii="Helvetica Neue" w:eastAsiaTheme="minorEastAsia" w:hAnsi="Helvetica Neue" w:cs="Times New Roman"/>
        </w:rPr>
        <w:t xml:space="preserve">In the payment system, the pension is calculated in relation to the worker’s salary: it depends on </w:t>
      </w:r>
      <w:r w:rsidR="0087246B">
        <w:rPr>
          <w:rFonts w:ascii="Helvetica Neue" w:eastAsiaTheme="minorEastAsia" w:hAnsi="Helvetica Neue" w:cs="Times New Roman"/>
        </w:rPr>
        <w:t xml:space="preserve">the contribution period </w:t>
      </w:r>
      <w:r w:rsidRPr="009B1AEC">
        <w:rPr>
          <w:rFonts w:ascii="Helvetica Neue" w:eastAsiaTheme="minorEastAsia" w:hAnsi="Helvetica Neue" w:cs="Times New Roman"/>
        </w:rPr>
        <w:t xml:space="preserve">and wages, particularly those earned in the last period of employment which tends to be the most </w:t>
      </w:r>
      <w:proofErr w:type="spellStart"/>
      <w:r w:rsidRPr="009B1AEC">
        <w:rPr>
          <w:rFonts w:ascii="Helvetica Neue" w:eastAsiaTheme="minorEastAsia" w:hAnsi="Helvetica Neue" w:cs="Times New Roman"/>
        </w:rPr>
        <w:t>favourable</w:t>
      </w:r>
      <w:proofErr w:type="spellEnd"/>
      <w:r w:rsidRPr="009B1AEC">
        <w:rPr>
          <w:rFonts w:ascii="Helvetica Neue" w:eastAsiaTheme="minorEastAsia" w:hAnsi="Helvetica Neue" w:cs="Times New Roman"/>
        </w:rPr>
        <w:t>;</w:t>
      </w:r>
    </w:p>
    <w:p w14:paraId="7CD35C06" w14:textId="77777777" w:rsidR="00962D10" w:rsidRPr="009B1AEC" w:rsidRDefault="008D75AF" w:rsidP="005034C2">
      <w:pPr>
        <w:pStyle w:val="BodyText"/>
        <w:numPr>
          <w:ilvl w:val="1"/>
          <w:numId w:val="3"/>
        </w:numPr>
        <w:tabs>
          <w:tab w:val="left" w:pos="838"/>
        </w:tabs>
        <w:spacing w:line="346" w:lineRule="exact"/>
        <w:ind w:right="19"/>
        <w:jc w:val="both"/>
        <w:rPr>
          <w:rFonts w:ascii="Helvetica Neue" w:eastAsiaTheme="minorEastAsia" w:hAnsi="Helvetica Neue" w:cs="Times New Roman"/>
        </w:rPr>
      </w:pPr>
      <w:r w:rsidRPr="009B1AEC">
        <w:rPr>
          <w:rFonts w:ascii="Helvetica Neue" w:eastAsiaTheme="minorEastAsia" w:hAnsi="Helvetica Neue" w:cs="Times New Roman"/>
        </w:rPr>
        <w:t>In the contributory system</w:t>
      </w:r>
      <w:r w:rsidR="0087246B">
        <w:rPr>
          <w:rFonts w:ascii="Helvetica Neue" w:eastAsiaTheme="minorEastAsia" w:hAnsi="Helvetica Neue" w:cs="Times New Roman"/>
        </w:rPr>
        <w:t xml:space="preserve"> </w:t>
      </w:r>
      <w:r w:rsidR="00103711">
        <w:rPr>
          <w:rFonts w:ascii="Helvetica Neue" w:eastAsiaTheme="minorEastAsia" w:hAnsi="Helvetica Neue" w:cs="Times New Roman"/>
        </w:rPr>
        <w:t>instead</w:t>
      </w:r>
      <w:r w:rsidRPr="009B1AEC">
        <w:rPr>
          <w:rFonts w:ascii="Helvetica Neue" w:eastAsiaTheme="minorEastAsia" w:hAnsi="Helvetica Neue" w:cs="Times New Roman"/>
        </w:rPr>
        <w:t>, the pension amount depends on the total contributions paid by the worker in the span of employment.</w:t>
      </w:r>
    </w:p>
    <w:p w14:paraId="537E5394" w14:textId="77777777" w:rsidR="0087246B" w:rsidRDefault="0087246B" w:rsidP="002E5374">
      <w:pPr>
        <w:pStyle w:val="BodyText"/>
        <w:spacing w:line="281" w:lineRule="exact"/>
        <w:jc w:val="both"/>
        <w:rPr>
          <w:rFonts w:ascii="Helvetica Neue" w:eastAsiaTheme="minorEastAsia" w:hAnsi="Helvetica Neue" w:cs="Times New Roman"/>
        </w:rPr>
      </w:pPr>
    </w:p>
    <w:p w14:paraId="30594948" w14:textId="77777777" w:rsidR="00962D10" w:rsidRPr="009B1AEC" w:rsidRDefault="008D75AF" w:rsidP="007A2FB4">
      <w:pPr>
        <w:pStyle w:val="BodyText"/>
        <w:spacing w:line="238" w:lineRule="auto"/>
        <w:ind w:left="0"/>
        <w:jc w:val="both"/>
        <w:rPr>
          <w:rFonts w:ascii="Helvetica Neue" w:eastAsiaTheme="minorEastAsia" w:hAnsi="Helvetica Neue" w:cs="Times New Roman"/>
        </w:rPr>
      </w:pPr>
      <w:r w:rsidRPr="009B1AEC">
        <w:rPr>
          <w:rFonts w:ascii="Helvetica Neue" w:eastAsiaTheme="minorEastAsia" w:hAnsi="Helvetica Neue" w:cs="Times New Roman"/>
        </w:rPr>
        <w:t>The passage from one system of calculation to another occurred gradually, distinguishing workers on</w:t>
      </w:r>
      <w:r w:rsidR="005034C2">
        <w:rPr>
          <w:rFonts w:ascii="Helvetica Neue" w:eastAsiaTheme="minorEastAsia" w:hAnsi="Helvetica Neue" w:cs="Times New Roman"/>
        </w:rPr>
        <w:t xml:space="preserve"> </w:t>
      </w:r>
      <w:r w:rsidRPr="009B1AEC">
        <w:rPr>
          <w:rFonts w:ascii="Helvetica Neue" w:eastAsiaTheme="minorEastAsia" w:hAnsi="Helvetica Neue" w:cs="Times New Roman"/>
        </w:rPr>
        <w:t xml:space="preserve">the basis of the </w:t>
      </w:r>
      <w:r w:rsidR="00B053F1">
        <w:rPr>
          <w:rFonts w:ascii="Helvetica Neue" w:eastAsiaTheme="minorEastAsia" w:hAnsi="Helvetica Neue" w:cs="Times New Roman"/>
        </w:rPr>
        <w:t>contribution period</w:t>
      </w:r>
      <w:r w:rsidRPr="009B1AEC">
        <w:rPr>
          <w:rFonts w:ascii="Helvetica Neue" w:eastAsiaTheme="minorEastAsia" w:hAnsi="Helvetica Neue" w:cs="Times New Roman"/>
        </w:rPr>
        <w:t xml:space="preserve">. Thus, three different situations were created: workers with at least 18 years of </w:t>
      </w:r>
      <w:r w:rsidR="00B053F1">
        <w:rPr>
          <w:rFonts w:ascii="Helvetica Neue" w:eastAsiaTheme="minorEastAsia" w:hAnsi="Helvetica Neue" w:cs="Times New Roman"/>
        </w:rPr>
        <w:t xml:space="preserve">contribution period </w:t>
      </w:r>
      <w:r w:rsidRPr="009B1AEC">
        <w:rPr>
          <w:rFonts w:ascii="Helvetica Neue" w:eastAsiaTheme="minorEastAsia" w:hAnsi="Helvetica Neue" w:cs="Times New Roman"/>
        </w:rPr>
        <w:t xml:space="preserve">at the end of 1995 retained the payment system; workers with a period of </w:t>
      </w:r>
      <w:r w:rsidR="00B053F1">
        <w:rPr>
          <w:rFonts w:ascii="Helvetica Neue" w:eastAsiaTheme="minorEastAsia" w:hAnsi="Helvetica Neue" w:cs="Times New Roman"/>
        </w:rPr>
        <w:t xml:space="preserve">contribution period </w:t>
      </w:r>
      <w:r w:rsidRPr="009B1AEC">
        <w:rPr>
          <w:rFonts w:ascii="Helvetica Neue" w:eastAsiaTheme="minorEastAsia" w:hAnsi="Helvetica Neue" w:cs="Times New Roman"/>
        </w:rPr>
        <w:t xml:space="preserve">of less than 18 years at the same date were allocated a mixed system, </w:t>
      </w:r>
      <w:r w:rsidR="00C11B9E">
        <w:rPr>
          <w:rFonts w:ascii="Helvetica Neue" w:eastAsiaTheme="minorEastAsia" w:hAnsi="Helvetica Neue" w:cs="Times New Roman"/>
        </w:rPr>
        <w:t xml:space="preserve">namely </w:t>
      </w:r>
      <w:r w:rsidRPr="009B1AEC">
        <w:rPr>
          <w:rFonts w:ascii="Helvetica Neue" w:eastAsiaTheme="minorEastAsia" w:hAnsi="Helvetica Neue" w:cs="Times New Roman"/>
        </w:rPr>
        <w:t xml:space="preserve">the payment system for the </w:t>
      </w:r>
      <w:r w:rsidR="00096658">
        <w:rPr>
          <w:rFonts w:ascii="Helvetica Neue" w:eastAsiaTheme="minorEastAsia" w:hAnsi="Helvetica Neue" w:cs="Times New Roman"/>
        </w:rPr>
        <w:t xml:space="preserve">contribution periods </w:t>
      </w:r>
      <w:r w:rsidRPr="009B1AEC">
        <w:rPr>
          <w:rFonts w:ascii="Helvetica Neue" w:eastAsiaTheme="minorEastAsia" w:hAnsi="Helvetica Neue" w:cs="Times New Roman"/>
        </w:rPr>
        <w:t>accrued up to 1995 and the contributory system for subsequent years; the contribution-based system was applied for new employees after 1995.</w:t>
      </w:r>
    </w:p>
    <w:p w14:paraId="6C5D13F0" w14:textId="77777777" w:rsidR="00962D10" w:rsidRPr="009B1AEC" w:rsidRDefault="008D75AF" w:rsidP="005034C2">
      <w:pPr>
        <w:pStyle w:val="BodyText"/>
        <w:spacing w:before="140" w:line="346" w:lineRule="exact"/>
        <w:ind w:left="0" w:right="120"/>
        <w:jc w:val="both"/>
        <w:rPr>
          <w:rFonts w:ascii="Helvetica Neue" w:eastAsiaTheme="minorEastAsia" w:hAnsi="Helvetica Neue" w:cs="Times New Roman"/>
        </w:rPr>
      </w:pPr>
      <w:r w:rsidRPr="009B1AEC">
        <w:rPr>
          <w:rFonts w:ascii="Helvetica Neue" w:eastAsiaTheme="minorEastAsia" w:hAnsi="Helvetica Neue" w:cs="Times New Roman"/>
        </w:rPr>
        <w:t>The calculation criterion just mentioned has led to an significant reduction of the ratio between the first pension tranche and the last salary earned (replacement rate): for employees with 35 years of contributions, the pension is equivalent to about 50-60 % of the last salary (</w:t>
      </w:r>
      <w:r w:rsidR="00096658">
        <w:rPr>
          <w:rFonts w:ascii="Helvetica Neue" w:eastAsiaTheme="minorEastAsia" w:hAnsi="Helvetica Neue" w:cs="Times New Roman"/>
        </w:rPr>
        <w:t>instead</w:t>
      </w:r>
      <w:r w:rsidRPr="009B1AEC">
        <w:rPr>
          <w:rFonts w:ascii="Helvetica Neue" w:eastAsiaTheme="minorEastAsia" w:hAnsi="Helvetica Neue" w:cs="Times New Roman"/>
        </w:rPr>
        <w:t>,</w:t>
      </w:r>
      <w:r w:rsidR="00096658">
        <w:rPr>
          <w:rFonts w:ascii="Helvetica Neue" w:eastAsiaTheme="minorEastAsia" w:hAnsi="Helvetica Neue" w:cs="Times New Roman"/>
        </w:rPr>
        <w:t xml:space="preserve"> for</w:t>
      </w:r>
      <w:r w:rsidRPr="009B1AEC">
        <w:rPr>
          <w:rFonts w:ascii="Helvetica Neue" w:eastAsiaTheme="minorEastAsia" w:hAnsi="Helvetica Neue" w:cs="Times New Roman"/>
        </w:rPr>
        <w:t xml:space="preserve"> self-employed </w:t>
      </w:r>
      <w:proofErr w:type="gramStart"/>
      <w:r w:rsidRPr="009B1AEC">
        <w:rPr>
          <w:rFonts w:ascii="Helvetica Neue" w:eastAsiaTheme="minorEastAsia" w:hAnsi="Helvetica Neue" w:cs="Times New Roman"/>
        </w:rPr>
        <w:t xml:space="preserve">workers </w:t>
      </w:r>
      <w:r w:rsidR="00096658">
        <w:rPr>
          <w:rFonts w:ascii="Helvetica Neue" w:eastAsiaTheme="minorEastAsia" w:hAnsi="Helvetica Neue" w:cs="Times New Roman"/>
        </w:rPr>
        <w:t xml:space="preserve"> it</w:t>
      </w:r>
      <w:proofErr w:type="gramEnd"/>
      <w:r w:rsidR="00096658">
        <w:rPr>
          <w:rFonts w:ascii="Helvetica Neue" w:eastAsiaTheme="minorEastAsia" w:hAnsi="Helvetica Neue" w:cs="Times New Roman"/>
        </w:rPr>
        <w:t xml:space="preserve"> has</w:t>
      </w:r>
      <w:r w:rsidRPr="009B1AEC">
        <w:rPr>
          <w:rFonts w:ascii="Helvetica Neue" w:eastAsiaTheme="minorEastAsia" w:hAnsi="Helvetica Neue" w:cs="Times New Roman"/>
        </w:rPr>
        <w:t xml:space="preserve"> a lower value) and is re-evaluated solely on the basis of the inflation rate;</w:t>
      </w:r>
    </w:p>
    <w:p w14:paraId="49D2D4A6" w14:textId="77777777" w:rsidR="0033782C" w:rsidRDefault="008D75AF" w:rsidP="00C6407A">
      <w:pPr>
        <w:pStyle w:val="BodyText"/>
        <w:numPr>
          <w:ilvl w:val="0"/>
          <w:numId w:val="19"/>
        </w:numPr>
        <w:tabs>
          <w:tab w:val="left" w:pos="293"/>
        </w:tabs>
        <w:spacing w:before="98" w:line="238" w:lineRule="auto"/>
        <w:ind w:right="19"/>
        <w:jc w:val="both"/>
        <w:rPr>
          <w:rFonts w:ascii="Helvetica Neue" w:eastAsiaTheme="minorEastAsia" w:hAnsi="Helvetica Neue" w:cs="Times New Roman"/>
        </w:rPr>
      </w:pPr>
      <w:r w:rsidRPr="009B1AEC">
        <w:rPr>
          <w:rFonts w:ascii="Helvetica Neue" w:eastAsiaTheme="minorEastAsia" w:hAnsi="Helvetica Neue" w:cs="Times New Roman"/>
        </w:rPr>
        <w:t>With Italian Legislative Decree 47 of 2000, there has been an improvement in the tax treatment of those who join</w:t>
      </w:r>
      <w:r w:rsidR="00096658">
        <w:rPr>
          <w:rFonts w:ascii="Helvetica Neue" w:eastAsiaTheme="minorEastAsia" w:hAnsi="Helvetica Neue" w:cs="Times New Roman"/>
        </w:rPr>
        <w:t>ed</w:t>
      </w:r>
      <w:r w:rsidRPr="009B1AEC">
        <w:rPr>
          <w:rFonts w:ascii="Helvetica Neue" w:eastAsiaTheme="minorEastAsia" w:hAnsi="Helvetica Neue" w:cs="Times New Roman"/>
        </w:rPr>
        <w:t xml:space="preserve"> a pension fund and</w:t>
      </w:r>
      <w:r w:rsidR="00096658">
        <w:rPr>
          <w:rFonts w:ascii="Helvetica Neue" w:eastAsiaTheme="minorEastAsia" w:hAnsi="Helvetica Neue" w:cs="Times New Roman"/>
        </w:rPr>
        <w:t>, furthermore,</w:t>
      </w:r>
      <w:r w:rsidRPr="009B1AEC">
        <w:rPr>
          <w:rFonts w:ascii="Helvetica Neue" w:eastAsiaTheme="minorEastAsia" w:hAnsi="Helvetica Neue" w:cs="Times New Roman"/>
        </w:rPr>
        <w:t xml:space="preserve"> new opportunities are also introduced for those who wish to join individual supplementary pension schemes </w:t>
      </w:r>
      <w:proofErr w:type="gramStart"/>
      <w:r w:rsidRPr="009B1AEC">
        <w:rPr>
          <w:rFonts w:ascii="Helvetica Neue" w:eastAsiaTheme="minorEastAsia" w:hAnsi="Helvetica Neue" w:cs="Times New Roman"/>
        </w:rPr>
        <w:t>through  registration</w:t>
      </w:r>
      <w:proofErr w:type="gramEnd"/>
      <w:r w:rsidRPr="009B1AEC">
        <w:rPr>
          <w:rFonts w:ascii="Helvetica Neue" w:eastAsiaTheme="minorEastAsia" w:hAnsi="Helvetica Neue" w:cs="Times New Roman"/>
        </w:rPr>
        <w:t xml:space="preserve">  to an open  pension fund or  an Individual Pension Plan (so-called PIP);</w:t>
      </w:r>
    </w:p>
    <w:p w14:paraId="3834C4E3" w14:textId="77777777" w:rsidR="0033782C" w:rsidRDefault="008D75AF" w:rsidP="00C6407A">
      <w:pPr>
        <w:pStyle w:val="BodyText"/>
        <w:numPr>
          <w:ilvl w:val="0"/>
          <w:numId w:val="19"/>
        </w:numPr>
        <w:tabs>
          <w:tab w:val="left" w:pos="293"/>
        </w:tabs>
        <w:spacing w:before="98" w:line="238" w:lineRule="auto"/>
        <w:ind w:right="19"/>
        <w:jc w:val="both"/>
        <w:rPr>
          <w:rFonts w:ascii="Helvetica Neue" w:eastAsiaTheme="minorEastAsia" w:hAnsi="Helvetica Neue" w:cs="Times New Roman"/>
        </w:rPr>
      </w:pPr>
      <w:r w:rsidRPr="0033782C">
        <w:rPr>
          <w:rFonts w:ascii="Helvetica Neue" w:eastAsiaTheme="minorEastAsia" w:hAnsi="Helvetica Neue" w:cs="Times New Roman"/>
        </w:rPr>
        <w:t>With the Maroni reform 2004 (Enabling Law 243 of 2004), incentives were introduced for those who deferred the retirement pension: whoever opts for deferment may benefit from a super bonus which consists in the payment of social security contributions</w:t>
      </w:r>
      <w:r w:rsidR="00096658" w:rsidRPr="0033782C">
        <w:rPr>
          <w:rFonts w:ascii="Helvetica Neue" w:eastAsiaTheme="minorEastAsia" w:hAnsi="Helvetica Neue" w:cs="Times New Roman"/>
        </w:rPr>
        <w:t>,</w:t>
      </w:r>
      <w:r w:rsidRPr="0033782C">
        <w:rPr>
          <w:rFonts w:ascii="Helvetica Neue" w:eastAsiaTheme="minorEastAsia" w:hAnsi="Helvetica Neue" w:cs="Times New Roman"/>
        </w:rPr>
        <w:t xml:space="preserve"> through the pay </w:t>
      </w:r>
      <w:proofErr w:type="spellStart"/>
      <w:r w:rsidRPr="0033782C">
        <w:rPr>
          <w:rFonts w:ascii="Helvetica Neue" w:eastAsiaTheme="minorEastAsia" w:hAnsi="Helvetica Neue" w:cs="Times New Roman"/>
        </w:rPr>
        <w:t>cheque</w:t>
      </w:r>
      <w:proofErr w:type="spellEnd"/>
      <w:r w:rsidR="00096658" w:rsidRPr="0033782C">
        <w:rPr>
          <w:rFonts w:ascii="Helvetica Neue" w:eastAsiaTheme="minorEastAsia" w:hAnsi="Helvetica Neue" w:cs="Times New Roman"/>
        </w:rPr>
        <w:t>,</w:t>
      </w:r>
      <w:r w:rsidRPr="0033782C">
        <w:rPr>
          <w:rFonts w:ascii="Helvetica Neue" w:eastAsiaTheme="minorEastAsia" w:hAnsi="Helvetica Neue" w:cs="Times New Roman"/>
        </w:rPr>
        <w:t xml:space="preserve"> that would have been paid to the social security institution (an amount equal to about one-third of the salary); it further increased the retirement age for retirement and old-age pensions; only women retained the possibility of having a retirement pension at 57 years of age wholly calculated by using the contributory system.</w:t>
      </w:r>
    </w:p>
    <w:p w14:paraId="5B721779" w14:textId="77777777" w:rsidR="00962D10" w:rsidRPr="0033782C" w:rsidRDefault="008D75AF" w:rsidP="00C6407A">
      <w:pPr>
        <w:pStyle w:val="BodyText"/>
        <w:numPr>
          <w:ilvl w:val="0"/>
          <w:numId w:val="19"/>
        </w:numPr>
        <w:tabs>
          <w:tab w:val="left" w:pos="293"/>
        </w:tabs>
        <w:spacing w:before="98" w:line="238" w:lineRule="auto"/>
        <w:ind w:right="19"/>
        <w:jc w:val="both"/>
        <w:rPr>
          <w:rFonts w:ascii="Helvetica Neue" w:eastAsiaTheme="minorEastAsia" w:hAnsi="Helvetica Neue" w:cs="Times New Roman"/>
        </w:rPr>
      </w:pPr>
      <w:r w:rsidRPr="0033782C">
        <w:rPr>
          <w:rFonts w:ascii="Helvetica Neue" w:eastAsiaTheme="minorEastAsia" w:hAnsi="Helvetica Neue" w:cs="Times New Roman"/>
        </w:rPr>
        <w:t xml:space="preserve">With the Prodi reform of 2007 (Italian Law 247 of 2007), the so-called "quotas" were introduced for access to a retirement pension, determined by the sum of the age and years worked: in 2009, the quota to be reached was 95 (with at least 59 years of age), from 2011 it moved to 96 (with at least 60 </w:t>
      </w:r>
      <w:r w:rsidRPr="0033782C">
        <w:rPr>
          <w:rFonts w:ascii="Helvetica Neue" w:eastAsiaTheme="minorEastAsia" w:hAnsi="Helvetica Neue" w:cs="Times New Roman"/>
        </w:rPr>
        <w:lastRenderedPageBreak/>
        <w:t xml:space="preserve">years of age), while from 2013 it rose to 97 (with at least 61 years of age); the revision of the calculation coefficients of the compulsory pension as a function of the average life expectancy calculated on </w:t>
      </w:r>
      <w:proofErr w:type="spellStart"/>
      <w:r w:rsidRPr="0033782C">
        <w:rPr>
          <w:rFonts w:ascii="Helvetica Neue" w:eastAsiaTheme="minorEastAsia" w:hAnsi="Helvetica Neue" w:cs="Times New Roman"/>
        </w:rPr>
        <w:t>ISTAT</w:t>
      </w:r>
      <w:proofErr w:type="spellEnd"/>
      <w:r w:rsidRPr="0033782C">
        <w:rPr>
          <w:rFonts w:ascii="Helvetica Neue" w:eastAsiaTheme="minorEastAsia" w:hAnsi="Helvetica Neue" w:cs="Times New Roman"/>
        </w:rPr>
        <w:t xml:space="preserve"> data also became automatic and performed on a three-year basis</w:t>
      </w:r>
      <w:r w:rsidR="00F65E62" w:rsidRPr="0033782C">
        <w:rPr>
          <w:rFonts w:ascii="Helvetica Neue" w:eastAsiaTheme="minorEastAsia" w:hAnsi="Helvetica Neue" w:cs="Times New Roman"/>
        </w:rPr>
        <w:t>.</w:t>
      </w:r>
    </w:p>
    <w:p w14:paraId="42FB6316" w14:textId="77777777" w:rsidR="00962D10" w:rsidRDefault="00962D10" w:rsidP="002E5374">
      <w:pPr>
        <w:jc w:val="both"/>
        <w:rPr>
          <w:rFonts w:ascii="Malgun Gothic" w:eastAsia="Malgun Gothic" w:hAnsi="Malgun Gothic" w:cs="Malgun Gothic"/>
          <w:sz w:val="20"/>
          <w:szCs w:val="20"/>
        </w:rPr>
      </w:pPr>
    </w:p>
    <w:p w14:paraId="41150C92" w14:textId="77777777" w:rsidR="00962D10" w:rsidRDefault="00962D10" w:rsidP="002E5374">
      <w:pPr>
        <w:spacing w:before="15"/>
        <w:jc w:val="both"/>
        <w:rPr>
          <w:rFonts w:ascii="Malgun Gothic" w:eastAsia="Malgun Gothic" w:hAnsi="Malgun Gothic" w:cs="Malgun Gothic"/>
          <w:sz w:val="14"/>
          <w:szCs w:val="14"/>
        </w:rPr>
      </w:pPr>
    </w:p>
    <w:p w14:paraId="5F90251D" w14:textId="77777777" w:rsidR="00962D10" w:rsidRDefault="008D75AF" w:rsidP="002E5374">
      <w:pPr>
        <w:pStyle w:val="Heading2"/>
        <w:ind w:left="117" w:firstLine="0"/>
        <w:jc w:val="both"/>
        <w:rPr>
          <w:b w:val="0"/>
          <w:bCs w:val="0"/>
        </w:rPr>
      </w:pPr>
      <w:r>
        <w:t>THE</w:t>
      </w:r>
      <w:r>
        <w:rPr>
          <w:spacing w:val="-5"/>
        </w:rPr>
        <w:t xml:space="preserve"> </w:t>
      </w:r>
      <w:proofErr w:type="spellStart"/>
      <w:r>
        <w:rPr>
          <w:spacing w:val="-1"/>
        </w:rPr>
        <w:t>FORNERO</w:t>
      </w:r>
      <w:proofErr w:type="spellEnd"/>
      <w:r>
        <w:rPr>
          <w:spacing w:val="-3"/>
        </w:rPr>
        <w:t xml:space="preserve"> </w:t>
      </w:r>
      <w:r>
        <w:rPr>
          <w:spacing w:val="-1"/>
        </w:rPr>
        <w:t>REFORM</w:t>
      </w:r>
    </w:p>
    <w:p w14:paraId="37ECAED7" w14:textId="77777777" w:rsidR="00962D10" w:rsidRPr="009B1AEC" w:rsidRDefault="008D75AF" w:rsidP="00C6407A">
      <w:pPr>
        <w:pStyle w:val="BodyText"/>
        <w:spacing w:before="101" w:line="346" w:lineRule="exact"/>
        <w:ind w:left="0" w:right="5"/>
        <w:jc w:val="both"/>
        <w:rPr>
          <w:rFonts w:ascii="Helvetica Neue" w:eastAsiaTheme="minorEastAsia" w:hAnsi="Helvetica Neue" w:cs="Times New Roman"/>
        </w:rPr>
      </w:pPr>
      <w:proofErr w:type="gramStart"/>
      <w:r w:rsidRPr="009B1AEC">
        <w:rPr>
          <w:rFonts w:ascii="Helvetica Neue" w:eastAsiaTheme="minorEastAsia" w:hAnsi="Helvetica Neue" w:cs="Times New Roman"/>
        </w:rPr>
        <w:t>The latest pension system reform was introduced by Italian Law No. 214 of 2011</w:t>
      </w:r>
      <w:proofErr w:type="gramEnd"/>
      <w:r w:rsidRPr="009B1AEC">
        <w:rPr>
          <w:rFonts w:ascii="Helvetica Neue" w:eastAsiaTheme="minorEastAsia" w:hAnsi="Helvetica Neue" w:cs="Times New Roman"/>
        </w:rPr>
        <w:t xml:space="preserve"> (</w:t>
      </w:r>
      <w:proofErr w:type="spellStart"/>
      <w:r w:rsidRPr="009B1AEC">
        <w:rPr>
          <w:rFonts w:ascii="Helvetica Neue" w:eastAsiaTheme="minorEastAsia" w:hAnsi="Helvetica Neue" w:cs="Times New Roman"/>
        </w:rPr>
        <w:t>Monti</w:t>
      </w:r>
      <w:proofErr w:type="spellEnd"/>
      <w:r w:rsidRPr="009B1AEC">
        <w:rPr>
          <w:rFonts w:ascii="Helvetica Neue" w:eastAsiaTheme="minorEastAsia" w:hAnsi="Helvetica Neue" w:cs="Times New Roman"/>
        </w:rPr>
        <w:t xml:space="preserve"> – </w:t>
      </w:r>
      <w:proofErr w:type="spellStart"/>
      <w:r w:rsidRPr="009B1AEC">
        <w:rPr>
          <w:rFonts w:ascii="Helvetica Neue" w:eastAsiaTheme="minorEastAsia" w:hAnsi="Helvetica Neue" w:cs="Times New Roman"/>
        </w:rPr>
        <w:t>Fornero</w:t>
      </w:r>
      <w:proofErr w:type="spellEnd"/>
      <w:r w:rsidRPr="009B1AEC">
        <w:rPr>
          <w:rFonts w:ascii="Helvetica Neue" w:eastAsiaTheme="minorEastAsia" w:hAnsi="Helvetica Neue" w:cs="Times New Roman"/>
        </w:rPr>
        <w:t xml:space="preserve"> Reform).</w:t>
      </w:r>
    </w:p>
    <w:p w14:paraId="0DFC37C3" w14:textId="77777777" w:rsidR="00962D10" w:rsidRPr="009B1AEC" w:rsidRDefault="008D75AF" w:rsidP="00C6407A">
      <w:pPr>
        <w:pStyle w:val="BodyText"/>
        <w:spacing w:before="119" w:line="346" w:lineRule="exact"/>
        <w:ind w:left="0" w:right="5"/>
        <w:jc w:val="both"/>
        <w:rPr>
          <w:rFonts w:ascii="Helvetica Neue" w:eastAsiaTheme="minorEastAsia" w:hAnsi="Helvetica Neue" w:cs="Times New Roman"/>
        </w:rPr>
      </w:pPr>
      <w:r w:rsidRPr="009B1AEC">
        <w:rPr>
          <w:rFonts w:ascii="Helvetica Neue" w:eastAsiaTheme="minorEastAsia" w:hAnsi="Helvetica Neue" w:cs="Times New Roman"/>
        </w:rPr>
        <w:t xml:space="preserve">This reform became necessary at a time of severe financial crisis in Italy in that, as in all OECD countries, the pension scheme adopted by social security institutions is that of a pension system </w:t>
      </w:r>
      <w:proofErr w:type="gramStart"/>
      <w:r w:rsidRPr="009B1AEC">
        <w:rPr>
          <w:rFonts w:ascii="Helvetica Neue" w:eastAsiaTheme="minorEastAsia" w:hAnsi="Helvetica Neue" w:cs="Times New Roman"/>
        </w:rPr>
        <w:t xml:space="preserve">without </w:t>
      </w:r>
      <w:r w:rsidR="00F65E62">
        <w:rPr>
          <w:rFonts w:ascii="Helvetica Neue" w:eastAsiaTheme="minorEastAsia" w:hAnsi="Helvetica Neue" w:cs="Times New Roman"/>
        </w:rPr>
        <w:t xml:space="preserve"> property</w:t>
      </w:r>
      <w:proofErr w:type="gramEnd"/>
      <w:r w:rsidR="00F65E62">
        <w:rPr>
          <w:rFonts w:ascii="Helvetica Neue" w:eastAsiaTheme="minorEastAsia" w:hAnsi="Helvetica Neue" w:cs="Times New Roman"/>
        </w:rPr>
        <w:t xml:space="preserve"> coverage</w:t>
      </w:r>
      <w:r w:rsidRPr="009B1AEC">
        <w:rPr>
          <w:rFonts w:ascii="Helvetica Neue" w:eastAsiaTheme="minorEastAsia" w:hAnsi="Helvetica Neue" w:cs="Times New Roman"/>
        </w:rPr>
        <w:t xml:space="preserve"> for the latent pension deficit and, therefore, to ensure the fiscal sustainability of compulsory pension systems it intervened by decreasing the current costs of the State with a change in the rules for the attainment and the determination of social security benefits, and by increasing social security contribution rates.</w:t>
      </w:r>
    </w:p>
    <w:p w14:paraId="1FF3FC86" w14:textId="77777777" w:rsidR="00962D10" w:rsidRPr="009B1AEC" w:rsidRDefault="008D75AF" w:rsidP="00C6407A">
      <w:pPr>
        <w:pStyle w:val="BodyText"/>
        <w:spacing w:line="281" w:lineRule="exact"/>
        <w:ind w:left="0" w:right="5"/>
        <w:jc w:val="both"/>
        <w:rPr>
          <w:rFonts w:ascii="Helvetica Neue" w:eastAsiaTheme="minorEastAsia" w:hAnsi="Helvetica Neue" w:cs="Times New Roman"/>
        </w:rPr>
      </w:pPr>
      <w:r w:rsidRPr="009B1AEC">
        <w:rPr>
          <w:rFonts w:ascii="Helvetica Neue" w:eastAsiaTheme="minorEastAsia" w:hAnsi="Helvetica Neue" w:cs="Times New Roman"/>
        </w:rPr>
        <w:t>The new pension system is aimed at developing a new social security culture. In fact, the results</w:t>
      </w:r>
    </w:p>
    <w:p w14:paraId="6E2B5B7F" w14:textId="77777777" w:rsidR="00962D10" w:rsidRPr="009B1AEC" w:rsidRDefault="008D75AF" w:rsidP="00C6407A">
      <w:pPr>
        <w:pStyle w:val="BodyText"/>
        <w:spacing w:line="347" w:lineRule="exact"/>
        <w:ind w:left="0" w:right="5"/>
        <w:jc w:val="both"/>
        <w:rPr>
          <w:rFonts w:ascii="Helvetica Neue" w:eastAsiaTheme="minorEastAsia" w:hAnsi="Helvetica Neue" w:cs="Times New Roman"/>
        </w:rPr>
      </w:pPr>
      <w:proofErr w:type="gramStart"/>
      <w:r w:rsidRPr="009B1AEC">
        <w:rPr>
          <w:rFonts w:ascii="Helvetica Neue" w:eastAsiaTheme="minorEastAsia" w:hAnsi="Helvetica Neue" w:cs="Times New Roman"/>
        </w:rPr>
        <w:t>expected</w:t>
      </w:r>
      <w:proofErr w:type="gramEnd"/>
      <w:r w:rsidRPr="009B1AEC">
        <w:rPr>
          <w:rFonts w:ascii="Helvetica Neue" w:eastAsiaTheme="minorEastAsia" w:hAnsi="Helvetica Neue" w:cs="Times New Roman"/>
        </w:rPr>
        <w:t xml:space="preserve"> from the reform law aim to:</w:t>
      </w:r>
    </w:p>
    <w:p w14:paraId="10620788" w14:textId="77777777" w:rsidR="00962D10" w:rsidRPr="009B1AEC" w:rsidRDefault="008D75AF" w:rsidP="002E5374">
      <w:pPr>
        <w:pStyle w:val="BodyText"/>
        <w:numPr>
          <w:ilvl w:val="0"/>
          <w:numId w:val="2"/>
        </w:numPr>
        <w:tabs>
          <w:tab w:val="left" w:pos="838"/>
        </w:tabs>
        <w:spacing w:before="117"/>
        <w:jc w:val="both"/>
        <w:rPr>
          <w:rFonts w:ascii="Helvetica Neue" w:eastAsiaTheme="minorEastAsia" w:hAnsi="Helvetica Neue" w:cs="Times New Roman"/>
        </w:rPr>
      </w:pPr>
      <w:r w:rsidRPr="009B1AEC">
        <w:rPr>
          <w:rFonts w:ascii="Helvetica Neue" w:eastAsiaTheme="minorEastAsia" w:hAnsi="Helvetica Neue" w:cs="Times New Roman"/>
        </w:rPr>
        <w:t xml:space="preserve">Facilitate the transition to the defined contribution system, at virtual </w:t>
      </w:r>
      <w:proofErr w:type="spellStart"/>
      <w:r w:rsidRPr="009B1AEC">
        <w:rPr>
          <w:rFonts w:ascii="Helvetica Neue" w:eastAsiaTheme="minorEastAsia" w:hAnsi="Helvetica Neue" w:cs="Times New Roman"/>
        </w:rPr>
        <w:t>capitalisation</w:t>
      </w:r>
      <w:proofErr w:type="spellEnd"/>
      <w:r w:rsidRPr="009B1AEC">
        <w:rPr>
          <w:rFonts w:ascii="Helvetica Neue" w:eastAsiaTheme="minorEastAsia" w:hAnsi="Helvetica Neue" w:cs="Times New Roman"/>
        </w:rPr>
        <w:t>;</w:t>
      </w:r>
    </w:p>
    <w:p w14:paraId="1BC7B191" w14:textId="77777777" w:rsidR="00962D10" w:rsidRPr="009B1AEC" w:rsidRDefault="008D75AF" w:rsidP="002E5374">
      <w:pPr>
        <w:pStyle w:val="BodyText"/>
        <w:numPr>
          <w:ilvl w:val="0"/>
          <w:numId w:val="2"/>
        </w:numPr>
        <w:tabs>
          <w:tab w:val="left" w:pos="838"/>
        </w:tabs>
        <w:spacing w:before="140" w:line="346" w:lineRule="exact"/>
        <w:ind w:right="102"/>
        <w:jc w:val="both"/>
        <w:rPr>
          <w:rFonts w:ascii="Helvetica Neue" w:eastAsiaTheme="minorEastAsia" w:hAnsi="Helvetica Neue" w:cs="Times New Roman"/>
        </w:rPr>
      </w:pPr>
      <w:r w:rsidRPr="009B1AEC">
        <w:rPr>
          <w:rFonts w:ascii="Helvetica Neue" w:eastAsiaTheme="minorEastAsia" w:hAnsi="Helvetica Neue" w:cs="Times New Roman"/>
        </w:rPr>
        <w:t xml:space="preserve">Accelerate the process for the raising and </w:t>
      </w:r>
      <w:proofErr w:type="spellStart"/>
      <w:r w:rsidRPr="009B1AEC">
        <w:rPr>
          <w:rFonts w:ascii="Helvetica Neue" w:eastAsiaTheme="minorEastAsia" w:hAnsi="Helvetica Neue" w:cs="Times New Roman"/>
        </w:rPr>
        <w:t>harmonisation</w:t>
      </w:r>
      <w:proofErr w:type="spellEnd"/>
      <w:r w:rsidRPr="009B1AEC">
        <w:rPr>
          <w:rFonts w:ascii="Helvetica Neue" w:eastAsiaTheme="minorEastAsia" w:hAnsi="Helvetica Neue" w:cs="Times New Roman"/>
        </w:rPr>
        <w:t xml:space="preserve"> of retirement requirements for all categories of workers;</w:t>
      </w:r>
    </w:p>
    <w:p w14:paraId="56F3D440" w14:textId="77777777" w:rsidR="00962D10" w:rsidRPr="009B1AEC" w:rsidRDefault="008D75AF" w:rsidP="002E5374">
      <w:pPr>
        <w:pStyle w:val="BodyText"/>
        <w:numPr>
          <w:ilvl w:val="0"/>
          <w:numId w:val="2"/>
        </w:numPr>
        <w:tabs>
          <w:tab w:val="left" w:pos="838"/>
        </w:tabs>
        <w:spacing w:before="122" w:line="346" w:lineRule="exact"/>
        <w:ind w:right="98"/>
        <w:jc w:val="both"/>
        <w:rPr>
          <w:rFonts w:ascii="Helvetica Neue" w:eastAsiaTheme="minorEastAsia" w:hAnsi="Helvetica Neue" w:cs="Times New Roman"/>
        </w:rPr>
      </w:pPr>
      <w:r w:rsidRPr="009B1AEC">
        <w:rPr>
          <w:rFonts w:ascii="Helvetica Neue" w:eastAsiaTheme="minorEastAsia" w:hAnsi="Helvetica Neue" w:cs="Times New Roman"/>
        </w:rPr>
        <w:t xml:space="preserve">Add momentum to the necessary corrective measures to offset the demographic trends due to the aging of the population </w:t>
      </w:r>
      <w:r w:rsidR="00F65E62">
        <w:rPr>
          <w:rFonts w:ascii="Helvetica Neue" w:eastAsiaTheme="minorEastAsia" w:hAnsi="Helvetica Neue" w:cs="Times New Roman"/>
        </w:rPr>
        <w:t xml:space="preserve">from </w:t>
      </w:r>
      <w:proofErr w:type="gramStart"/>
      <w:r w:rsidRPr="009B1AEC">
        <w:rPr>
          <w:rFonts w:ascii="Helvetica Neue" w:eastAsiaTheme="minorEastAsia" w:hAnsi="Helvetica Neue" w:cs="Times New Roman"/>
        </w:rPr>
        <w:t>both  the</w:t>
      </w:r>
      <w:proofErr w:type="gramEnd"/>
      <w:r w:rsidRPr="009B1AEC">
        <w:rPr>
          <w:rFonts w:ascii="Helvetica Neue" w:eastAsiaTheme="minorEastAsia" w:hAnsi="Helvetica Neue" w:cs="Times New Roman"/>
        </w:rPr>
        <w:t xml:space="preserve"> financial and  the benefits’ adequacy point of view;</w:t>
      </w:r>
    </w:p>
    <w:p w14:paraId="63228D84" w14:textId="77777777" w:rsidR="00962D10" w:rsidRPr="009B1AEC" w:rsidRDefault="008D75AF" w:rsidP="002E5374">
      <w:pPr>
        <w:pStyle w:val="BodyText"/>
        <w:numPr>
          <w:ilvl w:val="0"/>
          <w:numId w:val="2"/>
        </w:numPr>
        <w:tabs>
          <w:tab w:val="left" w:pos="838"/>
        </w:tabs>
        <w:spacing w:before="119" w:line="346" w:lineRule="exact"/>
        <w:ind w:right="156"/>
        <w:jc w:val="both"/>
        <w:rPr>
          <w:rFonts w:ascii="Helvetica Neue" w:eastAsiaTheme="minorEastAsia" w:hAnsi="Helvetica Neue" w:cs="Times New Roman"/>
        </w:rPr>
      </w:pPr>
      <w:r w:rsidRPr="009B1AEC">
        <w:rPr>
          <w:rFonts w:ascii="Helvetica Neue" w:eastAsiaTheme="minorEastAsia" w:hAnsi="Helvetica Neue" w:cs="Times New Roman"/>
        </w:rPr>
        <w:t>Improve short and medium-term sustainability and free up financial resources to be allocated to covering social protection benefits;</w:t>
      </w:r>
    </w:p>
    <w:p w14:paraId="3F9BDADE" w14:textId="77777777" w:rsidR="00962D10" w:rsidRPr="009B1AEC" w:rsidRDefault="008D75AF" w:rsidP="002E5374">
      <w:pPr>
        <w:pStyle w:val="BodyText"/>
        <w:numPr>
          <w:ilvl w:val="0"/>
          <w:numId w:val="2"/>
        </w:numPr>
        <w:tabs>
          <w:tab w:val="left" w:pos="838"/>
        </w:tabs>
        <w:spacing w:before="98" w:line="238" w:lineRule="auto"/>
        <w:ind w:right="99"/>
        <w:jc w:val="both"/>
        <w:rPr>
          <w:rFonts w:ascii="Helvetica Neue" w:eastAsiaTheme="minorEastAsia" w:hAnsi="Helvetica Neue" w:cs="Times New Roman"/>
        </w:rPr>
      </w:pPr>
      <w:r w:rsidRPr="009B1AEC">
        <w:rPr>
          <w:rFonts w:ascii="Helvetica Neue" w:eastAsiaTheme="minorEastAsia" w:hAnsi="Helvetica Neue" w:cs="Times New Roman"/>
        </w:rPr>
        <w:t xml:space="preserve">Based on the logic of actuarial fairness that underpins the defined contribution system (based on the principle of "the more that is paid, the higher the amount of the final benefit), obtaining greater participation in the labour market and giving continuity to the contributions’ maturity process is of fundamental importance in order to combine the </w:t>
      </w:r>
      <w:r w:rsidR="00F65E62">
        <w:rPr>
          <w:rFonts w:ascii="Helvetica Neue" w:eastAsiaTheme="minorEastAsia" w:hAnsi="Helvetica Neue" w:cs="Times New Roman"/>
        </w:rPr>
        <w:t xml:space="preserve">double need   </w:t>
      </w:r>
      <w:r w:rsidRPr="009B1AEC">
        <w:rPr>
          <w:rFonts w:ascii="Helvetica Neue" w:eastAsiaTheme="minorEastAsia" w:hAnsi="Helvetica Neue" w:cs="Times New Roman"/>
        </w:rPr>
        <w:t xml:space="preserve">of guaranteeing </w:t>
      </w:r>
      <w:proofErr w:type="gramStart"/>
      <w:r w:rsidR="00F65E62">
        <w:rPr>
          <w:rFonts w:ascii="Helvetica Neue" w:eastAsiaTheme="minorEastAsia" w:hAnsi="Helvetica Neue" w:cs="Times New Roman"/>
        </w:rPr>
        <w:t xml:space="preserve">both </w:t>
      </w:r>
      <w:r w:rsidRPr="009B1AEC">
        <w:rPr>
          <w:rFonts w:ascii="Helvetica Neue" w:eastAsiaTheme="minorEastAsia" w:hAnsi="Helvetica Neue" w:cs="Times New Roman"/>
        </w:rPr>
        <w:t xml:space="preserve"> sustainability</w:t>
      </w:r>
      <w:proofErr w:type="gramEnd"/>
      <w:r w:rsidRPr="009B1AEC">
        <w:rPr>
          <w:rFonts w:ascii="Helvetica Neue" w:eastAsiaTheme="minorEastAsia" w:hAnsi="Helvetica Neue" w:cs="Times New Roman"/>
        </w:rPr>
        <w:t xml:space="preserve"> and adequacy of the system;</w:t>
      </w:r>
    </w:p>
    <w:p w14:paraId="59284F4A" w14:textId="77777777" w:rsidR="00962D10" w:rsidRPr="009B1AEC" w:rsidRDefault="008D75AF" w:rsidP="002E5374">
      <w:pPr>
        <w:pStyle w:val="BodyText"/>
        <w:numPr>
          <w:ilvl w:val="0"/>
          <w:numId w:val="2"/>
        </w:numPr>
        <w:tabs>
          <w:tab w:val="left" w:pos="838"/>
        </w:tabs>
        <w:spacing w:before="117"/>
        <w:jc w:val="both"/>
        <w:rPr>
          <w:rFonts w:ascii="Helvetica Neue" w:eastAsiaTheme="minorEastAsia" w:hAnsi="Helvetica Neue" w:cs="Times New Roman"/>
        </w:rPr>
      </w:pPr>
      <w:r w:rsidRPr="009B1AEC">
        <w:rPr>
          <w:rFonts w:ascii="Helvetica Neue" w:eastAsiaTheme="minorEastAsia" w:hAnsi="Helvetica Neue" w:cs="Times New Roman"/>
        </w:rPr>
        <w:t>Empower workers to pay contributions that will establish their future pension.</w:t>
      </w:r>
    </w:p>
    <w:p w14:paraId="7A769F26" w14:textId="77777777" w:rsidR="00962D10" w:rsidRPr="009B1AEC" w:rsidRDefault="00962D10" w:rsidP="002E5374">
      <w:pPr>
        <w:jc w:val="both"/>
        <w:rPr>
          <w:rFonts w:ascii="Helvetica Neue" w:eastAsiaTheme="minorEastAsia" w:hAnsi="Helvetica Neue" w:cs="Times New Roman"/>
          <w:sz w:val="20"/>
          <w:szCs w:val="20"/>
        </w:rPr>
      </w:pPr>
    </w:p>
    <w:p w14:paraId="33C469C5" w14:textId="77777777" w:rsidR="00962D10" w:rsidRPr="009B1AEC" w:rsidRDefault="008D75AF" w:rsidP="00CE442B">
      <w:pPr>
        <w:pStyle w:val="BodyText"/>
        <w:ind w:left="0"/>
        <w:jc w:val="both"/>
        <w:rPr>
          <w:rFonts w:ascii="Helvetica Neue" w:eastAsiaTheme="minorEastAsia" w:hAnsi="Helvetica Neue" w:cs="Times New Roman"/>
        </w:rPr>
      </w:pPr>
      <w:r w:rsidRPr="009B1AEC">
        <w:rPr>
          <w:rFonts w:ascii="Helvetica Neue" w:eastAsiaTheme="minorEastAsia" w:hAnsi="Helvetica Neue" w:cs="Times New Roman"/>
        </w:rPr>
        <w:t>The instruments through which these objectives are to be pursued are mainly:</w:t>
      </w:r>
    </w:p>
    <w:p w14:paraId="111A72E0" w14:textId="77777777" w:rsidR="00962D10" w:rsidRPr="009B1AEC" w:rsidRDefault="008D75AF" w:rsidP="00CE442B">
      <w:pPr>
        <w:pStyle w:val="BodyText"/>
        <w:numPr>
          <w:ilvl w:val="0"/>
          <w:numId w:val="1"/>
        </w:numPr>
        <w:tabs>
          <w:tab w:val="left" w:pos="838"/>
        </w:tabs>
        <w:spacing w:before="141" w:line="346" w:lineRule="exact"/>
        <w:ind w:right="33"/>
        <w:jc w:val="both"/>
        <w:rPr>
          <w:rFonts w:ascii="Helvetica Neue" w:eastAsiaTheme="minorEastAsia" w:hAnsi="Helvetica Neue" w:cs="Times New Roman"/>
        </w:rPr>
      </w:pPr>
      <w:r w:rsidRPr="009B1AEC">
        <w:rPr>
          <w:rFonts w:ascii="Helvetica Neue" w:eastAsiaTheme="minorEastAsia" w:hAnsi="Helvetica Neue" w:cs="Times New Roman"/>
        </w:rPr>
        <w:t>A benefits calculation system that is closer to the development of careers and the contribution of each of them to the social security system;</w:t>
      </w:r>
    </w:p>
    <w:p w14:paraId="3EB5B9B7" w14:textId="77777777" w:rsidR="00962D10" w:rsidRPr="009B1AEC" w:rsidRDefault="008D75AF" w:rsidP="00CE442B">
      <w:pPr>
        <w:pStyle w:val="BodyText"/>
        <w:numPr>
          <w:ilvl w:val="0"/>
          <w:numId w:val="1"/>
        </w:numPr>
        <w:tabs>
          <w:tab w:val="left" w:pos="838"/>
        </w:tabs>
        <w:spacing w:before="96"/>
        <w:ind w:right="33"/>
        <w:jc w:val="both"/>
        <w:rPr>
          <w:rFonts w:ascii="Helvetica Neue" w:eastAsiaTheme="minorEastAsia" w:hAnsi="Helvetica Neue" w:cs="Times New Roman"/>
        </w:rPr>
      </w:pPr>
      <w:r w:rsidRPr="009B1AEC">
        <w:rPr>
          <w:rFonts w:ascii="Helvetica Neue" w:eastAsiaTheme="minorEastAsia" w:hAnsi="Helvetica Neue" w:cs="Times New Roman"/>
        </w:rPr>
        <w:t>Raising the age required for the old-age pension;</w:t>
      </w:r>
    </w:p>
    <w:p w14:paraId="5CA2801D" w14:textId="77777777" w:rsidR="00962D10" w:rsidRPr="009B1AEC" w:rsidRDefault="008D75AF" w:rsidP="00CE442B">
      <w:pPr>
        <w:pStyle w:val="BodyText"/>
        <w:numPr>
          <w:ilvl w:val="0"/>
          <w:numId w:val="1"/>
        </w:numPr>
        <w:tabs>
          <w:tab w:val="left" w:pos="838"/>
        </w:tabs>
        <w:spacing w:before="120"/>
        <w:ind w:right="33"/>
        <w:jc w:val="both"/>
        <w:rPr>
          <w:rFonts w:ascii="Helvetica Neue" w:eastAsiaTheme="minorEastAsia" w:hAnsi="Helvetica Neue" w:cs="Times New Roman"/>
        </w:rPr>
      </w:pPr>
      <w:r w:rsidRPr="009B1AEC">
        <w:rPr>
          <w:rFonts w:ascii="Helvetica Neue" w:eastAsiaTheme="minorEastAsia" w:hAnsi="Helvetica Neue" w:cs="Times New Roman"/>
        </w:rPr>
        <w:t>Introduction of flexible rules for access to retirement;</w:t>
      </w:r>
    </w:p>
    <w:p w14:paraId="6119C22F" w14:textId="77777777" w:rsidR="00962D10" w:rsidRPr="009B1AEC" w:rsidRDefault="008D75AF" w:rsidP="00CE442B">
      <w:pPr>
        <w:pStyle w:val="BodyText"/>
        <w:numPr>
          <w:ilvl w:val="0"/>
          <w:numId w:val="1"/>
        </w:numPr>
        <w:tabs>
          <w:tab w:val="left" w:pos="838"/>
        </w:tabs>
        <w:spacing w:before="117"/>
        <w:ind w:right="33"/>
        <w:jc w:val="both"/>
        <w:rPr>
          <w:rFonts w:ascii="Helvetica Neue" w:eastAsiaTheme="minorEastAsia" w:hAnsi="Helvetica Neue" w:cs="Times New Roman"/>
        </w:rPr>
      </w:pPr>
      <w:r w:rsidRPr="009B1AEC">
        <w:rPr>
          <w:rFonts w:ascii="Helvetica Neue" w:eastAsiaTheme="minorEastAsia" w:hAnsi="Helvetica Neue" w:cs="Times New Roman"/>
        </w:rPr>
        <w:t>Linking access requirements to the longevity pension;</w:t>
      </w:r>
    </w:p>
    <w:p w14:paraId="343B6343" w14:textId="77777777" w:rsidR="00962D10" w:rsidRPr="009B1AEC" w:rsidRDefault="008D75AF" w:rsidP="00CE442B">
      <w:pPr>
        <w:pStyle w:val="BodyText"/>
        <w:numPr>
          <w:ilvl w:val="0"/>
          <w:numId w:val="1"/>
        </w:numPr>
        <w:tabs>
          <w:tab w:val="left" w:pos="838"/>
        </w:tabs>
        <w:spacing w:before="117"/>
        <w:ind w:right="33"/>
        <w:jc w:val="both"/>
        <w:rPr>
          <w:rFonts w:ascii="Helvetica Neue" w:eastAsiaTheme="minorEastAsia" w:hAnsi="Helvetica Neue" w:cs="Times New Roman"/>
        </w:rPr>
      </w:pPr>
      <w:r w:rsidRPr="009B1AEC">
        <w:rPr>
          <w:rFonts w:ascii="Helvetica Neue" w:eastAsiaTheme="minorEastAsia" w:hAnsi="Helvetica Neue" w:cs="Times New Roman"/>
        </w:rPr>
        <w:t xml:space="preserve"> </w:t>
      </w:r>
      <w:r w:rsidR="00984659">
        <w:rPr>
          <w:rFonts w:ascii="Helvetica Neue" w:eastAsiaTheme="minorEastAsia" w:hAnsi="Helvetica Neue" w:cs="Times New Roman"/>
        </w:rPr>
        <w:t>R</w:t>
      </w:r>
      <w:r w:rsidRPr="009B1AEC">
        <w:rPr>
          <w:rFonts w:ascii="Helvetica Neue" w:eastAsiaTheme="minorEastAsia" w:hAnsi="Helvetica Neue" w:cs="Times New Roman"/>
        </w:rPr>
        <w:t>ules</w:t>
      </w:r>
      <w:r w:rsidR="00984659">
        <w:rPr>
          <w:rFonts w:ascii="Helvetica Neue" w:eastAsiaTheme="minorEastAsia" w:hAnsi="Helvetica Neue" w:cs="Times New Roman"/>
        </w:rPr>
        <w:t xml:space="preserve"> aimed at</w:t>
      </w:r>
      <w:r w:rsidRPr="009B1AEC">
        <w:rPr>
          <w:rFonts w:ascii="Helvetica Neue" w:eastAsiaTheme="minorEastAsia" w:hAnsi="Helvetica Neue" w:cs="Times New Roman"/>
        </w:rPr>
        <w:t xml:space="preserve"> overcome the differences between genders and professional categories.</w:t>
      </w:r>
    </w:p>
    <w:p w14:paraId="655BC12D" w14:textId="77777777" w:rsidR="00962D10" w:rsidRPr="009B1AEC" w:rsidRDefault="008D75AF" w:rsidP="00CE442B">
      <w:pPr>
        <w:pStyle w:val="BodyText"/>
        <w:spacing w:before="140" w:line="346" w:lineRule="exact"/>
        <w:ind w:left="0" w:right="33"/>
        <w:jc w:val="both"/>
        <w:rPr>
          <w:rFonts w:ascii="Helvetica Neue" w:eastAsiaTheme="minorEastAsia" w:hAnsi="Helvetica Neue" w:cs="Times New Roman"/>
        </w:rPr>
      </w:pPr>
      <w:r w:rsidRPr="009B1AEC">
        <w:rPr>
          <w:rFonts w:ascii="Helvetica Neue" w:eastAsiaTheme="minorEastAsia" w:hAnsi="Helvetica Neue" w:cs="Times New Roman"/>
        </w:rPr>
        <w:t xml:space="preserve">The </w:t>
      </w:r>
      <w:proofErr w:type="spellStart"/>
      <w:r w:rsidRPr="009B1AEC">
        <w:rPr>
          <w:rFonts w:ascii="Helvetica Neue" w:eastAsiaTheme="minorEastAsia" w:hAnsi="Helvetica Neue" w:cs="Times New Roman"/>
        </w:rPr>
        <w:t>Monti-Fornero</w:t>
      </w:r>
      <w:proofErr w:type="spellEnd"/>
      <w:r w:rsidRPr="009B1AEC">
        <w:rPr>
          <w:rFonts w:ascii="Helvetica Neue" w:eastAsiaTheme="minorEastAsia" w:hAnsi="Helvetica Neue" w:cs="Times New Roman"/>
        </w:rPr>
        <w:t xml:space="preserve"> reform has extended to all </w:t>
      </w:r>
      <w:r w:rsidR="00984659">
        <w:rPr>
          <w:rFonts w:ascii="Helvetica Neue" w:eastAsiaTheme="minorEastAsia" w:hAnsi="Helvetica Neue" w:cs="Times New Roman"/>
        </w:rPr>
        <w:t xml:space="preserve">the </w:t>
      </w:r>
      <w:r w:rsidRPr="009B1AEC">
        <w:rPr>
          <w:rFonts w:ascii="Helvetica Neue" w:eastAsiaTheme="minorEastAsia" w:hAnsi="Helvetica Neue" w:cs="Times New Roman"/>
        </w:rPr>
        <w:t>contribution-based system for retirement insurances accrued from 1 January 2012 onwards.</w:t>
      </w:r>
    </w:p>
    <w:p w14:paraId="0C0ED243" w14:textId="77777777" w:rsidR="00962D10" w:rsidRPr="009B1AEC" w:rsidRDefault="008D75AF" w:rsidP="00CE442B">
      <w:pPr>
        <w:pStyle w:val="BodyText"/>
        <w:spacing w:before="120" w:line="346" w:lineRule="exact"/>
        <w:ind w:left="0" w:right="33"/>
        <w:jc w:val="both"/>
        <w:rPr>
          <w:rFonts w:ascii="Helvetica Neue" w:eastAsiaTheme="minorEastAsia" w:hAnsi="Helvetica Neue" w:cs="Times New Roman"/>
        </w:rPr>
      </w:pPr>
      <w:r w:rsidRPr="009B1AEC">
        <w:rPr>
          <w:rFonts w:ascii="Helvetica Neue" w:eastAsiaTheme="minorEastAsia" w:hAnsi="Helvetica Neue" w:cs="Times New Roman"/>
        </w:rPr>
        <w:t>The extension of the contributory method from January 2012 affects the calculation of the benefits of those who have at least 18 years of contributions at 31 December 1995.</w:t>
      </w:r>
    </w:p>
    <w:p w14:paraId="2FA511EF" w14:textId="77777777" w:rsidR="00962D10" w:rsidRPr="009B1AEC" w:rsidRDefault="008D75AF" w:rsidP="00CE442B">
      <w:pPr>
        <w:pStyle w:val="BodyText"/>
        <w:spacing w:before="98" w:line="239" w:lineRule="auto"/>
        <w:ind w:left="0" w:right="33"/>
        <w:jc w:val="both"/>
        <w:rPr>
          <w:rFonts w:ascii="Helvetica Neue" w:eastAsiaTheme="minorEastAsia" w:hAnsi="Helvetica Neue" w:cs="Times New Roman"/>
        </w:rPr>
      </w:pPr>
      <w:r w:rsidRPr="009B1AEC">
        <w:rPr>
          <w:rFonts w:ascii="Helvetica Neue" w:eastAsiaTheme="minorEastAsia" w:hAnsi="Helvetica Neue" w:cs="Times New Roman"/>
        </w:rPr>
        <w:t>These will be entitled to a pension calculated in accordance with the pro-rata criterion, with the application of the payment system</w:t>
      </w:r>
      <w:r w:rsidR="00984659">
        <w:rPr>
          <w:rFonts w:ascii="Helvetica Neue" w:eastAsiaTheme="minorEastAsia" w:hAnsi="Helvetica Neue" w:cs="Times New Roman"/>
        </w:rPr>
        <w:t xml:space="preserve"> to the </w:t>
      </w:r>
      <w:r w:rsidR="00F968FE">
        <w:rPr>
          <w:rFonts w:ascii="Helvetica Neue" w:eastAsiaTheme="minorEastAsia" w:hAnsi="Helvetica Neue" w:cs="Times New Roman"/>
        </w:rPr>
        <w:t>matured seniorities</w:t>
      </w:r>
      <w:r w:rsidRPr="009B1AEC">
        <w:rPr>
          <w:rFonts w:ascii="Helvetica Neue" w:eastAsiaTheme="minorEastAsia" w:hAnsi="Helvetica Neue" w:cs="Times New Roman"/>
        </w:rPr>
        <w:t xml:space="preserve"> until 31 December 2011 and the contributory system </w:t>
      </w:r>
      <w:r w:rsidR="00F968FE">
        <w:rPr>
          <w:rFonts w:ascii="Helvetica Neue" w:eastAsiaTheme="minorEastAsia" w:hAnsi="Helvetica Neue" w:cs="Times New Roman"/>
        </w:rPr>
        <w:t xml:space="preserve">to the </w:t>
      </w:r>
      <w:r w:rsidRPr="009B1AEC">
        <w:rPr>
          <w:rFonts w:ascii="Helvetica Neue" w:eastAsiaTheme="minorEastAsia" w:hAnsi="Helvetica Neue" w:cs="Times New Roman"/>
        </w:rPr>
        <w:t xml:space="preserve">accrued </w:t>
      </w:r>
      <w:r w:rsidR="00F968FE">
        <w:rPr>
          <w:rFonts w:ascii="Helvetica Neue" w:eastAsiaTheme="minorEastAsia" w:hAnsi="Helvetica Neue" w:cs="Times New Roman"/>
        </w:rPr>
        <w:t xml:space="preserve">seniorities </w:t>
      </w:r>
      <w:r w:rsidRPr="009B1AEC">
        <w:rPr>
          <w:rFonts w:ascii="Helvetica Neue" w:eastAsiaTheme="minorEastAsia" w:hAnsi="Helvetica Neue" w:cs="Times New Roman"/>
        </w:rPr>
        <w:t>thereafter.</w:t>
      </w:r>
    </w:p>
    <w:p w14:paraId="6AADBD23" w14:textId="77777777" w:rsidR="00962D10" w:rsidRPr="009B1AEC" w:rsidRDefault="008D75AF" w:rsidP="00CE442B">
      <w:pPr>
        <w:pStyle w:val="BodyText"/>
        <w:spacing w:before="117"/>
        <w:ind w:left="0" w:right="33"/>
        <w:jc w:val="both"/>
        <w:rPr>
          <w:rFonts w:ascii="Helvetica Neue" w:eastAsiaTheme="minorEastAsia" w:hAnsi="Helvetica Neue" w:cs="Times New Roman"/>
        </w:rPr>
      </w:pPr>
      <w:r w:rsidRPr="009B1AEC">
        <w:rPr>
          <w:rFonts w:ascii="Helvetica Neue" w:eastAsiaTheme="minorEastAsia" w:hAnsi="Helvetica Neue" w:cs="Times New Roman"/>
        </w:rPr>
        <w:t>However, nothing changes for those who:</w:t>
      </w:r>
    </w:p>
    <w:p w14:paraId="263DD437" w14:textId="77777777" w:rsidR="00962D10" w:rsidRPr="009B1AEC" w:rsidRDefault="008D75AF" w:rsidP="002E5374">
      <w:pPr>
        <w:pStyle w:val="BodyText"/>
        <w:numPr>
          <w:ilvl w:val="0"/>
          <w:numId w:val="2"/>
        </w:numPr>
        <w:tabs>
          <w:tab w:val="left" w:pos="838"/>
        </w:tabs>
        <w:spacing w:before="117" w:line="347" w:lineRule="exact"/>
        <w:jc w:val="both"/>
        <w:rPr>
          <w:rFonts w:ascii="Helvetica Neue" w:eastAsiaTheme="minorEastAsia" w:hAnsi="Helvetica Neue" w:cs="Times New Roman"/>
        </w:rPr>
      </w:pPr>
      <w:r w:rsidRPr="009B1AEC">
        <w:rPr>
          <w:rFonts w:ascii="Helvetica Neue" w:eastAsiaTheme="minorEastAsia" w:hAnsi="Helvetica Neue" w:cs="Times New Roman"/>
        </w:rPr>
        <w:lastRenderedPageBreak/>
        <w:t>Had less than 18 years of contributions at 31 December 1995 (mixed payment system);</w:t>
      </w:r>
    </w:p>
    <w:p w14:paraId="2D02F60F" w14:textId="77777777" w:rsidR="00D67E85" w:rsidRDefault="008D75AF" w:rsidP="00966B37">
      <w:pPr>
        <w:pStyle w:val="BodyText"/>
        <w:numPr>
          <w:ilvl w:val="0"/>
          <w:numId w:val="2"/>
        </w:numPr>
        <w:tabs>
          <w:tab w:val="left" w:pos="838"/>
        </w:tabs>
        <w:spacing w:line="281" w:lineRule="exact"/>
        <w:jc w:val="both"/>
        <w:rPr>
          <w:rFonts w:ascii="Helvetica Neue" w:eastAsiaTheme="minorEastAsia" w:hAnsi="Helvetica Neue" w:cs="Times New Roman"/>
        </w:rPr>
      </w:pPr>
      <w:r w:rsidRPr="00D67E85">
        <w:rPr>
          <w:rFonts w:ascii="Helvetica Neue" w:eastAsiaTheme="minorEastAsia" w:hAnsi="Helvetica Neue" w:cs="Times New Roman"/>
        </w:rPr>
        <w:t>Started work after 31 December 1995 (contributory system).</w:t>
      </w:r>
      <w:r w:rsidR="00D67E85" w:rsidRPr="00D67E85">
        <w:rPr>
          <w:rFonts w:ascii="Helvetica Neue" w:eastAsiaTheme="minorEastAsia" w:hAnsi="Helvetica Neue" w:cs="Times New Roman"/>
        </w:rPr>
        <w:t xml:space="preserve"> </w:t>
      </w:r>
    </w:p>
    <w:p w14:paraId="65A65A24" w14:textId="77777777" w:rsidR="00D67E85" w:rsidRDefault="00D67E85" w:rsidP="00D67E85">
      <w:pPr>
        <w:pStyle w:val="BodyText"/>
        <w:tabs>
          <w:tab w:val="left" w:pos="838"/>
        </w:tabs>
        <w:spacing w:line="281" w:lineRule="exact"/>
        <w:jc w:val="both"/>
        <w:rPr>
          <w:rFonts w:ascii="Helvetica Neue" w:eastAsiaTheme="minorEastAsia" w:hAnsi="Helvetica Neue" w:cs="Times New Roman"/>
        </w:rPr>
      </w:pPr>
    </w:p>
    <w:p w14:paraId="39DCF5DD" w14:textId="77777777" w:rsidR="00962D10" w:rsidRPr="009B1AEC" w:rsidRDefault="008D75AF" w:rsidP="00A57410">
      <w:pPr>
        <w:pStyle w:val="BodyText"/>
        <w:tabs>
          <w:tab w:val="left" w:pos="838"/>
        </w:tabs>
        <w:spacing w:line="281" w:lineRule="exact"/>
        <w:ind w:left="0"/>
        <w:jc w:val="both"/>
        <w:rPr>
          <w:rFonts w:ascii="Helvetica Neue" w:eastAsiaTheme="minorEastAsia" w:hAnsi="Helvetica Neue" w:cs="Times New Roman"/>
        </w:rPr>
      </w:pPr>
      <w:r w:rsidRPr="00D67E85">
        <w:rPr>
          <w:rFonts w:ascii="Helvetica Neue" w:eastAsiaTheme="minorEastAsia" w:hAnsi="Helvetica Neue" w:cs="Times New Roman"/>
        </w:rPr>
        <w:t>It was already provided that for them the pension would be calculated with the contributory</w:t>
      </w:r>
      <w:r w:rsidR="00A54C02">
        <w:rPr>
          <w:rFonts w:ascii="Helvetica Neue" w:eastAsiaTheme="minorEastAsia" w:hAnsi="Helvetica Neue" w:cs="Times New Roman"/>
        </w:rPr>
        <w:t xml:space="preserve"> </w:t>
      </w:r>
      <w:r w:rsidRPr="009B1AEC">
        <w:rPr>
          <w:rFonts w:ascii="Helvetica Neue" w:eastAsiaTheme="minorEastAsia" w:hAnsi="Helvetica Neue" w:cs="Times New Roman"/>
        </w:rPr>
        <w:t xml:space="preserve">system </w:t>
      </w:r>
      <w:r w:rsidR="00E8726C">
        <w:rPr>
          <w:rFonts w:ascii="Helvetica Neue" w:eastAsiaTheme="minorEastAsia" w:hAnsi="Helvetica Neue" w:cs="Times New Roman"/>
        </w:rPr>
        <w:t xml:space="preserve">for seniorities </w:t>
      </w:r>
      <w:r w:rsidRPr="009B1AEC">
        <w:rPr>
          <w:rFonts w:ascii="Helvetica Neue" w:eastAsiaTheme="minorEastAsia" w:hAnsi="Helvetica Neue" w:cs="Times New Roman"/>
        </w:rPr>
        <w:t>accrued after 31 December 1995.</w:t>
      </w:r>
    </w:p>
    <w:p w14:paraId="6CD0F081" w14:textId="77777777" w:rsidR="00962D10" w:rsidRPr="009B1AEC" w:rsidRDefault="008D75AF" w:rsidP="00A57410">
      <w:pPr>
        <w:pStyle w:val="BodyText"/>
        <w:spacing w:before="119" w:line="238" w:lineRule="auto"/>
        <w:ind w:left="0"/>
        <w:jc w:val="both"/>
        <w:rPr>
          <w:rFonts w:ascii="Helvetica Neue" w:eastAsiaTheme="minorEastAsia" w:hAnsi="Helvetica Neue" w:cs="Times New Roman"/>
        </w:rPr>
      </w:pPr>
      <w:r w:rsidRPr="009B1AEC">
        <w:rPr>
          <w:rFonts w:ascii="Helvetica Neue" w:eastAsiaTheme="minorEastAsia" w:hAnsi="Helvetica Neue" w:cs="Times New Roman"/>
        </w:rPr>
        <w:t xml:space="preserve">With the contributory method, the pension amount is commensurate to the contributions paid in accordance with the principle of "the more payments you make, the more you take". Contributions paid accumulate in a hypothetical social security current account and are revalued every year on the five-year average growth rate of the Gross Domestic Product, specially calculated by the </w:t>
      </w:r>
      <w:proofErr w:type="spellStart"/>
      <w:r w:rsidR="00103711">
        <w:rPr>
          <w:rFonts w:ascii="Helvetica Neue" w:eastAsiaTheme="minorEastAsia" w:hAnsi="Helvetica Neue" w:cs="Times New Roman"/>
        </w:rPr>
        <w:t>ISTAT</w:t>
      </w:r>
      <w:proofErr w:type="spellEnd"/>
      <w:r w:rsidR="00103711">
        <w:rPr>
          <w:rFonts w:ascii="Helvetica Neue" w:eastAsiaTheme="minorEastAsia" w:hAnsi="Helvetica Neue" w:cs="Times New Roman"/>
        </w:rPr>
        <w:t xml:space="preserve"> </w:t>
      </w:r>
      <w:r w:rsidRPr="009B1AEC">
        <w:rPr>
          <w:rFonts w:ascii="Helvetica Neue" w:eastAsiaTheme="minorEastAsia" w:hAnsi="Helvetica Neue" w:cs="Times New Roman"/>
        </w:rPr>
        <w:t xml:space="preserve">with reference to the previous five years. At the point of retirement, the sum of the revalued paid contributions (the so- called </w:t>
      </w:r>
      <w:r w:rsidR="00E8726C">
        <w:rPr>
          <w:rFonts w:ascii="Helvetica Neue" w:eastAsiaTheme="minorEastAsia" w:hAnsi="Helvetica Neue" w:cs="Times New Roman"/>
        </w:rPr>
        <w:t xml:space="preserve">total amount </w:t>
      </w:r>
      <w:r w:rsidRPr="009B1AEC">
        <w:rPr>
          <w:rFonts w:ascii="Helvetica Neue" w:eastAsiaTheme="minorEastAsia" w:hAnsi="Helvetica Neue" w:cs="Times New Roman"/>
        </w:rPr>
        <w:t>contributions) is converted into a pension using the coefficients (the</w:t>
      </w:r>
      <w:r w:rsidR="00E8726C">
        <w:rPr>
          <w:rFonts w:ascii="Helvetica Neue" w:eastAsiaTheme="minorEastAsia" w:hAnsi="Helvetica Neue" w:cs="Times New Roman"/>
        </w:rPr>
        <w:t xml:space="preserve"> total amount</w:t>
      </w:r>
      <w:r w:rsidRPr="009B1AEC">
        <w:rPr>
          <w:rFonts w:ascii="Helvetica Neue" w:eastAsiaTheme="minorEastAsia" w:hAnsi="Helvetica Neue" w:cs="Times New Roman"/>
        </w:rPr>
        <w:t xml:space="preserve"> processing coefficients into an annuity) that depends on the age of retirement. In particular, the higher the age, the higher is the pension.</w:t>
      </w:r>
    </w:p>
    <w:p w14:paraId="26A7812C" w14:textId="77777777" w:rsidR="00962D10" w:rsidRPr="009B1AEC" w:rsidRDefault="008D75AF" w:rsidP="00A57410">
      <w:pPr>
        <w:pStyle w:val="BodyText"/>
        <w:spacing w:before="141"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The contributory system, taking into account the contributions paid throughout the person’s life is better suited to discontinuous careers and flexible types of contracts.</w:t>
      </w:r>
    </w:p>
    <w:p w14:paraId="031335A7" w14:textId="77777777" w:rsidR="00962D10" w:rsidRPr="009B1AEC" w:rsidRDefault="008D75AF" w:rsidP="00A57410">
      <w:pPr>
        <w:pStyle w:val="BodyText"/>
        <w:spacing w:before="98" w:line="239" w:lineRule="auto"/>
        <w:ind w:left="0"/>
        <w:jc w:val="both"/>
        <w:rPr>
          <w:rFonts w:ascii="Helvetica Neue" w:eastAsiaTheme="minorEastAsia" w:hAnsi="Helvetica Neue" w:cs="Times New Roman"/>
        </w:rPr>
      </w:pPr>
      <w:r w:rsidRPr="009B1AEC">
        <w:rPr>
          <w:rFonts w:ascii="Helvetica Neue" w:eastAsiaTheme="minorEastAsia" w:hAnsi="Helvetica Neue" w:cs="Times New Roman"/>
        </w:rPr>
        <w:t xml:space="preserve">The minimum pensionable age in the past was different for men and women and the process of convergence towards a uniform age for the different management systems has been in progress for some time. The reform brings it to </w:t>
      </w:r>
      <w:proofErr w:type="spellStart"/>
      <w:r w:rsidRPr="009B1AEC">
        <w:rPr>
          <w:rFonts w:ascii="Helvetica Neue" w:eastAsiaTheme="minorEastAsia" w:hAnsi="Helvetica Neue" w:cs="Times New Roman"/>
        </w:rPr>
        <w:t>fulfilment</w:t>
      </w:r>
      <w:proofErr w:type="spellEnd"/>
      <w:r w:rsidRPr="009B1AEC">
        <w:rPr>
          <w:rFonts w:ascii="Helvetica Neue" w:eastAsiaTheme="minorEastAsia" w:hAnsi="Helvetica Neue" w:cs="Times New Roman"/>
        </w:rPr>
        <w:t>.</w:t>
      </w:r>
    </w:p>
    <w:p w14:paraId="12FDF1C8" w14:textId="77777777" w:rsidR="00962D10" w:rsidRPr="009B1AEC" w:rsidRDefault="008D75AF" w:rsidP="00A57410">
      <w:pPr>
        <w:pStyle w:val="BodyText"/>
        <w:spacing w:before="140"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For female public sector employees, the retirement age (subject to the adjustment of the increase in life expectancy) has been set at 66 years as from 1 January 2012</w:t>
      </w:r>
    </w:p>
    <w:p w14:paraId="33313C48" w14:textId="77777777" w:rsidR="00962D10" w:rsidRPr="009B1AEC" w:rsidRDefault="008D75AF" w:rsidP="00A57410">
      <w:pPr>
        <w:pStyle w:val="BodyText"/>
        <w:spacing w:before="119"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For employees and self-employed</w:t>
      </w:r>
      <w:r w:rsidR="00E8726C">
        <w:rPr>
          <w:rFonts w:ascii="Helvetica Neue" w:eastAsiaTheme="minorEastAsia" w:hAnsi="Helvetica Neue" w:cs="Times New Roman"/>
        </w:rPr>
        <w:t xml:space="preserve"> people</w:t>
      </w:r>
      <w:r w:rsidRPr="009B1AEC">
        <w:rPr>
          <w:rFonts w:ascii="Helvetica Neue" w:eastAsiaTheme="minorEastAsia" w:hAnsi="Helvetica Neue" w:cs="Times New Roman"/>
        </w:rPr>
        <w:t>, the retirement age (subject to the adjustment of the increase in life expectancy) has been set at 66 years as from 1 January 2012.</w:t>
      </w:r>
    </w:p>
    <w:p w14:paraId="02E27099" w14:textId="77777777" w:rsidR="00962D10" w:rsidRPr="009B1AEC" w:rsidRDefault="008D75AF" w:rsidP="00A57410">
      <w:pPr>
        <w:pStyle w:val="BodyText"/>
        <w:spacing w:before="98" w:line="239" w:lineRule="auto"/>
        <w:ind w:left="0"/>
        <w:jc w:val="both"/>
        <w:rPr>
          <w:rFonts w:ascii="Helvetica Neue" w:eastAsiaTheme="minorEastAsia" w:hAnsi="Helvetica Neue" w:cs="Times New Roman"/>
        </w:rPr>
      </w:pPr>
      <w:r w:rsidRPr="009B1AEC">
        <w:rPr>
          <w:rFonts w:ascii="Helvetica Neue" w:eastAsiaTheme="minorEastAsia" w:hAnsi="Helvetica Neue" w:cs="Times New Roman"/>
        </w:rPr>
        <w:t>The retirement age of female private sector employees and self-employed females - lower than that of men and women in the civil service – has been raised starting from 1 January 2012, until it progressively reaches full equivalence in 2018.</w:t>
      </w:r>
    </w:p>
    <w:p w14:paraId="44065A46" w14:textId="77777777" w:rsidR="00962D10" w:rsidRPr="009B1AEC" w:rsidRDefault="008D75AF" w:rsidP="00A57410">
      <w:pPr>
        <w:pStyle w:val="BodyText"/>
        <w:spacing w:before="140"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 xml:space="preserve">Both the old-age pension and the early retirement pension are adequate in terms of age requirements and contribution </w:t>
      </w:r>
      <w:r w:rsidR="00E8726C">
        <w:rPr>
          <w:rFonts w:ascii="Helvetica Neue" w:eastAsiaTheme="minorEastAsia" w:hAnsi="Helvetica Neue" w:cs="Times New Roman"/>
        </w:rPr>
        <w:t>periods to</w:t>
      </w:r>
      <w:r w:rsidRPr="009B1AEC">
        <w:rPr>
          <w:rFonts w:ascii="Helvetica Neue" w:eastAsiaTheme="minorEastAsia" w:hAnsi="Helvetica Neue" w:cs="Times New Roman"/>
        </w:rPr>
        <w:t xml:space="preserve"> the development of life expectancy calculated by the </w:t>
      </w:r>
      <w:proofErr w:type="spellStart"/>
      <w:r w:rsidRPr="009B1AEC">
        <w:rPr>
          <w:rFonts w:ascii="Helvetica Neue" w:eastAsiaTheme="minorEastAsia" w:hAnsi="Helvetica Neue" w:cs="Times New Roman"/>
        </w:rPr>
        <w:t>ISTAT</w:t>
      </w:r>
      <w:proofErr w:type="spellEnd"/>
      <w:r w:rsidRPr="009B1AEC">
        <w:rPr>
          <w:rFonts w:ascii="Helvetica Neue" w:eastAsiaTheme="minorEastAsia" w:hAnsi="Helvetica Neue" w:cs="Times New Roman"/>
        </w:rPr>
        <w:t xml:space="preserve">. The higher the life expectancy, a higher retirement age and </w:t>
      </w:r>
      <w:r w:rsidR="00E8726C">
        <w:rPr>
          <w:rFonts w:ascii="Helvetica Neue" w:eastAsiaTheme="minorEastAsia" w:hAnsi="Helvetica Neue" w:cs="Times New Roman"/>
        </w:rPr>
        <w:t>greater contribution</w:t>
      </w:r>
      <w:r w:rsidR="00CE442B">
        <w:rPr>
          <w:rFonts w:ascii="Helvetica Neue" w:eastAsiaTheme="minorEastAsia" w:hAnsi="Helvetica Neue" w:cs="Times New Roman"/>
        </w:rPr>
        <w:t xml:space="preserve"> periods</w:t>
      </w:r>
      <w:r w:rsidRPr="009B1AEC">
        <w:rPr>
          <w:rFonts w:ascii="Helvetica Neue" w:eastAsiaTheme="minorEastAsia" w:hAnsi="Helvetica Neue" w:cs="Times New Roman"/>
        </w:rPr>
        <w:t xml:space="preserve"> will be required.</w:t>
      </w:r>
    </w:p>
    <w:p w14:paraId="42C20E37" w14:textId="77777777" w:rsidR="00962D10" w:rsidRPr="009B1AEC" w:rsidRDefault="008D75AF" w:rsidP="00A57410">
      <w:pPr>
        <w:pStyle w:val="BodyText"/>
        <w:spacing w:before="119"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The adjustment will be made automatically with a simple administrative measure occurring every two years.</w:t>
      </w:r>
    </w:p>
    <w:p w14:paraId="29A83C35" w14:textId="77777777" w:rsidR="00962D10" w:rsidRPr="009B1AEC" w:rsidRDefault="008D75AF" w:rsidP="00A57410">
      <w:pPr>
        <w:pStyle w:val="BodyText"/>
        <w:spacing w:before="98" w:line="238" w:lineRule="auto"/>
        <w:ind w:left="0"/>
        <w:jc w:val="both"/>
        <w:rPr>
          <w:rFonts w:ascii="Helvetica Neue" w:eastAsiaTheme="minorEastAsia" w:hAnsi="Helvetica Neue" w:cs="Times New Roman"/>
        </w:rPr>
      </w:pPr>
      <w:r w:rsidRPr="009B1AEC">
        <w:rPr>
          <w:rFonts w:ascii="Helvetica Neue" w:eastAsiaTheme="minorEastAsia" w:hAnsi="Helvetica Neue" w:cs="Times New Roman"/>
        </w:rPr>
        <w:t>Italy is the only country in which automatic mechanisms for the adjustment of life expectancy operate in a coordinated manner, both for access requirements to the pension and for its calculation, since even the processing coefficients, which are used in the calculation of the allowance amount, will be reviewed every two years after 2019.</w:t>
      </w:r>
    </w:p>
    <w:p w14:paraId="361A8A22" w14:textId="77777777" w:rsidR="00962D10" w:rsidRPr="009B1AEC" w:rsidRDefault="008D75AF" w:rsidP="00A57410">
      <w:pPr>
        <w:pStyle w:val="BodyText"/>
        <w:spacing w:before="140"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In addition to the above age requirements, the worker is also required to have credited at least 20 years of contributions to attain the old-age pension.</w:t>
      </w:r>
    </w:p>
    <w:p w14:paraId="3331FBC4" w14:textId="77777777" w:rsidR="00962D10" w:rsidRPr="009B1AEC" w:rsidRDefault="008D75AF" w:rsidP="00A57410">
      <w:pPr>
        <w:pStyle w:val="BodyText"/>
        <w:spacing w:before="119"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 xml:space="preserve">However, for workers whose first contribution was credited after 31 December 1995, it is also necessary </w:t>
      </w:r>
      <w:r w:rsidR="00B77453">
        <w:rPr>
          <w:rFonts w:ascii="Helvetica Neue" w:eastAsiaTheme="minorEastAsia" w:hAnsi="Helvetica Neue" w:cs="Times New Roman"/>
        </w:rPr>
        <w:t xml:space="preserve">that </w:t>
      </w:r>
      <w:r w:rsidRPr="009B1AEC">
        <w:rPr>
          <w:rFonts w:ascii="Helvetica Neue" w:eastAsiaTheme="minorEastAsia" w:hAnsi="Helvetica Neue" w:cs="Times New Roman"/>
        </w:rPr>
        <w:t xml:space="preserve">the pension amount </w:t>
      </w:r>
      <w:r w:rsidR="00B77453">
        <w:rPr>
          <w:rFonts w:ascii="Helvetica Neue" w:eastAsiaTheme="minorEastAsia" w:hAnsi="Helvetica Neue" w:cs="Times New Roman"/>
        </w:rPr>
        <w:t xml:space="preserve">is </w:t>
      </w:r>
      <w:r w:rsidRPr="009B1AEC">
        <w:rPr>
          <w:rFonts w:ascii="Helvetica Neue" w:eastAsiaTheme="minorEastAsia" w:hAnsi="Helvetica Neue" w:cs="Times New Roman"/>
        </w:rPr>
        <w:t>not lower, for the year 2012, than 1.5 times the amount of the social</w:t>
      </w:r>
      <w:r w:rsidR="00D67E85">
        <w:rPr>
          <w:rFonts w:ascii="Helvetica Neue" w:eastAsiaTheme="minorEastAsia" w:hAnsi="Helvetica Neue" w:cs="Times New Roman"/>
        </w:rPr>
        <w:t xml:space="preserve"> </w:t>
      </w:r>
      <w:r w:rsidRPr="009B1AEC">
        <w:rPr>
          <w:rFonts w:ascii="Helvetica Neue" w:eastAsiaTheme="minorEastAsia" w:hAnsi="Helvetica Neue" w:cs="Times New Roman"/>
        </w:rPr>
        <w:t>allowance</w:t>
      </w:r>
      <w:r w:rsidR="00CE67C5">
        <w:rPr>
          <w:rStyle w:val="FootnoteReference"/>
          <w:rFonts w:ascii="Helvetica Neue" w:eastAsiaTheme="minorEastAsia" w:hAnsi="Helvetica Neue" w:cs="Times New Roman"/>
        </w:rPr>
        <w:footnoteReference w:id="9"/>
      </w:r>
      <w:r w:rsidRPr="009B1AEC">
        <w:rPr>
          <w:rFonts w:ascii="Helvetica Neue" w:eastAsiaTheme="minorEastAsia" w:hAnsi="Helvetica Neue" w:cs="Times New Roman"/>
        </w:rPr>
        <w:t xml:space="preserve"> referred to in Article 3, paragraph 6 of Italian Law No. 335 of 8 August 1995 (the so-called</w:t>
      </w:r>
      <w:r w:rsidR="009B1AEC">
        <w:rPr>
          <w:rFonts w:ascii="Helvetica Neue" w:eastAsiaTheme="minorEastAsia" w:hAnsi="Helvetica Neue" w:cs="Times New Roman"/>
        </w:rPr>
        <w:t xml:space="preserve"> </w:t>
      </w:r>
      <w:r w:rsidRPr="009B1AEC">
        <w:rPr>
          <w:rFonts w:ascii="Helvetica Neue" w:eastAsiaTheme="minorEastAsia" w:hAnsi="Helvetica Neue" w:cs="Times New Roman"/>
        </w:rPr>
        <w:t xml:space="preserve">threshold amount). In the event that a person has not attained 20 years of contributions, there is also a further possibility of accessing </w:t>
      </w:r>
      <w:r w:rsidRPr="009B1AEC">
        <w:rPr>
          <w:rFonts w:ascii="Helvetica Neue" w:eastAsiaTheme="minorEastAsia" w:hAnsi="Helvetica Neue" w:cs="Times New Roman"/>
        </w:rPr>
        <w:lastRenderedPageBreak/>
        <w:t>the old-age pension at 70 years of age if at least 5 years of actual contributions can be paid. In this case, it is not necessary for the pension amount to be higher than any threshold amount.</w:t>
      </w:r>
    </w:p>
    <w:p w14:paraId="1F9457A3" w14:textId="77777777" w:rsidR="00962D10" w:rsidRPr="009B1AEC" w:rsidRDefault="008D75AF" w:rsidP="00A57410">
      <w:pPr>
        <w:pStyle w:val="BodyText"/>
        <w:spacing w:before="99"/>
        <w:ind w:left="0"/>
        <w:jc w:val="both"/>
        <w:rPr>
          <w:rFonts w:ascii="Helvetica Neue" w:eastAsiaTheme="minorEastAsia" w:hAnsi="Helvetica Neue" w:cs="Times New Roman"/>
        </w:rPr>
      </w:pPr>
      <w:r w:rsidRPr="009B1AEC">
        <w:rPr>
          <w:rFonts w:ascii="Helvetica Neue" w:eastAsiaTheme="minorEastAsia" w:hAnsi="Helvetica Neue" w:cs="Times New Roman"/>
        </w:rPr>
        <w:t>The second type of pension provided by the reform is the early retirement pension.</w:t>
      </w:r>
    </w:p>
    <w:p w14:paraId="18F2BBFE" w14:textId="77777777" w:rsidR="00962D10" w:rsidRPr="009B1AEC" w:rsidRDefault="008D75AF" w:rsidP="00A57410">
      <w:pPr>
        <w:pStyle w:val="BodyText"/>
        <w:spacing w:before="140"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 xml:space="preserve">It is a benefit that is independent of the applicant’s age and is granted to those who have a </w:t>
      </w:r>
      <w:r w:rsidR="00277FF4">
        <w:rPr>
          <w:rFonts w:ascii="Helvetica Neue" w:eastAsiaTheme="minorEastAsia" w:hAnsi="Helvetica Neue" w:cs="Times New Roman"/>
        </w:rPr>
        <w:t>contribution period, as of 2016,</w:t>
      </w:r>
      <w:r w:rsidRPr="009B1AEC">
        <w:rPr>
          <w:rFonts w:ascii="Helvetica Neue" w:eastAsiaTheme="minorEastAsia" w:hAnsi="Helvetica Neue" w:cs="Times New Roman"/>
        </w:rPr>
        <w:t xml:space="preserve"> of at least 42 years and 10 months for men, or 41 years and 10 months for women.</w:t>
      </w:r>
    </w:p>
    <w:p w14:paraId="3322C675" w14:textId="77777777" w:rsidR="00962D10" w:rsidRPr="009B1AEC" w:rsidRDefault="008D75AF" w:rsidP="00A57410">
      <w:pPr>
        <w:pStyle w:val="BodyText"/>
        <w:spacing w:before="96"/>
        <w:ind w:left="0"/>
        <w:jc w:val="both"/>
        <w:rPr>
          <w:rFonts w:ascii="Helvetica Neue" w:eastAsiaTheme="minorEastAsia" w:hAnsi="Helvetica Neue" w:cs="Times New Roman"/>
        </w:rPr>
      </w:pPr>
      <w:r w:rsidRPr="009B1AEC">
        <w:rPr>
          <w:rFonts w:ascii="Helvetica Neue" w:eastAsiaTheme="minorEastAsia" w:hAnsi="Helvetica Neue" w:cs="Times New Roman"/>
        </w:rPr>
        <w:t>Contributory requirements for the early retirement pension are also subject to the adjustment of life expectancy.</w:t>
      </w:r>
    </w:p>
    <w:p w14:paraId="58243F68" w14:textId="77777777" w:rsidR="00962D10" w:rsidRPr="009B1AEC" w:rsidRDefault="008D75AF" w:rsidP="00A57410">
      <w:pPr>
        <w:pStyle w:val="BodyText"/>
        <w:spacing w:before="118" w:line="239" w:lineRule="auto"/>
        <w:ind w:left="0"/>
        <w:jc w:val="both"/>
        <w:rPr>
          <w:rFonts w:ascii="Helvetica Neue" w:eastAsiaTheme="minorEastAsia" w:hAnsi="Helvetica Neue" w:cs="Times New Roman"/>
        </w:rPr>
      </w:pPr>
      <w:r w:rsidRPr="009B1AEC">
        <w:rPr>
          <w:rFonts w:ascii="Helvetica Neue" w:eastAsiaTheme="minorEastAsia" w:hAnsi="Helvetica Neue" w:cs="Times New Roman"/>
        </w:rPr>
        <w:t>A further possibility for pension access is provided for workers registered after 31 December 1995 with an age of not less than 63 years and who have paid 20 years of contributions. In these cases, access to a pension may occur if its amount is not less than 2.8 times the social allowance amount.</w:t>
      </w:r>
    </w:p>
    <w:p w14:paraId="01A16EDF" w14:textId="77777777" w:rsidR="00962D10" w:rsidRPr="00CE67C5" w:rsidRDefault="008D75AF" w:rsidP="00A57410">
      <w:pPr>
        <w:pStyle w:val="BodyText"/>
        <w:spacing w:before="140" w:line="346" w:lineRule="exact"/>
        <w:ind w:left="0"/>
        <w:jc w:val="both"/>
        <w:rPr>
          <w:rFonts w:ascii="Helvetica Neue" w:eastAsiaTheme="minorEastAsia" w:hAnsi="Helvetica Neue" w:cs="Times New Roman"/>
        </w:rPr>
      </w:pPr>
      <w:r w:rsidRPr="009B1AEC">
        <w:rPr>
          <w:rFonts w:ascii="Helvetica Neue" w:eastAsiaTheme="minorEastAsia" w:hAnsi="Helvetica Neue" w:cs="Times New Roman"/>
        </w:rPr>
        <w:t>Even the requirements provided for the early retirement pension must be adjusted over time for changes in life expectancy.</w:t>
      </w:r>
    </w:p>
    <w:sectPr w:rsidR="00962D10" w:rsidRPr="00CE67C5">
      <w:footerReference w:type="default" r:id="rId18"/>
      <w:pgSz w:w="11900" w:h="16850"/>
      <w:pgMar w:top="1440" w:right="880" w:bottom="940" w:left="1160" w:header="0" w:footer="75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7F8B3" w14:textId="77777777" w:rsidR="0065498D" w:rsidRDefault="0065498D">
      <w:r>
        <w:separator/>
      </w:r>
    </w:p>
  </w:endnote>
  <w:endnote w:type="continuationSeparator" w:id="0">
    <w:p w14:paraId="6DDB8CB4" w14:textId="77777777" w:rsidR="0065498D" w:rsidRDefault="0065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Arial Unicode MS"/>
    <w:charset w:val="81"/>
    <w:family w:val="swiss"/>
    <w:pitch w:val="variable"/>
    <w:sig w:usb0="900002AF" w:usb1="09D77CFB" w:usb2="00000012" w:usb3="00000000" w:csb0="0008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Helvetica Neue">
    <w:altName w:val="Malgun Gothic"/>
    <w:panose1 w:val="02000503000000020004"/>
    <w:charset w:val="00"/>
    <w:family w:val="auto"/>
    <w:pitch w:val="variable"/>
    <w:sig w:usb0="E50002FF" w:usb1="500079DB" w:usb2="0000001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84285" w14:textId="77777777" w:rsidR="00966B37" w:rsidRDefault="00367A6D">
    <w:pPr>
      <w:spacing w:line="14" w:lineRule="auto"/>
      <w:rPr>
        <w:sz w:val="20"/>
        <w:szCs w:val="20"/>
      </w:rPr>
    </w:pPr>
    <w:r>
      <w:rPr>
        <w:noProof/>
      </w:rPr>
      <mc:AlternateContent>
        <mc:Choice Requires="wps">
          <w:drawing>
            <wp:anchor distT="0" distB="0" distL="114300" distR="114300" simplePos="0" relativeHeight="503291576" behindDoc="1" locked="0" layoutInCell="1" allowOverlap="1" wp14:anchorId="7121F98E" wp14:editId="3F6FAE67">
              <wp:simplePos x="0" y="0"/>
              <wp:positionH relativeFrom="page">
                <wp:posOffset>6821805</wp:posOffset>
              </wp:positionH>
              <wp:positionV relativeFrom="page">
                <wp:posOffset>10076180</wp:posOffset>
              </wp:positionV>
              <wp:extent cx="135255" cy="177800"/>
              <wp:effectExtent l="1905" t="508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0B73" w14:textId="77777777" w:rsidR="00966B37" w:rsidRDefault="00966B37">
                          <w:pPr>
                            <w:spacing w:line="268" w:lineRule="exact"/>
                            <w:ind w:left="40"/>
                            <w:rPr>
                              <w:rFonts w:ascii="Cambria" w:eastAsia="Cambria" w:hAnsi="Cambria" w:cs="Cambria"/>
                              <w:sz w:val="24"/>
                              <w:szCs w:val="24"/>
                            </w:rPr>
                          </w:pPr>
                          <w:r>
                            <w:fldChar w:fldCharType="begin"/>
                          </w:r>
                          <w:r>
                            <w:rPr>
                              <w:rFonts w:ascii="Cambria"/>
                              <w:sz w:val="24"/>
                            </w:rPr>
                            <w:instrText xml:space="preserve"> PAGE </w:instrText>
                          </w:r>
                          <w:r>
                            <w:fldChar w:fldCharType="separate"/>
                          </w:r>
                          <w:r w:rsidR="005A26EC">
                            <w:rPr>
                              <w:rFonts w:ascii="Cambria"/>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537.15pt;margin-top:793.4pt;width:10.65pt;height:14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" filled="f" stroked="f">
              <v:textbox inset="0,0,0,0">
                <w:txbxContent>
                  <w:p w:rsidR="00966B37" w:rsidRDefault="00966B37">
                    <w:pPr>
                      <w:spacing w:line="268" w:lineRule="exact"/>
                      <w:ind w:left="40"/>
                      <w:rPr>
                        <w:rFonts w:ascii="Cambria" w:eastAsia="Cambria" w:hAnsi="Cambria" w:cs="Cambria"/>
                        <w:sz w:val="24"/>
                        <w:szCs w:val="24"/>
                      </w:rPr>
                    </w:pPr>
                    <w:r>
                      <w:fldChar w:fldCharType="begin"/>
                    </w:r>
                    <w:r>
                      <w:rPr>
                        <w:rFonts w:ascii="Cambria"/>
                        <w:sz w:val="24"/>
                      </w:rPr>
                      <w:instrText xml:space="preserve"> PAGE </w:instrText>
                    </w:r>
                    <w:r>
                      <w:fldChar w:fldCharType="separate"/>
                    </w:r>
                    <w:r w:rsidR="00367A6D">
                      <w:rPr>
                        <w:rFonts w:ascii="Cambria"/>
                        <w:noProof/>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EBE2" w14:textId="77777777" w:rsidR="00966B37" w:rsidRDefault="00367A6D">
    <w:pPr>
      <w:spacing w:line="14" w:lineRule="auto"/>
      <w:rPr>
        <w:sz w:val="20"/>
        <w:szCs w:val="20"/>
      </w:rPr>
    </w:pPr>
    <w:r>
      <w:rPr>
        <w:noProof/>
      </w:rPr>
      <mc:AlternateContent>
        <mc:Choice Requires="wps">
          <w:drawing>
            <wp:anchor distT="0" distB="0" distL="114300" distR="114300" simplePos="0" relativeHeight="503291672" behindDoc="1" locked="0" layoutInCell="1" allowOverlap="1" wp14:anchorId="3A827BF6" wp14:editId="3ADA5E57">
              <wp:simplePos x="0" y="0"/>
              <wp:positionH relativeFrom="page">
                <wp:posOffset>6737985</wp:posOffset>
              </wp:positionH>
              <wp:positionV relativeFrom="page">
                <wp:posOffset>10076180</wp:posOffset>
              </wp:positionV>
              <wp:extent cx="219075" cy="177800"/>
              <wp:effectExtent l="0" t="508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45B8" w14:textId="77777777" w:rsidR="00966B37" w:rsidRDefault="00966B37">
                          <w:pPr>
                            <w:spacing w:line="268" w:lineRule="exact"/>
                            <w:ind w:left="40"/>
                            <w:rPr>
                              <w:rFonts w:ascii="Cambria" w:eastAsia="Cambria" w:hAnsi="Cambria" w:cs="Cambria"/>
                              <w:sz w:val="24"/>
                              <w:szCs w:val="24"/>
                            </w:rPr>
                          </w:pPr>
                          <w:r>
                            <w:fldChar w:fldCharType="begin"/>
                          </w:r>
                          <w:r>
                            <w:rPr>
                              <w:rFonts w:ascii="Cambria"/>
                              <w:sz w:val="24"/>
                            </w:rPr>
                            <w:instrText xml:space="preserve"> PAGE </w:instrText>
                          </w:r>
                          <w:r>
                            <w:fldChar w:fldCharType="separate"/>
                          </w:r>
                          <w:r w:rsidR="005A26EC">
                            <w:rPr>
                              <w:rFonts w:ascii="Cambria"/>
                              <w:noProof/>
                              <w:sz w:val="24"/>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530.55pt;margin-top:793.4pt;width:17.25pt;height:14pt;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" filled="f" stroked="f">
              <v:textbox inset="0,0,0,0">
                <w:txbxContent>
                  <w:p w:rsidR="00966B37" w:rsidRDefault="00966B37">
                    <w:pPr>
                      <w:spacing w:line="268" w:lineRule="exact"/>
                      <w:ind w:left="40"/>
                      <w:rPr>
                        <w:rFonts w:ascii="Cambria" w:eastAsia="Cambria" w:hAnsi="Cambria" w:cs="Cambria"/>
                        <w:sz w:val="24"/>
                        <w:szCs w:val="24"/>
                      </w:rPr>
                    </w:pPr>
                    <w:r>
                      <w:fldChar w:fldCharType="begin"/>
                    </w:r>
                    <w:r>
                      <w:rPr>
                        <w:rFonts w:ascii="Cambria"/>
                        <w:sz w:val="24"/>
                      </w:rPr>
                      <w:instrText xml:space="preserve"> PAGE </w:instrText>
                    </w:r>
                    <w:r>
                      <w:fldChar w:fldCharType="separate"/>
                    </w:r>
                    <w:r w:rsidR="00367A6D">
                      <w:rPr>
                        <w:rFonts w:ascii="Cambria"/>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F38A6" w14:textId="77777777" w:rsidR="0065498D" w:rsidRDefault="0065498D">
      <w:r>
        <w:separator/>
      </w:r>
    </w:p>
  </w:footnote>
  <w:footnote w:type="continuationSeparator" w:id="0">
    <w:p w14:paraId="1D46AC16" w14:textId="77777777" w:rsidR="0065498D" w:rsidRDefault="0065498D">
      <w:r>
        <w:continuationSeparator/>
      </w:r>
    </w:p>
  </w:footnote>
  <w:footnote w:id="1">
    <w:p w14:paraId="6661FE81" w14:textId="77777777" w:rsidR="005A26EC" w:rsidRPr="005A26EC" w:rsidRDefault="005A26EC" w:rsidP="005A26EC">
      <w:pPr>
        <w:spacing w:before="56"/>
        <w:jc w:val="both"/>
        <w:rPr>
          <w:rFonts w:ascii="Calibri" w:eastAsia="Calibri" w:hAnsi="Calibri" w:cs="Calibri"/>
        </w:rPr>
      </w:pPr>
      <w:r>
        <w:rPr>
          <w:rStyle w:val="FootnoteReference"/>
        </w:rPr>
        <w:footnoteRef/>
      </w:r>
      <w:r>
        <w:t xml:space="preserve"> </w:t>
      </w:r>
      <w:r w:rsidRPr="005F18F9">
        <w:t xml:space="preserve">Max 1474 </w:t>
      </w:r>
      <w:proofErr w:type="spellStart"/>
      <w:r>
        <w:t>Mtoe</w:t>
      </w:r>
      <w:proofErr w:type="spellEnd"/>
      <w:r>
        <w:t xml:space="preserve"> of primary energy or no mor</w:t>
      </w:r>
      <w:r w:rsidRPr="005F18F9">
        <w:t xml:space="preserve">e than 1078 </w:t>
      </w:r>
      <w:proofErr w:type="spellStart"/>
      <w:r w:rsidRPr="005F18F9">
        <w:t>Mtoe</w:t>
      </w:r>
      <w:proofErr w:type="spellEnd"/>
      <w:r w:rsidRPr="005F18F9">
        <w:t xml:space="preserve"> of final energy</w:t>
      </w:r>
      <w:r>
        <w:t>.</w:t>
      </w:r>
    </w:p>
  </w:footnote>
  <w:footnote w:id="2">
    <w:p w14:paraId="586D7EF7" w14:textId="77777777" w:rsidR="00966B37" w:rsidRPr="00CE67C5" w:rsidRDefault="00966B37" w:rsidP="00CE67C5">
      <w:pPr>
        <w:tabs>
          <w:tab w:val="left" w:pos="259"/>
        </w:tabs>
        <w:spacing w:before="89"/>
        <w:jc w:val="both"/>
        <w:rPr>
          <w:rFonts w:ascii="Calibri" w:eastAsia="Calibri" w:hAnsi="Calibri" w:cs="Calibri"/>
          <w:sz w:val="20"/>
          <w:szCs w:val="20"/>
        </w:rPr>
      </w:pPr>
      <w:r w:rsidRPr="00CE67C5">
        <w:rPr>
          <w:rStyle w:val="FootnoteReference"/>
          <w:sz w:val="20"/>
          <w:szCs w:val="20"/>
        </w:rPr>
        <w:footnoteRef/>
      </w:r>
      <w:r w:rsidRPr="00CE67C5">
        <w:rPr>
          <w:rFonts w:ascii="Calibri"/>
          <w:spacing w:val="-1"/>
          <w:sz w:val="20"/>
          <w:szCs w:val="20"/>
        </w:rPr>
        <w:t>This</w:t>
      </w:r>
      <w:r w:rsidRPr="00CE67C5">
        <w:rPr>
          <w:rFonts w:ascii="Calibri"/>
          <w:spacing w:val="-2"/>
          <w:sz w:val="20"/>
          <w:szCs w:val="20"/>
        </w:rPr>
        <w:t xml:space="preserve"> </w:t>
      </w:r>
      <w:r w:rsidRPr="00CE67C5">
        <w:rPr>
          <w:rFonts w:ascii="Calibri"/>
          <w:spacing w:val="-1"/>
          <w:sz w:val="20"/>
          <w:szCs w:val="20"/>
        </w:rPr>
        <w:t xml:space="preserve">limit </w:t>
      </w:r>
      <w:r w:rsidRPr="00CE67C5">
        <w:rPr>
          <w:rFonts w:ascii="Calibri"/>
          <w:sz w:val="20"/>
          <w:szCs w:val="20"/>
        </w:rPr>
        <w:t>is</w:t>
      </w:r>
      <w:r w:rsidRPr="00CE67C5">
        <w:rPr>
          <w:rFonts w:ascii="Calibri"/>
          <w:spacing w:val="-2"/>
          <w:sz w:val="20"/>
          <w:szCs w:val="20"/>
        </w:rPr>
        <w:t xml:space="preserve"> </w:t>
      </w:r>
      <w:r w:rsidRPr="00CE67C5">
        <w:rPr>
          <w:rFonts w:ascii="Calibri"/>
          <w:spacing w:val="-1"/>
          <w:sz w:val="20"/>
          <w:szCs w:val="20"/>
        </w:rPr>
        <w:t>equal</w:t>
      </w:r>
      <w:r w:rsidRPr="00CE67C5">
        <w:rPr>
          <w:rFonts w:ascii="Calibri"/>
          <w:sz w:val="20"/>
          <w:szCs w:val="20"/>
        </w:rPr>
        <w:t xml:space="preserve"> </w:t>
      </w:r>
      <w:r w:rsidRPr="00CE67C5">
        <w:rPr>
          <w:rFonts w:ascii="Calibri"/>
          <w:spacing w:val="-1"/>
          <w:sz w:val="20"/>
          <w:szCs w:val="20"/>
        </w:rPr>
        <w:t>to:</w:t>
      </w:r>
    </w:p>
    <w:p w14:paraId="7BACBD57" w14:textId="77777777" w:rsidR="00966B37" w:rsidRPr="00CE67C5" w:rsidRDefault="00966B37" w:rsidP="00CE67C5">
      <w:pPr>
        <w:numPr>
          <w:ilvl w:val="1"/>
          <w:numId w:val="7"/>
        </w:numPr>
        <w:tabs>
          <w:tab w:val="left" w:pos="838"/>
        </w:tabs>
        <w:spacing w:before="6"/>
        <w:ind w:right="156"/>
        <w:jc w:val="both"/>
        <w:rPr>
          <w:rFonts w:ascii="Calibri" w:eastAsia="Calibri" w:hAnsi="Calibri" w:cs="Calibri"/>
          <w:sz w:val="20"/>
          <w:szCs w:val="20"/>
        </w:rPr>
      </w:pPr>
      <w:r w:rsidRPr="00CE67C5">
        <w:rPr>
          <w:rFonts w:ascii="Calibri" w:eastAsia="Calibri" w:hAnsi="Calibri" w:cs="Calibri"/>
          <w:sz w:val="20"/>
          <w:szCs w:val="20"/>
        </w:rPr>
        <w:t>€8,000.00</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for</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workers</w:t>
      </w:r>
      <w:r w:rsidRPr="00CE67C5">
        <w:rPr>
          <w:rFonts w:ascii="Calibri" w:eastAsia="Calibri" w:hAnsi="Calibri" w:cs="Calibri"/>
          <w:spacing w:val="-4"/>
          <w:sz w:val="20"/>
          <w:szCs w:val="20"/>
        </w:rPr>
        <w:t xml:space="preserve"> </w:t>
      </w:r>
      <w:r w:rsidRPr="00CE67C5">
        <w:rPr>
          <w:rFonts w:ascii="Calibri" w:eastAsia="Calibri" w:hAnsi="Calibri" w:cs="Calibri"/>
          <w:spacing w:val="-1"/>
          <w:sz w:val="20"/>
          <w:szCs w:val="20"/>
        </w:rPr>
        <w:t>who</w:t>
      </w:r>
      <w:r w:rsidRPr="00CE67C5">
        <w:rPr>
          <w:rFonts w:ascii="Calibri" w:eastAsia="Calibri" w:hAnsi="Calibri" w:cs="Calibri"/>
          <w:spacing w:val="1"/>
          <w:sz w:val="20"/>
          <w:szCs w:val="20"/>
        </w:rPr>
        <w:t xml:space="preserve"> </w:t>
      </w:r>
      <w:r w:rsidRPr="00CE67C5">
        <w:rPr>
          <w:rFonts w:ascii="Calibri" w:eastAsia="Calibri" w:hAnsi="Calibri" w:cs="Calibri"/>
          <w:sz w:val="20"/>
          <w:szCs w:val="20"/>
        </w:rPr>
        <w:t>are</w:t>
      </w:r>
      <w:r w:rsidRPr="00CE67C5">
        <w:rPr>
          <w:rFonts w:ascii="Calibri" w:eastAsia="Calibri" w:hAnsi="Calibri" w:cs="Calibri"/>
          <w:spacing w:val="-3"/>
          <w:sz w:val="20"/>
          <w:szCs w:val="20"/>
        </w:rPr>
        <w:t xml:space="preserve"> </w:t>
      </w:r>
      <w:r w:rsidRPr="00CE67C5">
        <w:rPr>
          <w:rFonts w:ascii="Calibri" w:eastAsia="Calibri" w:hAnsi="Calibri" w:cs="Calibri"/>
          <w:spacing w:val="-1"/>
          <w:sz w:val="20"/>
          <w:szCs w:val="20"/>
        </w:rPr>
        <w:t>employed</w:t>
      </w:r>
      <w:r w:rsidRPr="00CE67C5">
        <w:rPr>
          <w:rFonts w:ascii="Calibri" w:eastAsia="Calibri" w:hAnsi="Calibri" w:cs="Calibri"/>
          <w:spacing w:val="-3"/>
          <w:sz w:val="20"/>
          <w:szCs w:val="20"/>
        </w:rPr>
        <w:t xml:space="preserve"> </w:t>
      </w:r>
      <w:r>
        <w:rPr>
          <w:rFonts w:ascii="Calibri" w:eastAsia="Calibri" w:hAnsi="Calibri" w:cs="Calibri"/>
          <w:spacing w:val="-1"/>
          <w:sz w:val="20"/>
          <w:szCs w:val="20"/>
        </w:rPr>
        <w:t>people, who carry out activities of coordinated and continuative collaboration</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or</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cooperative</w:t>
      </w:r>
      <w:r w:rsidRPr="00CE67C5">
        <w:rPr>
          <w:rFonts w:ascii="Calibri" w:eastAsia="Calibri" w:hAnsi="Calibri" w:cs="Calibri"/>
          <w:spacing w:val="-8"/>
          <w:sz w:val="20"/>
          <w:szCs w:val="20"/>
        </w:rPr>
        <w:t xml:space="preserve"> </w:t>
      </w:r>
      <w:r w:rsidRPr="00CE67C5">
        <w:rPr>
          <w:rFonts w:ascii="Calibri" w:eastAsia="Calibri" w:hAnsi="Calibri" w:cs="Calibri"/>
          <w:spacing w:val="-1"/>
          <w:sz w:val="20"/>
          <w:szCs w:val="20"/>
        </w:rPr>
        <w:t>worker</w:t>
      </w:r>
      <w:r w:rsidRPr="00CE67C5">
        <w:rPr>
          <w:rFonts w:ascii="Calibri" w:eastAsia="Calibri" w:hAnsi="Calibri" w:cs="Calibri"/>
          <w:spacing w:val="-6"/>
          <w:sz w:val="20"/>
          <w:szCs w:val="20"/>
        </w:rPr>
        <w:t xml:space="preserve"> </w:t>
      </w:r>
      <w:r w:rsidRPr="00CE67C5">
        <w:rPr>
          <w:rFonts w:ascii="Calibri" w:eastAsia="Calibri" w:hAnsi="Calibri" w:cs="Calibri"/>
          <w:spacing w:val="-1"/>
          <w:sz w:val="20"/>
          <w:szCs w:val="20"/>
        </w:rPr>
        <w:t>members;</w:t>
      </w:r>
    </w:p>
    <w:p w14:paraId="2CE8BD39" w14:textId="77777777" w:rsidR="00966B37" w:rsidRPr="00CE67C5" w:rsidRDefault="00966B37" w:rsidP="00CE67C5">
      <w:pPr>
        <w:numPr>
          <w:ilvl w:val="1"/>
          <w:numId w:val="7"/>
        </w:numPr>
        <w:tabs>
          <w:tab w:val="left" w:pos="838"/>
        </w:tabs>
        <w:spacing w:before="1"/>
        <w:ind w:right="221"/>
        <w:jc w:val="both"/>
        <w:rPr>
          <w:rFonts w:ascii="Calibri" w:eastAsia="Calibri" w:hAnsi="Calibri" w:cs="Calibri"/>
          <w:sz w:val="20"/>
          <w:szCs w:val="20"/>
        </w:rPr>
      </w:pPr>
      <w:r w:rsidRPr="00CE67C5">
        <w:rPr>
          <w:rFonts w:ascii="Calibri" w:eastAsia="Calibri" w:hAnsi="Calibri" w:cs="Calibri"/>
          <w:sz w:val="20"/>
          <w:szCs w:val="20"/>
        </w:rPr>
        <w:t>€4,800.00</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for</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self-employed</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professionals,</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holders</w:t>
      </w:r>
      <w:r w:rsidRPr="00CE67C5">
        <w:rPr>
          <w:rFonts w:ascii="Calibri" w:eastAsia="Calibri" w:hAnsi="Calibri" w:cs="Calibri"/>
          <w:spacing w:val="-3"/>
          <w:sz w:val="20"/>
          <w:szCs w:val="20"/>
        </w:rPr>
        <w:t xml:space="preserve"> </w:t>
      </w:r>
      <w:r w:rsidRPr="00CE67C5">
        <w:rPr>
          <w:rFonts w:ascii="Calibri" w:eastAsia="Calibri" w:hAnsi="Calibri" w:cs="Calibri"/>
          <w:sz w:val="20"/>
          <w:szCs w:val="20"/>
        </w:rPr>
        <w:t>of</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a</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VAT</w:t>
      </w:r>
      <w:r w:rsidRPr="00CE67C5">
        <w:rPr>
          <w:rFonts w:ascii="Calibri" w:eastAsia="Calibri" w:hAnsi="Calibri" w:cs="Calibri"/>
          <w:spacing w:val="-1"/>
          <w:sz w:val="20"/>
          <w:szCs w:val="20"/>
        </w:rPr>
        <w:t xml:space="preserve"> registration</w:t>
      </w:r>
      <w:r w:rsidRPr="00CE67C5">
        <w:rPr>
          <w:rFonts w:ascii="Calibri" w:eastAsia="Calibri" w:hAnsi="Calibri" w:cs="Calibri"/>
          <w:spacing w:val="-3"/>
          <w:sz w:val="20"/>
          <w:szCs w:val="20"/>
        </w:rPr>
        <w:t xml:space="preserve"> </w:t>
      </w:r>
      <w:r w:rsidRPr="00CE67C5">
        <w:rPr>
          <w:rFonts w:ascii="Calibri" w:eastAsia="Calibri" w:hAnsi="Calibri" w:cs="Calibri"/>
          <w:spacing w:val="-1"/>
          <w:sz w:val="20"/>
          <w:szCs w:val="20"/>
        </w:rPr>
        <w:t>number,</w:t>
      </w:r>
      <w:r w:rsidRPr="00CE67C5">
        <w:rPr>
          <w:rFonts w:ascii="Calibri" w:eastAsia="Calibri" w:hAnsi="Calibri" w:cs="Calibri"/>
          <w:spacing w:val="-2"/>
          <w:sz w:val="20"/>
          <w:szCs w:val="20"/>
        </w:rPr>
        <w:t xml:space="preserve"> </w:t>
      </w:r>
      <w:r>
        <w:rPr>
          <w:rFonts w:ascii="Calibri" w:eastAsia="Calibri" w:hAnsi="Calibri" w:cs="Calibri"/>
          <w:spacing w:val="-1"/>
          <w:sz w:val="20"/>
          <w:szCs w:val="20"/>
        </w:rPr>
        <w:t>occasional c</w:t>
      </w:r>
      <w:r w:rsidRPr="00CE67C5">
        <w:rPr>
          <w:rFonts w:ascii="Calibri" w:eastAsia="Calibri" w:hAnsi="Calibri" w:cs="Calibri"/>
          <w:spacing w:val="-1"/>
          <w:sz w:val="20"/>
          <w:szCs w:val="20"/>
        </w:rPr>
        <w:t>ontractors</w:t>
      </w:r>
      <w:r w:rsidRPr="00CE67C5">
        <w:rPr>
          <w:rFonts w:ascii="Calibri" w:eastAsia="Calibri" w:hAnsi="Calibri" w:cs="Calibri"/>
          <w:spacing w:val="-4"/>
          <w:sz w:val="20"/>
          <w:szCs w:val="20"/>
        </w:rPr>
        <w:t xml:space="preserve"> </w:t>
      </w:r>
      <w:r w:rsidRPr="00CE67C5">
        <w:rPr>
          <w:rFonts w:ascii="Calibri" w:eastAsia="Calibri" w:hAnsi="Calibri" w:cs="Calibri"/>
          <w:spacing w:val="-1"/>
          <w:sz w:val="20"/>
          <w:szCs w:val="20"/>
        </w:rPr>
        <w:t>and</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self-</w:t>
      </w:r>
      <w:r w:rsidRPr="00CE67C5">
        <w:rPr>
          <w:rFonts w:ascii="Calibri" w:eastAsia="Calibri" w:hAnsi="Calibri" w:cs="Calibri"/>
          <w:spacing w:val="-1"/>
          <w:sz w:val="20"/>
          <w:szCs w:val="20"/>
        </w:rPr>
        <w:t>employed</w:t>
      </w:r>
      <w:r w:rsidRPr="00CE67C5">
        <w:rPr>
          <w:rFonts w:ascii="Calibri" w:eastAsia="Calibri" w:hAnsi="Calibri" w:cs="Calibri"/>
          <w:spacing w:val="-7"/>
          <w:sz w:val="20"/>
          <w:szCs w:val="20"/>
        </w:rPr>
        <w:t xml:space="preserve"> </w:t>
      </w:r>
      <w:r>
        <w:rPr>
          <w:rFonts w:ascii="Calibri" w:eastAsia="Calibri" w:hAnsi="Calibri" w:cs="Calibri"/>
          <w:spacing w:val="-1"/>
          <w:sz w:val="20"/>
          <w:szCs w:val="20"/>
        </w:rPr>
        <w:t>people</w:t>
      </w:r>
      <w:r w:rsidRPr="00CE67C5">
        <w:rPr>
          <w:rFonts w:ascii="Calibri" w:eastAsia="Calibri" w:hAnsi="Calibri" w:cs="Calibri"/>
          <w:spacing w:val="-1"/>
          <w:sz w:val="20"/>
          <w:szCs w:val="20"/>
        </w:rPr>
        <w:t>;</w:t>
      </w:r>
    </w:p>
    <w:p w14:paraId="77B00F0B" w14:textId="77777777" w:rsidR="00966B37" w:rsidRPr="00357326" w:rsidRDefault="00966B37" w:rsidP="00CE67C5">
      <w:pPr>
        <w:numPr>
          <w:ilvl w:val="1"/>
          <w:numId w:val="7"/>
        </w:numPr>
        <w:tabs>
          <w:tab w:val="left" w:pos="838"/>
        </w:tabs>
        <w:spacing w:before="1"/>
        <w:ind w:right="759"/>
        <w:jc w:val="both"/>
        <w:rPr>
          <w:rFonts w:ascii="Calibri" w:eastAsia="Calibri" w:hAnsi="Calibri" w:cs="Calibri"/>
          <w:sz w:val="18"/>
          <w:szCs w:val="18"/>
        </w:rPr>
      </w:pPr>
      <w:r w:rsidRPr="00CE67C5">
        <w:rPr>
          <w:rFonts w:ascii="Calibri" w:eastAsia="Calibri" w:hAnsi="Calibri" w:cs="Calibri"/>
          <w:sz w:val="20"/>
          <w:szCs w:val="20"/>
        </w:rPr>
        <w:t>€8,000.00</w:t>
      </w:r>
      <w:r w:rsidRPr="00CE67C5">
        <w:rPr>
          <w:rFonts w:ascii="Calibri" w:eastAsia="Calibri" w:hAnsi="Calibri" w:cs="Calibri"/>
          <w:spacing w:val="-4"/>
          <w:sz w:val="20"/>
          <w:szCs w:val="20"/>
        </w:rPr>
        <w:t xml:space="preserve"> </w:t>
      </w:r>
      <w:r w:rsidRPr="00CE67C5">
        <w:rPr>
          <w:rFonts w:ascii="Calibri" w:eastAsia="Calibri" w:hAnsi="Calibri" w:cs="Calibri"/>
          <w:sz w:val="20"/>
          <w:szCs w:val="20"/>
        </w:rPr>
        <w:t>for</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workers</w:t>
      </w:r>
      <w:r w:rsidRPr="00CE67C5">
        <w:rPr>
          <w:rFonts w:ascii="Calibri" w:eastAsia="Calibri" w:hAnsi="Calibri" w:cs="Calibri"/>
          <w:spacing w:val="-4"/>
          <w:sz w:val="20"/>
          <w:szCs w:val="20"/>
        </w:rPr>
        <w:t xml:space="preserve"> </w:t>
      </w:r>
      <w:r w:rsidRPr="00CE67C5">
        <w:rPr>
          <w:rFonts w:ascii="Calibri" w:eastAsia="Calibri" w:hAnsi="Calibri" w:cs="Calibri"/>
          <w:spacing w:val="-1"/>
          <w:sz w:val="20"/>
          <w:szCs w:val="20"/>
        </w:rPr>
        <w:t>who</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simultaneously</w:t>
      </w:r>
      <w:r w:rsidRPr="00CE67C5">
        <w:rPr>
          <w:rFonts w:ascii="Calibri" w:eastAsia="Calibri" w:hAnsi="Calibri" w:cs="Calibri"/>
          <w:spacing w:val="-2"/>
          <w:sz w:val="20"/>
          <w:szCs w:val="20"/>
        </w:rPr>
        <w:t xml:space="preserve"> </w:t>
      </w:r>
      <w:r w:rsidRPr="00CE67C5">
        <w:rPr>
          <w:rFonts w:ascii="Calibri" w:eastAsia="Calibri" w:hAnsi="Calibri" w:cs="Calibri"/>
          <w:spacing w:val="-1"/>
          <w:sz w:val="20"/>
          <w:szCs w:val="20"/>
        </w:rPr>
        <w:t>carry</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out</w:t>
      </w:r>
      <w:r w:rsidRPr="00CE67C5">
        <w:rPr>
          <w:rFonts w:ascii="Calibri" w:eastAsia="Calibri" w:hAnsi="Calibri" w:cs="Calibri"/>
          <w:spacing w:val="-2"/>
          <w:sz w:val="20"/>
          <w:szCs w:val="20"/>
        </w:rPr>
        <w:t xml:space="preserve"> </w:t>
      </w:r>
      <w:r w:rsidRPr="00CE67C5">
        <w:rPr>
          <w:rFonts w:ascii="Calibri" w:eastAsia="Calibri" w:hAnsi="Calibri" w:cs="Calibri"/>
          <w:sz w:val="20"/>
          <w:szCs w:val="20"/>
        </w:rPr>
        <w:t>work</w:t>
      </w:r>
      <w:r w:rsidRPr="00CE67C5">
        <w:rPr>
          <w:rFonts w:ascii="Calibri" w:eastAsia="Calibri" w:hAnsi="Calibri" w:cs="Calibri"/>
          <w:spacing w:val="-4"/>
          <w:sz w:val="20"/>
          <w:szCs w:val="20"/>
        </w:rPr>
        <w:t xml:space="preserve"> </w:t>
      </w:r>
      <w:r w:rsidRPr="00CE67C5">
        <w:rPr>
          <w:rFonts w:ascii="Calibri" w:eastAsia="Calibri" w:hAnsi="Calibri" w:cs="Calibri"/>
          <w:spacing w:val="-1"/>
          <w:sz w:val="20"/>
          <w:szCs w:val="20"/>
        </w:rPr>
        <w:t>activities</w:t>
      </w:r>
      <w:r w:rsidRPr="00CE67C5">
        <w:rPr>
          <w:rFonts w:ascii="Calibri" w:eastAsia="Calibri" w:hAnsi="Calibri" w:cs="Calibri"/>
          <w:spacing w:val="-3"/>
          <w:sz w:val="20"/>
          <w:szCs w:val="20"/>
        </w:rPr>
        <w:t xml:space="preserve"> </w:t>
      </w:r>
      <w:r w:rsidRPr="00CE67C5">
        <w:rPr>
          <w:rFonts w:ascii="Calibri" w:eastAsia="Calibri" w:hAnsi="Calibri" w:cs="Calibri"/>
          <w:sz w:val="20"/>
          <w:szCs w:val="20"/>
        </w:rPr>
        <w:t>of</w:t>
      </w:r>
      <w:r w:rsidRPr="00CE67C5">
        <w:rPr>
          <w:rFonts w:ascii="Calibri" w:eastAsia="Calibri" w:hAnsi="Calibri" w:cs="Calibri"/>
          <w:spacing w:val="-3"/>
          <w:sz w:val="20"/>
          <w:szCs w:val="20"/>
        </w:rPr>
        <w:t xml:space="preserve"> </w:t>
      </w:r>
      <w:r w:rsidRPr="00CE67C5">
        <w:rPr>
          <w:rFonts w:ascii="Calibri" w:eastAsia="Calibri" w:hAnsi="Calibri" w:cs="Calibri"/>
          <w:spacing w:val="-1"/>
          <w:sz w:val="20"/>
          <w:szCs w:val="20"/>
        </w:rPr>
        <w:t>both</w:t>
      </w:r>
      <w:r w:rsidRPr="00CE67C5">
        <w:rPr>
          <w:rFonts w:ascii="Calibri" w:eastAsia="Calibri" w:hAnsi="Calibri" w:cs="Calibri"/>
          <w:spacing w:val="-4"/>
          <w:sz w:val="20"/>
          <w:szCs w:val="20"/>
        </w:rPr>
        <w:t xml:space="preserve"> </w:t>
      </w:r>
      <w:r w:rsidRPr="00CE67C5">
        <w:rPr>
          <w:rFonts w:ascii="Calibri" w:eastAsia="Calibri" w:hAnsi="Calibri" w:cs="Calibri"/>
          <w:spacing w:val="-1"/>
          <w:sz w:val="20"/>
          <w:szCs w:val="20"/>
        </w:rPr>
        <w:t>the</w:t>
      </w:r>
      <w:r w:rsidRPr="00CE67C5">
        <w:rPr>
          <w:rFonts w:ascii="Calibri" w:eastAsia="Calibri" w:hAnsi="Calibri" w:cs="Calibri"/>
          <w:spacing w:val="-3"/>
          <w:sz w:val="20"/>
          <w:szCs w:val="20"/>
        </w:rPr>
        <w:t xml:space="preserve"> </w:t>
      </w:r>
      <w:r w:rsidRPr="00CE67C5">
        <w:rPr>
          <w:rFonts w:ascii="Calibri" w:eastAsia="Calibri" w:hAnsi="Calibri" w:cs="Calibri"/>
          <w:sz w:val="20"/>
          <w:szCs w:val="20"/>
        </w:rPr>
        <w:t>types</w:t>
      </w:r>
      <w:r w:rsidRPr="00CE67C5">
        <w:rPr>
          <w:rFonts w:ascii="Calibri" w:eastAsia="Calibri" w:hAnsi="Calibri" w:cs="Calibri"/>
          <w:spacing w:val="-3"/>
          <w:sz w:val="20"/>
          <w:szCs w:val="20"/>
        </w:rPr>
        <w:t xml:space="preserve"> </w:t>
      </w:r>
      <w:r w:rsidRPr="00CE67C5">
        <w:rPr>
          <w:rFonts w:ascii="Calibri" w:eastAsia="Calibri" w:hAnsi="Calibri" w:cs="Calibri"/>
          <w:spacing w:val="-1"/>
          <w:sz w:val="20"/>
          <w:szCs w:val="20"/>
        </w:rPr>
        <w:t>described</w:t>
      </w:r>
      <w:r w:rsidRPr="00CE67C5">
        <w:rPr>
          <w:rFonts w:ascii="Calibri" w:eastAsia="Calibri" w:hAnsi="Calibri" w:cs="Calibri"/>
          <w:spacing w:val="-3"/>
          <w:sz w:val="20"/>
          <w:szCs w:val="20"/>
        </w:rPr>
        <w:t xml:space="preserve"> </w:t>
      </w:r>
      <w:r w:rsidRPr="00CE67C5">
        <w:rPr>
          <w:rFonts w:ascii="Calibri" w:eastAsia="Calibri" w:hAnsi="Calibri" w:cs="Calibri"/>
          <w:sz w:val="20"/>
          <w:szCs w:val="20"/>
        </w:rPr>
        <w:t>above.</w:t>
      </w:r>
    </w:p>
  </w:footnote>
  <w:footnote w:id="3">
    <w:p w14:paraId="383E02F2" w14:textId="77777777" w:rsidR="00966B37" w:rsidRPr="00430383" w:rsidRDefault="00966B37" w:rsidP="00CE67C5">
      <w:pPr>
        <w:pStyle w:val="FootnoteText"/>
        <w:jc w:val="both"/>
      </w:pPr>
      <w:r>
        <w:rPr>
          <w:rStyle w:val="FootnoteReference"/>
        </w:rPr>
        <w:footnoteRef/>
      </w:r>
      <w:r>
        <w:t xml:space="preserve"> </w:t>
      </w:r>
      <w:r w:rsidRPr="00430383">
        <w:t>See note 2</w:t>
      </w:r>
    </w:p>
  </w:footnote>
  <w:footnote w:id="4">
    <w:p w14:paraId="3E03D1C2" w14:textId="77777777" w:rsidR="00966B37" w:rsidRPr="00B613E7" w:rsidRDefault="00966B37" w:rsidP="00CE67C5">
      <w:pPr>
        <w:pStyle w:val="FootnoteText"/>
        <w:jc w:val="both"/>
      </w:pPr>
      <w:r>
        <w:rPr>
          <w:rStyle w:val="FootnoteReference"/>
        </w:rPr>
        <w:footnoteRef/>
      </w:r>
      <w:r>
        <w:t xml:space="preserve"> </w:t>
      </w:r>
      <w:r w:rsidRPr="00B613E7">
        <w:t xml:space="preserve">For the year 2016 the full amount of the social allowance is equal to </w:t>
      </w:r>
      <w:proofErr w:type="spellStart"/>
      <w:r>
        <w:t>EUR</w:t>
      </w:r>
      <w:proofErr w:type="spellEnd"/>
      <w:r>
        <w:t xml:space="preserve"> </w:t>
      </w:r>
      <w:r w:rsidRPr="00B613E7">
        <w:t>448</w:t>
      </w:r>
      <w:r w:rsidR="00706DC7">
        <w:t>,</w:t>
      </w:r>
      <w:r w:rsidR="00706DC7" w:rsidRPr="00B613E7">
        <w:t>07</w:t>
      </w:r>
      <w:r w:rsidRPr="00B613E7">
        <w:t xml:space="preserve"> for 13 </w:t>
      </w:r>
      <w:proofErr w:type="spellStart"/>
      <w:r w:rsidRPr="00B613E7">
        <w:t>instalments</w:t>
      </w:r>
      <w:proofErr w:type="spellEnd"/>
      <w:r w:rsidRPr="00B613E7">
        <w:t>.</w:t>
      </w:r>
    </w:p>
  </w:footnote>
  <w:footnote w:id="5">
    <w:p w14:paraId="3392E322" w14:textId="77777777" w:rsidR="00966B37" w:rsidRPr="00B613E7" w:rsidRDefault="00966B37" w:rsidP="00CE67C5">
      <w:pPr>
        <w:pStyle w:val="FootnoteText"/>
        <w:jc w:val="both"/>
      </w:pPr>
      <w:r>
        <w:rPr>
          <w:rStyle w:val="FootnoteReference"/>
        </w:rPr>
        <w:footnoteRef/>
      </w:r>
      <w:r>
        <w:t xml:space="preserve"> </w:t>
      </w:r>
      <w:r w:rsidRPr="00B613E7">
        <w:t xml:space="preserve">The Social Card is worth </w:t>
      </w:r>
      <w:proofErr w:type="spellStart"/>
      <w:r w:rsidRPr="00B613E7">
        <w:t>EUR</w:t>
      </w:r>
      <w:proofErr w:type="spellEnd"/>
      <w:r w:rsidRPr="00B613E7">
        <w:t xml:space="preserve"> 40 per month and </w:t>
      </w:r>
      <w:r w:rsidR="00706DC7">
        <w:t>it i</w:t>
      </w:r>
      <w:r>
        <w:t xml:space="preserve">s refill with </w:t>
      </w:r>
      <w:proofErr w:type="spellStart"/>
      <w:r w:rsidR="00706DC7">
        <w:t>EUR</w:t>
      </w:r>
      <w:proofErr w:type="spellEnd"/>
      <w:r w:rsidR="00706DC7">
        <w:t xml:space="preserve"> 80 </w:t>
      </w:r>
      <w:r w:rsidRPr="00B613E7">
        <w:t>every two months (</w:t>
      </w:r>
      <w:proofErr w:type="spellStart"/>
      <w:r w:rsidRPr="00B613E7">
        <w:t>E</w:t>
      </w:r>
      <w:r>
        <w:t>UR</w:t>
      </w:r>
      <w:proofErr w:type="spellEnd"/>
      <w:r>
        <w:t xml:space="preserve"> 40 euro x 2) on the basis of </w:t>
      </w:r>
      <w:r w:rsidRPr="00B613E7">
        <w:t>allocations that are gradually available.</w:t>
      </w:r>
    </w:p>
  </w:footnote>
  <w:footnote w:id="6">
    <w:p w14:paraId="25205928" w14:textId="77777777" w:rsidR="00966B37" w:rsidRPr="002E6024" w:rsidRDefault="00966B37" w:rsidP="00CE67C5">
      <w:pPr>
        <w:pStyle w:val="FootnoteText"/>
        <w:jc w:val="both"/>
      </w:pPr>
      <w:r>
        <w:rPr>
          <w:rStyle w:val="FootnoteReference"/>
        </w:rPr>
        <w:footnoteRef/>
      </w:r>
      <w:r>
        <w:t xml:space="preserve"> </w:t>
      </w:r>
      <w:r w:rsidRPr="002E6024">
        <w:t xml:space="preserve">“Mobile” two/five year periods: </w:t>
      </w:r>
      <w:proofErr w:type="gramStart"/>
      <w:r>
        <w:t xml:space="preserve">namely </w:t>
      </w:r>
      <w:r w:rsidRPr="002E6024">
        <w:t xml:space="preserve"> at</w:t>
      </w:r>
      <w:proofErr w:type="gramEnd"/>
      <w:r w:rsidRPr="002E6024">
        <w:t xml:space="preserve"> any moment that the application is made and going back two years or five years, it is necessary to verify that the requirement has not been exceeded</w:t>
      </w:r>
      <w:r>
        <w:t>.</w:t>
      </w:r>
    </w:p>
  </w:footnote>
  <w:footnote w:id="7">
    <w:p w14:paraId="65092A25" w14:textId="77777777" w:rsidR="00966B37" w:rsidRPr="002E6024" w:rsidRDefault="00966B37" w:rsidP="00CE67C5">
      <w:pPr>
        <w:pStyle w:val="FootnoteText"/>
        <w:jc w:val="both"/>
      </w:pPr>
      <w:r>
        <w:rPr>
          <w:rStyle w:val="FootnoteReference"/>
        </w:rPr>
        <w:footnoteRef/>
      </w:r>
      <w:r>
        <w:t xml:space="preserve"> </w:t>
      </w:r>
      <w:r w:rsidRPr="002E6024">
        <w:t xml:space="preserve">The production unit is identical to the registered office, establishments, branch offices and factories detached from the head office, and are </w:t>
      </w:r>
      <w:proofErr w:type="spellStart"/>
      <w:r w:rsidRPr="002E6024">
        <w:t>organised</w:t>
      </w:r>
      <w:proofErr w:type="spellEnd"/>
      <w:r w:rsidRPr="002E6024">
        <w:t xml:space="preserve"> independently. The index for independent </w:t>
      </w:r>
      <w:proofErr w:type="spellStart"/>
      <w:r w:rsidRPr="002E6024">
        <w:t>organisation</w:t>
      </w:r>
      <w:proofErr w:type="spellEnd"/>
      <w:r w:rsidRPr="002E6024">
        <w:t xml:space="preserve"> is the performance of an activity suitable to carry out the entire production cycle or one of its complete phases, together with the presence of workers employed on a continuous basis in detached head offices, establishments, branch offices and factories.</w:t>
      </w:r>
    </w:p>
  </w:footnote>
  <w:footnote w:id="8">
    <w:p w14:paraId="2BA2CCBF" w14:textId="77777777" w:rsidR="00966B37" w:rsidRPr="002E6024" w:rsidRDefault="00966B37" w:rsidP="00CE67C5">
      <w:pPr>
        <w:pStyle w:val="FootnoteText"/>
        <w:jc w:val="both"/>
      </w:pPr>
      <w:r w:rsidRPr="00CE67C5">
        <w:rPr>
          <w:rStyle w:val="FootnoteReference"/>
          <w:sz w:val="22"/>
        </w:rPr>
        <w:footnoteRef/>
      </w:r>
      <w:r w:rsidRPr="00CE67C5">
        <w:rPr>
          <w:sz w:val="22"/>
        </w:rPr>
        <w:t xml:space="preserve"> </w:t>
      </w:r>
      <w:proofErr w:type="gramStart"/>
      <w:r w:rsidRPr="00CE67C5">
        <w:rPr>
          <w:rFonts w:ascii="Calibri"/>
          <w:spacing w:val="-1"/>
        </w:rPr>
        <w:t xml:space="preserve">Circular </w:t>
      </w:r>
      <w:r w:rsidRPr="00CE67C5">
        <w:rPr>
          <w:rFonts w:ascii="Calibri"/>
        </w:rPr>
        <w:t>of</w:t>
      </w:r>
      <w:r w:rsidRPr="00CE67C5">
        <w:rPr>
          <w:rFonts w:ascii="Calibri"/>
          <w:spacing w:val="-3"/>
        </w:rPr>
        <w:t xml:space="preserve"> </w:t>
      </w:r>
      <w:r w:rsidRPr="00CE67C5">
        <w:rPr>
          <w:rFonts w:ascii="Calibri"/>
          <w:spacing w:val="-1"/>
        </w:rPr>
        <w:t>the</w:t>
      </w:r>
      <w:r w:rsidRPr="00CE67C5">
        <w:rPr>
          <w:rFonts w:ascii="Calibri"/>
          <w:spacing w:val="-2"/>
        </w:rPr>
        <w:t xml:space="preserve"> </w:t>
      </w:r>
      <w:r w:rsidRPr="00CE67C5">
        <w:rPr>
          <w:rFonts w:ascii="Calibri"/>
        </w:rPr>
        <w:t>Ministry</w:t>
      </w:r>
      <w:r w:rsidRPr="00CE67C5">
        <w:rPr>
          <w:rFonts w:ascii="Calibri"/>
          <w:spacing w:val="-2"/>
        </w:rPr>
        <w:t xml:space="preserve"> </w:t>
      </w:r>
      <w:r w:rsidRPr="00CE67C5">
        <w:rPr>
          <w:rFonts w:ascii="Calibri"/>
        </w:rPr>
        <w:t>of</w:t>
      </w:r>
      <w:r w:rsidRPr="00CE67C5">
        <w:rPr>
          <w:rFonts w:ascii="Calibri"/>
          <w:spacing w:val="-3"/>
        </w:rPr>
        <w:t xml:space="preserve"> </w:t>
      </w:r>
      <w:r w:rsidRPr="00CE67C5">
        <w:rPr>
          <w:rFonts w:ascii="Calibri"/>
          <w:spacing w:val="-1"/>
        </w:rPr>
        <w:t>Labour and</w:t>
      </w:r>
      <w:r w:rsidRPr="00CE67C5">
        <w:rPr>
          <w:rFonts w:ascii="Calibri"/>
          <w:spacing w:val="-3"/>
        </w:rPr>
        <w:t xml:space="preserve"> </w:t>
      </w:r>
      <w:r w:rsidRPr="00CE67C5">
        <w:rPr>
          <w:rFonts w:ascii="Calibri"/>
          <w:spacing w:val="-1"/>
        </w:rPr>
        <w:t>Social Policies No.</w:t>
      </w:r>
      <w:r w:rsidRPr="00CE67C5">
        <w:rPr>
          <w:rFonts w:ascii="Calibri"/>
          <w:spacing w:val="-3"/>
        </w:rPr>
        <w:t xml:space="preserve"> </w:t>
      </w:r>
      <w:r w:rsidRPr="00CE67C5">
        <w:rPr>
          <w:rFonts w:ascii="Calibri"/>
        </w:rPr>
        <w:t>24</w:t>
      </w:r>
      <w:r w:rsidRPr="00CE67C5">
        <w:rPr>
          <w:rFonts w:ascii="Calibri"/>
          <w:spacing w:val="-1"/>
        </w:rPr>
        <w:t xml:space="preserve"> </w:t>
      </w:r>
      <w:r w:rsidRPr="00CE67C5">
        <w:rPr>
          <w:rFonts w:ascii="Calibri"/>
        </w:rPr>
        <w:t>of</w:t>
      </w:r>
      <w:r w:rsidRPr="00CE67C5">
        <w:rPr>
          <w:rFonts w:ascii="Calibri"/>
          <w:spacing w:val="-3"/>
        </w:rPr>
        <w:t xml:space="preserve"> </w:t>
      </w:r>
      <w:r w:rsidRPr="00CE67C5">
        <w:rPr>
          <w:rFonts w:ascii="Calibri"/>
          <w:spacing w:val="-1"/>
        </w:rPr>
        <w:t>5/10/2015.</w:t>
      </w:r>
      <w:proofErr w:type="gramEnd"/>
    </w:p>
  </w:footnote>
  <w:footnote w:id="9">
    <w:p w14:paraId="1F95862B" w14:textId="77777777" w:rsidR="00966B37" w:rsidRDefault="00966B37" w:rsidP="00CE67C5">
      <w:pPr>
        <w:pStyle w:val="FootnoteText"/>
        <w:jc w:val="both"/>
      </w:pPr>
      <w:r>
        <w:rPr>
          <w:rStyle w:val="FootnoteReference"/>
        </w:rPr>
        <w:footnoteRef/>
      </w:r>
      <w:r>
        <w:t xml:space="preserve"> The Social allowance is a financial benefit, paid on demand to citizens who find themselves in a particularly difficult financial situation with incomes not exceeding the annual thresholds provided by law.</w:t>
      </w:r>
    </w:p>
    <w:p w14:paraId="4648DDBD" w14:textId="77777777" w:rsidR="00966B37" w:rsidRDefault="00966B37" w:rsidP="00CE67C5">
      <w:pPr>
        <w:pStyle w:val="FootnoteText"/>
        <w:jc w:val="both"/>
      </w:pPr>
      <w:r>
        <w:t>The right to the benefit is established on the basis of personal income for citizens who are single, and on the basis of income joint with that of the spouse for married citizens.</w:t>
      </w:r>
    </w:p>
    <w:p w14:paraId="746F6563" w14:textId="77777777" w:rsidR="00966B37" w:rsidRDefault="00966B37" w:rsidP="00CE67C5">
      <w:pPr>
        <w:pStyle w:val="FootnoteText"/>
        <w:jc w:val="both"/>
      </w:pPr>
      <w:r>
        <w:t>It is not reversible for surviving family members and it is not exportable. Therefore, it cannot be paid abroad.</w:t>
      </w:r>
    </w:p>
    <w:p w14:paraId="70917CF9" w14:textId="77777777" w:rsidR="00966B37" w:rsidRPr="00CE67C5" w:rsidRDefault="00966B37" w:rsidP="00CE67C5">
      <w:pPr>
        <w:pStyle w:val="FootnoteText"/>
        <w:jc w:val="both"/>
      </w:pPr>
      <w:r>
        <w:t xml:space="preserve">The holder’s sojourn abroad, for a period of more than 30 days, leads to the allowance’s suspension. The benefit is revoked one year from the suspension. Finally, the Social allowance is not subject to </w:t>
      </w:r>
      <w:proofErr w:type="spellStart"/>
      <w:r>
        <w:t>IRPEF</w:t>
      </w:r>
      <w:proofErr w:type="spellEnd"/>
      <w:r>
        <w:t xml:space="preserve"> </w:t>
      </w:r>
      <w:r w:rsidR="00AE5ECC">
        <w:t>withholding.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C2D"/>
    <w:multiLevelType w:val="hybridMultilevel"/>
    <w:tmpl w:val="50565258"/>
    <w:lvl w:ilvl="0" w:tplc="6430F84A">
      <w:start w:val="1"/>
      <w:numFmt w:val="bullet"/>
      <w:lvlText w:val="-"/>
      <w:lvlJc w:val="left"/>
      <w:pPr>
        <w:ind w:left="117" w:hanging="152"/>
      </w:pPr>
      <w:rPr>
        <w:rFonts w:ascii="Malgun Gothic" w:eastAsia="Malgun Gothic" w:hAnsi="Malgun Gothic" w:hint="default"/>
        <w:w w:val="99"/>
        <w:sz w:val="20"/>
        <w:szCs w:val="20"/>
      </w:rPr>
    </w:lvl>
    <w:lvl w:ilvl="1" w:tplc="E222E1E2">
      <w:start w:val="1"/>
      <w:numFmt w:val="bullet"/>
      <w:lvlText w:val="•"/>
      <w:lvlJc w:val="left"/>
      <w:pPr>
        <w:ind w:left="1091" w:hanging="152"/>
      </w:pPr>
      <w:rPr>
        <w:rFonts w:hint="default"/>
      </w:rPr>
    </w:lvl>
    <w:lvl w:ilvl="2" w:tplc="3D902F46">
      <w:start w:val="1"/>
      <w:numFmt w:val="bullet"/>
      <w:lvlText w:val="•"/>
      <w:lvlJc w:val="left"/>
      <w:pPr>
        <w:ind w:left="2065" w:hanging="152"/>
      </w:pPr>
      <w:rPr>
        <w:rFonts w:hint="default"/>
      </w:rPr>
    </w:lvl>
    <w:lvl w:ilvl="3" w:tplc="104C737A">
      <w:start w:val="1"/>
      <w:numFmt w:val="bullet"/>
      <w:lvlText w:val="•"/>
      <w:lvlJc w:val="left"/>
      <w:pPr>
        <w:ind w:left="3039" w:hanging="152"/>
      </w:pPr>
      <w:rPr>
        <w:rFonts w:hint="default"/>
      </w:rPr>
    </w:lvl>
    <w:lvl w:ilvl="4" w:tplc="8C064754">
      <w:start w:val="1"/>
      <w:numFmt w:val="bullet"/>
      <w:lvlText w:val="•"/>
      <w:lvlJc w:val="left"/>
      <w:pPr>
        <w:ind w:left="4014" w:hanging="152"/>
      </w:pPr>
      <w:rPr>
        <w:rFonts w:hint="default"/>
      </w:rPr>
    </w:lvl>
    <w:lvl w:ilvl="5" w:tplc="EF10D0BA">
      <w:start w:val="1"/>
      <w:numFmt w:val="bullet"/>
      <w:lvlText w:val="•"/>
      <w:lvlJc w:val="left"/>
      <w:pPr>
        <w:ind w:left="4988" w:hanging="152"/>
      </w:pPr>
      <w:rPr>
        <w:rFonts w:hint="default"/>
      </w:rPr>
    </w:lvl>
    <w:lvl w:ilvl="6" w:tplc="036A32E8">
      <w:start w:val="1"/>
      <w:numFmt w:val="bullet"/>
      <w:lvlText w:val="•"/>
      <w:lvlJc w:val="left"/>
      <w:pPr>
        <w:ind w:left="5962" w:hanging="152"/>
      </w:pPr>
      <w:rPr>
        <w:rFonts w:hint="default"/>
      </w:rPr>
    </w:lvl>
    <w:lvl w:ilvl="7" w:tplc="635AF2C4">
      <w:start w:val="1"/>
      <w:numFmt w:val="bullet"/>
      <w:lvlText w:val="•"/>
      <w:lvlJc w:val="left"/>
      <w:pPr>
        <w:ind w:left="6936" w:hanging="152"/>
      </w:pPr>
      <w:rPr>
        <w:rFonts w:hint="default"/>
      </w:rPr>
    </w:lvl>
    <w:lvl w:ilvl="8" w:tplc="088C2A8C">
      <w:start w:val="1"/>
      <w:numFmt w:val="bullet"/>
      <w:lvlText w:val="•"/>
      <w:lvlJc w:val="left"/>
      <w:pPr>
        <w:ind w:left="7910" w:hanging="152"/>
      </w:pPr>
      <w:rPr>
        <w:rFonts w:hint="default"/>
      </w:rPr>
    </w:lvl>
  </w:abstractNum>
  <w:abstractNum w:abstractNumId="1">
    <w:nsid w:val="0DFE7697"/>
    <w:multiLevelType w:val="hybridMultilevel"/>
    <w:tmpl w:val="85BC1E18"/>
    <w:lvl w:ilvl="0" w:tplc="FBDCB128">
      <w:start w:val="1"/>
      <w:numFmt w:val="bullet"/>
      <w:lvlText w:val="-"/>
      <w:lvlJc w:val="left"/>
      <w:pPr>
        <w:ind w:left="930" w:hanging="356"/>
      </w:pPr>
      <w:rPr>
        <w:rFonts w:ascii="Malgun Gothic" w:eastAsia="Malgun Gothic" w:hAnsi="Malgun Gothic" w:hint="default"/>
        <w:w w:val="99"/>
        <w:sz w:val="20"/>
        <w:szCs w:val="20"/>
      </w:rPr>
    </w:lvl>
    <w:lvl w:ilvl="1" w:tplc="C45A62F8">
      <w:start w:val="1"/>
      <w:numFmt w:val="bullet"/>
      <w:lvlText w:val="•"/>
      <w:lvlJc w:val="left"/>
      <w:pPr>
        <w:ind w:left="1845" w:hanging="356"/>
      </w:pPr>
      <w:rPr>
        <w:rFonts w:hint="default"/>
      </w:rPr>
    </w:lvl>
    <w:lvl w:ilvl="2" w:tplc="4C3E5038">
      <w:start w:val="1"/>
      <w:numFmt w:val="bullet"/>
      <w:lvlText w:val="•"/>
      <w:lvlJc w:val="left"/>
      <w:pPr>
        <w:ind w:left="2759" w:hanging="356"/>
      </w:pPr>
      <w:rPr>
        <w:rFonts w:hint="default"/>
      </w:rPr>
    </w:lvl>
    <w:lvl w:ilvl="3" w:tplc="FAF09530">
      <w:start w:val="1"/>
      <w:numFmt w:val="bullet"/>
      <w:lvlText w:val="•"/>
      <w:lvlJc w:val="left"/>
      <w:pPr>
        <w:ind w:left="3674" w:hanging="356"/>
      </w:pPr>
      <w:rPr>
        <w:rFonts w:hint="default"/>
      </w:rPr>
    </w:lvl>
    <w:lvl w:ilvl="4" w:tplc="D9EE2776">
      <w:start w:val="1"/>
      <w:numFmt w:val="bullet"/>
      <w:lvlText w:val="•"/>
      <w:lvlJc w:val="left"/>
      <w:pPr>
        <w:ind w:left="4589" w:hanging="356"/>
      </w:pPr>
      <w:rPr>
        <w:rFonts w:hint="default"/>
      </w:rPr>
    </w:lvl>
    <w:lvl w:ilvl="5" w:tplc="66C4C9AC">
      <w:start w:val="1"/>
      <w:numFmt w:val="bullet"/>
      <w:lvlText w:val="•"/>
      <w:lvlJc w:val="left"/>
      <w:pPr>
        <w:ind w:left="5504" w:hanging="356"/>
      </w:pPr>
      <w:rPr>
        <w:rFonts w:hint="default"/>
      </w:rPr>
    </w:lvl>
    <w:lvl w:ilvl="6" w:tplc="49D4DFFC">
      <w:start w:val="1"/>
      <w:numFmt w:val="bullet"/>
      <w:lvlText w:val="•"/>
      <w:lvlJc w:val="left"/>
      <w:pPr>
        <w:ind w:left="6419" w:hanging="356"/>
      </w:pPr>
      <w:rPr>
        <w:rFonts w:hint="default"/>
      </w:rPr>
    </w:lvl>
    <w:lvl w:ilvl="7" w:tplc="43CEA186">
      <w:start w:val="1"/>
      <w:numFmt w:val="bullet"/>
      <w:lvlText w:val="•"/>
      <w:lvlJc w:val="left"/>
      <w:pPr>
        <w:ind w:left="7334" w:hanging="356"/>
      </w:pPr>
      <w:rPr>
        <w:rFonts w:hint="default"/>
      </w:rPr>
    </w:lvl>
    <w:lvl w:ilvl="8" w:tplc="3E1ABC56">
      <w:start w:val="1"/>
      <w:numFmt w:val="bullet"/>
      <w:lvlText w:val="•"/>
      <w:lvlJc w:val="left"/>
      <w:pPr>
        <w:ind w:left="8249" w:hanging="356"/>
      </w:pPr>
      <w:rPr>
        <w:rFonts w:hint="default"/>
      </w:rPr>
    </w:lvl>
  </w:abstractNum>
  <w:abstractNum w:abstractNumId="2">
    <w:nsid w:val="0E5459AF"/>
    <w:multiLevelType w:val="hybridMultilevel"/>
    <w:tmpl w:val="B784DE02"/>
    <w:lvl w:ilvl="0" w:tplc="826CF862">
      <w:start w:val="4"/>
      <w:numFmt w:val="decimal"/>
      <w:lvlText w:val="%1"/>
      <w:lvlJc w:val="left"/>
      <w:pPr>
        <w:ind w:left="217" w:hanging="142"/>
      </w:pPr>
      <w:rPr>
        <w:rFonts w:ascii="Cambria" w:eastAsia="Cambria" w:hAnsi="Cambria" w:hint="default"/>
        <w:position w:val="6"/>
        <w:sz w:val="16"/>
        <w:szCs w:val="16"/>
      </w:rPr>
    </w:lvl>
    <w:lvl w:ilvl="1" w:tplc="8F203D5E">
      <w:start w:val="1"/>
      <w:numFmt w:val="lowerLetter"/>
      <w:lvlText w:val="%2)"/>
      <w:lvlJc w:val="left"/>
      <w:pPr>
        <w:ind w:left="837" w:hanging="360"/>
      </w:pPr>
      <w:rPr>
        <w:rFonts w:ascii="Malgun Gothic" w:eastAsia="Malgun Gothic" w:hAnsi="Malgun Gothic" w:hint="default"/>
        <w:spacing w:val="-1"/>
        <w:w w:val="99"/>
        <w:sz w:val="20"/>
        <w:szCs w:val="20"/>
      </w:rPr>
    </w:lvl>
    <w:lvl w:ilvl="2" w:tplc="960AAC3A">
      <w:start w:val="1"/>
      <w:numFmt w:val="bullet"/>
      <w:lvlText w:val="•"/>
      <w:lvlJc w:val="left"/>
      <w:pPr>
        <w:ind w:left="1839" w:hanging="360"/>
      </w:pPr>
      <w:rPr>
        <w:rFonts w:hint="default"/>
      </w:rPr>
    </w:lvl>
    <w:lvl w:ilvl="3" w:tplc="D826E2BE">
      <w:start w:val="1"/>
      <w:numFmt w:val="bullet"/>
      <w:lvlText w:val="•"/>
      <w:lvlJc w:val="left"/>
      <w:pPr>
        <w:ind w:left="2842" w:hanging="360"/>
      </w:pPr>
      <w:rPr>
        <w:rFonts w:hint="default"/>
      </w:rPr>
    </w:lvl>
    <w:lvl w:ilvl="4" w:tplc="4CD28FF8">
      <w:start w:val="1"/>
      <w:numFmt w:val="bullet"/>
      <w:lvlText w:val="•"/>
      <w:lvlJc w:val="left"/>
      <w:pPr>
        <w:ind w:left="3844" w:hanging="360"/>
      </w:pPr>
      <w:rPr>
        <w:rFonts w:hint="default"/>
      </w:rPr>
    </w:lvl>
    <w:lvl w:ilvl="5" w:tplc="9BAED338">
      <w:start w:val="1"/>
      <w:numFmt w:val="bullet"/>
      <w:lvlText w:val="•"/>
      <w:lvlJc w:val="left"/>
      <w:pPr>
        <w:ind w:left="4847" w:hanging="360"/>
      </w:pPr>
      <w:rPr>
        <w:rFonts w:hint="default"/>
      </w:rPr>
    </w:lvl>
    <w:lvl w:ilvl="6" w:tplc="BE58BC80">
      <w:start w:val="1"/>
      <w:numFmt w:val="bullet"/>
      <w:lvlText w:val="•"/>
      <w:lvlJc w:val="left"/>
      <w:pPr>
        <w:ind w:left="5849" w:hanging="360"/>
      </w:pPr>
      <w:rPr>
        <w:rFonts w:hint="default"/>
      </w:rPr>
    </w:lvl>
    <w:lvl w:ilvl="7" w:tplc="0C00B378">
      <w:start w:val="1"/>
      <w:numFmt w:val="bullet"/>
      <w:lvlText w:val="•"/>
      <w:lvlJc w:val="left"/>
      <w:pPr>
        <w:ind w:left="6851" w:hanging="360"/>
      </w:pPr>
      <w:rPr>
        <w:rFonts w:hint="default"/>
      </w:rPr>
    </w:lvl>
    <w:lvl w:ilvl="8" w:tplc="8AA08F1E">
      <w:start w:val="1"/>
      <w:numFmt w:val="bullet"/>
      <w:lvlText w:val="•"/>
      <w:lvlJc w:val="left"/>
      <w:pPr>
        <w:ind w:left="7854" w:hanging="360"/>
      </w:pPr>
      <w:rPr>
        <w:rFonts w:hint="default"/>
      </w:rPr>
    </w:lvl>
  </w:abstractNum>
  <w:abstractNum w:abstractNumId="3">
    <w:nsid w:val="1A2E027A"/>
    <w:multiLevelType w:val="hybridMultilevel"/>
    <w:tmpl w:val="69EA9D6A"/>
    <w:lvl w:ilvl="0" w:tplc="56D828C6">
      <w:start w:val="1"/>
      <w:numFmt w:val="bullet"/>
      <w:lvlText w:val="•"/>
      <w:lvlJc w:val="left"/>
      <w:pPr>
        <w:ind w:left="117" w:hanging="158"/>
      </w:pPr>
      <w:rPr>
        <w:rFonts w:ascii="Malgun Gothic" w:eastAsia="Malgun Gothic" w:hAnsi="Malgun Gothic" w:hint="default"/>
        <w:w w:val="99"/>
        <w:sz w:val="20"/>
        <w:szCs w:val="20"/>
      </w:rPr>
    </w:lvl>
    <w:lvl w:ilvl="1" w:tplc="AC8265B8">
      <w:start w:val="1"/>
      <w:numFmt w:val="bullet"/>
      <w:lvlText w:val="-"/>
      <w:lvlJc w:val="left"/>
      <w:pPr>
        <w:ind w:left="837" w:hanging="360"/>
      </w:pPr>
      <w:rPr>
        <w:rFonts w:ascii="Malgun Gothic" w:eastAsia="Malgun Gothic" w:hAnsi="Malgun Gothic" w:hint="default"/>
        <w:w w:val="99"/>
        <w:sz w:val="20"/>
        <w:szCs w:val="20"/>
      </w:rPr>
    </w:lvl>
    <w:lvl w:ilvl="2" w:tplc="B192BA9E">
      <w:start w:val="1"/>
      <w:numFmt w:val="bullet"/>
      <w:lvlText w:val="•"/>
      <w:lvlJc w:val="left"/>
      <w:pPr>
        <w:ind w:left="1841" w:hanging="360"/>
      </w:pPr>
      <w:rPr>
        <w:rFonts w:hint="default"/>
      </w:rPr>
    </w:lvl>
    <w:lvl w:ilvl="3" w:tplc="D200DF36">
      <w:start w:val="1"/>
      <w:numFmt w:val="bullet"/>
      <w:lvlText w:val="•"/>
      <w:lvlJc w:val="left"/>
      <w:pPr>
        <w:ind w:left="2846" w:hanging="360"/>
      </w:pPr>
      <w:rPr>
        <w:rFonts w:hint="default"/>
      </w:rPr>
    </w:lvl>
    <w:lvl w:ilvl="4" w:tplc="A252A762">
      <w:start w:val="1"/>
      <w:numFmt w:val="bullet"/>
      <w:lvlText w:val="•"/>
      <w:lvlJc w:val="left"/>
      <w:pPr>
        <w:ind w:left="3851" w:hanging="360"/>
      </w:pPr>
      <w:rPr>
        <w:rFonts w:hint="default"/>
      </w:rPr>
    </w:lvl>
    <w:lvl w:ilvl="5" w:tplc="DB6C7D3A">
      <w:start w:val="1"/>
      <w:numFmt w:val="bullet"/>
      <w:lvlText w:val="•"/>
      <w:lvlJc w:val="left"/>
      <w:pPr>
        <w:ind w:left="4855" w:hanging="360"/>
      </w:pPr>
      <w:rPr>
        <w:rFonts w:hint="default"/>
      </w:rPr>
    </w:lvl>
    <w:lvl w:ilvl="6" w:tplc="88E08B58">
      <w:start w:val="1"/>
      <w:numFmt w:val="bullet"/>
      <w:lvlText w:val="•"/>
      <w:lvlJc w:val="left"/>
      <w:pPr>
        <w:ind w:left="5860" w:hanging="360"/>
      </w:pPr>
      <w:rPr>
        <w:rFonts w:hint="default"/>
      </w:rPr>
    </w:lvl>
    <w:lvl w:ilvl="7" w:tplc="59D82D3C">
      <w:start w:val="1"/>
      <w:numFmt w:val="bullet"/>
      <w:lvlText w:val="•"/>
      <w:lvlJc w:val="left"/>
      <w:pPr>
        <w:ind w:left="6865" w:hanging="360"/>
      </w:pPr>
      <w:rPr>
        <w:rFonts w:hint="default"/>
      </w:rPr>
    </w:lvl>
    <w:lvl w:ilvl="8" w:tplc="BDE46CE8">
      <w:start w:val="1"/>
      <w:numFmt w:val="bullet"/>
      <w:lvlText w:val="•"/>
      <w:lvlJc w:val="left"/>
      <w:pPr>
        <w:ind w:left="7869" w:hanging="360"/>
      </w:pPr>
      <w:rPr>
        <w:rFonts w:hint="default"/>
      </w:rPr>
    </w:lvl>
  </w:abstractNum>
  <w:abstractNum w:abstractNumId="4">
    <w:nsid w:val="1DC01195"/>
    <w:multiLevelType w:val="hybridMultilevel"/>
    <w:tmpl w:val="B4825024"/>
    <w:lvl w:ilvl="0" w:tplc="04100001">
      <w:start w:val="1"/>
      <w:numFmt w:val="bullet"/>
      <w:lvlText w:val=""/>
      <w:lvlJc w:val="left"/>
      <w:pPr>
        <w:ind w:left="720" w:hanging="360"/>
      </w:pPr>
      <w:rPr>
        <w:rFonts w:ascii="Symbol" w:hAnsi="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572E4B"/>
    <w:multiLevelType w:val="hybridMultilevel"/>
    <w:tmpl w:val="1E088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A67D92"/>
    <w:multiLevelType w:val="hybridMultilevel"/>
    <w:tmpl w:val="411400EA"/>
    <w:lvl w:ilvl="0" w:tplc="82126080">
      <w:start w:val="1"/>
      <w:numFmt w:val="bullet"/>
      <w:lvlText w:val=""/>
      <w:lvlJc w:val="left"/>
      <w:pPr>
        <w:ind w:left="837" w:hanging="360"/>
      </w:pPr>
      <w:rPr>
        <w:rFonts w:ascii="Symbol" w:eastAsia="Symbol" w:hAnsi="Symbol" w:hint="default"/>
        <w:w w:val="99"/>
        <w:sz w:val="20"/>
        <w:szCs w:val="20"/>
      </w:rPr>
    </w:lvl>
    <w:lvl w:ilvl="1" w:tplc="7EE0C08C">
      <w:start w:val="1"/>
      <w:numFmt w:val="bullet"/>
      <w:lvlText w:val="•"/>
      <w:lvlJc w:val="left"/>
      <w:pPr>
        <w:ind w:left="1739" w:hanging="360"/>
      </w:pPr>
      <w:rPr>
        <w:rFonts w:hint="default"/>
      </w:rPr>
    </w:lvl>
    <w:lvl w:ilvl="2" w:tplc="652CCF08">
      <w:start w:val="1"/>
      <w:numFmt w:val="bullet"/>
      <w:lvlText w:val="•"/>
      <w:lvlJc w:val="left"/>
      <w:pPr>
        <w:ind w:left="2641" w:hanging="360"/>
      </w:pPr>
      <w:rPr>
        <w:rFonts w:hint="default"/>
      </w:rPr>
    </w:lvl>
    <w:lvl w:ilvl="3" w:tplc="195E78DC">
      <w:start w:val="1"/>
      <w:numFmt w:val="bullet"/>
      <w:lvlText w:val="•"/>
      <w:lvlJc w:val="left"/>
      <w:pPr>
        <w:ind w:left="3543" w:hanging="360"/>
      </w:pPr>
      <w:rPr>
        <w:rFonts w:hint="default"/>
      </w:rPr>
    </w:lvl>
    <w:lvl w:ilvl="4" w:tplc="ED36BED0">
      <w:start w:val="1"/>
      <w:numFmt w:val="bullet"/>
      <w:lvlText w:val="•"/>
      <w:lvlJc w:val="left"/>
      <w:pPr>
        <w:ind w:left="4446" w:hanging="360"/>
      </w:pPr>
      <w:rPr>
        <w:rFonts w:hint="default"/>
      </w:rPr>
    </w:lvl>
    <w:lvl w:ilvl="5" w:tplc="DDB06612">
      <w:start w:val="1"/>
      <w:numFmt w:val="bullet"/>
      <w:lvlText w:val="•"/>
      <w:lvlJc w:val="left"/>
      <w:pPr>
        <w:ind w:left="5348" w:hanging="360"/>
      </w:pPr>
      <w:rPr>
        <w:rFonts w:hint="default"/>
      </w:rPr>
    </w:lvl>
    <w:lvl w:ilvl="6" w:tplc="40986182">
      <w:start w:val="1"/>
      <w:numFmt w:val="bullet"/>
      <w:lvlText w:val="•"/>
      <w:lvlJc w:val="left"/>
      <w:pPr>
        <w:ind w:left="6250" w:hanging="360"/>
      </w:pPr>
      <w:rPr>
        <w:rFonts w:hint="default"/>
      </w:rPr>
    </w:lvl>
    <w:lvl w:ilvl="7" w:tplc="3D1E369C">
      <w:start w:val="1"/>
      <w:numFmt w:val="bullet"/>
      <w:lvlText w:val="•"/>
      <w:lvlJc w:val="left"/>
      <w:pPr>
        <w:ind w:left="7152" w:hanging="360"/>
      </w:pPr>
      <w:rPr>
        <w:rFonts w:hint="default"/>
      </w:rPr>
    </w:lvl>
    <w:lvl w:ilvl="8" w:tplc="91586C8E">
      <w:start w:val="1"/>
      <w:numFmt w:val="bullet"/>
      <w:lvlText w:val="•"/>
      <w:lvlJc w:val="left"/>
      <w:pPr>
        <w:ind w:left="8054" w:hanging="360"/>
      </w:pPr>
      <w:rPr>
        <w:rFonts w:hint="default"/>
      </w:rPr>
    </w:lvl>
  </w:abstractNum>
  <w:abstractNum w:abstractNumId="7">
    <w:nsid w:val="51A564A3"/>
    <w:multiLevelType w:val="hybridMultilevel"/>
    <w:tmpl w:val="1302AB08"/>
    <w:lvl w:ilvl="0" w:tplc="06263BC0">
      <w:start w:val="1"/>
      <w:numFmt w:val="bullet"/>
      <w:lvlText w:val=""/>
      <w:lvlJc w:val="left"/>
      <w:pPr>
        <w:ind w:left="837" w:hanging="360"/>
      </w:pPr>
      <w:rPr>
        <w:rFonts w:ascii="Symbol" w:eastAsia="Symbol" w:hAnsi="Symbol" w:hint="default"/>
        <w:w w:val="99"/>
        <w:sz w:val="20"/>
        <w:szCs w:val="20"/>
      </w:rPr>
    </w:lvl>
    <w:lvl w:ilvl="1" w:tplc="AB6009AE">
      <w:start w:val="1"/>
      <w:numFmt w:val="bullet"/>
      <w:lvlText w:val="•"/>
      <w:lvlJc w:val="left"/>
      <w:pPr>
        <w:ind w:left="1739" w:hanging="360"/>
      </w:pPr>
      <w:rPr>
        <w:rFonts w:hint="default"/>
      </w:rPr>
    </w:lvl>
    <w:lvl w:ilvl="2" w:tplc="BDD4F756">
      <w:start w:val="1"/>
      <w:numFmt w:val="bullet"/>
      <w:lvlText w:val="•"/>
      <w:lvlJc w:val="left"/>
      <w:pPr>
        <w:ind w:left="2641" w:hanging="360"/>
      </w:pPr>
      <w:rPr>
        <w:rFonts w:hint="default"/>
      </w:rPr>
    </w:lvl>
    <w:lvl w:ilvl="3" w:tplc="633438F8">
      <w:start w:val="1"/>
      <w:numFmt w:val="bullet"/>
      <w:lvlText w:val="•"/>
      <w:lvlJc w:val="left"/>
      <w:pPr>
        <w:ind w:left="3543" w:hanging="360"/>
      </w:pPr>
      <w:rPr>
        <w:rFonts w:hint="default"/>
      </w:rPr>
    </w:lvl>
    <w:lvl w:ilvl="4" w:tplc="030E7F2E">
      <w:start w:val="1"/>
      <w:numFmt w:val="bullet"/>
      <w:lvlText w:val="•"/>
      <w:lvlJc w:val="left"/>
      <w:pPr>
        <w:ind w:left="4446" w:hanging="360"/>
      </w:pPr>
      <w:rPr>
        <w:rFonts w:hint="default"/>
      </w:rPr>
    </w:lvl>
    <w:lvl w:ilvl="5" w:tplc="72A0F77C">
      <w:start w:val="1"/>
      <w:numFmt w:val="bullet"/>
      <w:lvlText w:val="•"/>
      <w:lvlJc w:val="left"/>
      <w:pPr>
        <w:ind w:left="5348" w:hanging="360"/>
      </w:pPr>
      <w:rPr>
        <w:rFonts w:hint="default"/>
      </w:rPr>
    </w:lvl>
    <w:lvl w:ilvl="6" w:tplc="090EAE08">
      <w:start w:val="1"/>
      <w:numFmt w:val="bullet"/>
      <w:lvlText w:val="•"/>
      <w:lvlJc w:val="left"/>
      <w:pPr>
        <w:ind w:left="6250" w:hanging="360"/>
      </w:pPr>
      <w:rPr>
        <w:rFonts w:hint="default"/>
      </w:rPr>
    </w:lvl>
    <w:lvl w:ilvl="7" w:tplc="FF38A578">
      <w:start w:val="1"/>
      <w:numFmt w:val="bullet"/>
      <w:lvlText w:val="•"/>
      <w:lvlJc w:val="left"/>
      <w:pPr>
        <w:ind w:left="7152" w:hanging="360"/>
      </w:pPr>
      <w:rPr>
        <w:rFonts w:hint="default"/>
      </w:rPr>
    </w:lvl>
    <w:lvl w:ilvl="8" w:tplc="5D6A27C6">
      <w:start w:val="1"/>
      <w:numFmt w:val="bullet"/>
      <w:lvlText w:val="•"/>
      <w:lvlJc w:val="left"/>
      <w:pPr>
        <w:ind w:left="8054" w:hanging="360"/>
      </w:pPr>
      <w:rPr>
        <w:rFonts w:hint="default"/>
      </w:rPr>
    </w:lvl>
  </w:abstractNum>
  <w:abstractNum w:abstractNumId="8">
    <w:nsid w:val="57842620"/>
    <w:multiLevelType w:val="hybridMultilevel"/>
    <w:tmpl w:val="C99AC218"/>
    <w:lvl w:ilvl="0" w:tplc="A014AD0A">
      <w:start w:val="1"/>
      <w:numFmt w:val="bullet"/>
      <w:lvlText w:val="o"/>
      <w:lvlJc w:val="left"/>
      <w:pPr>
        <w:ind w:left="1557" w:hanging="360"/>
      </w:pPr>
      <w:rPr>
        <w:rFonts w:ascii="Courier New" w:eastAsia="Courier New" w:hAnsi="Courier New" w:hint="default"/>
        <w:w w:val="99"/>
        <w:sz w:val="20"/>
        <w:szCs w:val="20"/>
      </w:rPr>
    </w:lvl>
    <w:lvl w:ilvl="1" w:tplc="E4F2D868">
      <w:start w:val="1"/>
      <w:numFmt w:val="bullet"/>
      <w:lvlText w:val="•"/>
      <w:lvlJc w:val="left"/>
      <w:pPr>
        <w:ind w:left="2387" w:hanging="360"/>
      </w:pPr>
      <w:rPr>
        <w:rFonts w:hint="default"/>
      </w:rPr>
    </w:lvl>
    <w:lvl w:ilvl="2" w:tplc="91DABAA4">
      <w:start w:val="1"/>
      <w:numFmt w:val="bullet"/>
      <w:lvlText w:val="•"/>
      <w:lvlJc w:val="left"/>
      <w:pPr>
        <w:ind w:left="3217" w:hanging="360"/>
      </w:pPr>
      <w:rPr>
        <w:rFonts w:hint="default"/>
      </w:rPr>
    </w:lvl>
    <w:lvl w:ilvl="3" w:tplc="DCBC9810">
      <w:start w:val="1"/>
      <w:numFmt w:val="bullet"/>
      <w:lvlText w:val="•"/>
      <w:lvlJc w:val="left"/>
      <w:pPr>
        <w:ind w:left="4047" w:hanging="360"/>
      </w:pPr>
      <w:rPr>
        <w:rFonts w:hint="default"/>
      </w:rPr>
    </w:lvl>
    <w:lvl w:ilvl="4" w:tplc="16342270">
      <w:start w:val="1"/>
      <w:numFmt w:val="bullet"/>
      <w:lvlText w:val="•"/>
      <w:lvlJc w:val="left"/>
      <w:pPr>
        <w:ind w:left="4878" w:hanging="360"/>
      </w:pPr>
      <w:rPr>
        <w:rFonts w:hint="default"/>
      </w:rPr>
    </w:lvl>
    <w:lvl w:ilvl="5" w:tplc="A52286C6">
      <w:start w:val="1"/>
      <w:numFmt w:val="bullet"/>
      <w:lvlText w:val="•"/>
      <w:lvlJc w:val="left"/>
      <w:pPr>
        <w:ind w:left="5708" w:hanging="360"/>
      </w:pPr>
      <w:rPr>
        <w:rFonts w:hint="default"/>
      </w:rPr>
    </w:lvl>
    <w:lvl w:ilvl="6" w:tplc="BCB05E78">
      <w:start w:val="1"/>
      <w:numFmt w:val="bullet"/>
      <w:lvlText w:val="•"/>
      <w:lvlJc w:val="left"/>
      <w:pPr>
        <w:ind w:left="6538" w:hanging="360"/>
      </w:pPr>
      <w:rPr>
        <w:rFonts w:hint="default"/>
      </w:rPr>
    </w:lvl>
    <w:lvl w:ilvl="7" w:tplc="931C06CE">
      <w:start w:val="1"/>
      <w:numFmt w:val="bullet"/>
      <w:lvlText w:val="•"/>
      <w:lvlJc w:val="left"/>
      <w:pPr>
        <w:ind w:left="7368" w:hanging="360"/>
      </w:pPr>
      <w:rPr>
        <w:rFonts w:hint="default"/>
      </w:rPr>
    </w:lvl>
    <w:lvl w:ilvl="8" w:tplc="7646EE38">
      <w:start w:val="1"/>
      <w:numFmt w:val="bullet"/>
      <w:lvlText w:val="•"/>
      <w:lvlJc w:val="left"/>
      <w:pPr>
        <w:ind w:left="8198" w:hanging="360"/>
      </w:pPr>
      <w:rPr>
        <w:rFonts w:hint="default"/>
      </w:rPr>
    </w:lvl>
  </w:abstractNum>
  <w:abstractNum w:abstractNumId="9">
    <w:nsid w:val="584226C6"/>
    <w:multiLevelType w:val="hybridMultilevel"/>
    <w:tmpl w:val="80129584"/>
    <w:lvl w:ilvl="0" w:tplc="7036577A">
      <w:start w:val="1"/>
      <w:numFmt w:val="bullet"/>
      <w:lvlText w:val="-"/>
      <w:lvlJc w:val="left"/>
      <w:pPr>
        <w:ind w:left="477" w:hanging="360"/>
      </w:pPr>
      <w:rPr>
        <w:rFonts w:ascii="Malgun Gothic" w:eastAsia="Malgun Gothic" w:hAnsi="Malgun Gothic" w:hint="default"/>
        <w:w w:val="99"/>
        <w:sz w:val="20"/>
        <w:szCs w:val="20"/>
      </w:rPr>
    </w:lvl>
    <w:lvl w:ilvl="1" w:tplc="6C38263C">
      <w:start w:val="1"/>
      <w:numFmt w:val="bullet"/>
      <w:lvlText w:val="•"/>
      <w:lvlJc w:val="left"/>
      <w:pPr>
        <w:ind w:left="1415" w:hanging="360"/>
      </w:pPr>
      <w:rPr>
        <w:rFonts w:hint="default"/>
      </w:rPr>
    </w:lvl>
    <w:lvl w:ilvl="2" w:tplc="2F8210CA">
      <w:start w:val="1"/>
      <w:numFmt w:val="bullet"/>
      <w:lvlText w:val="•"/>
      <w:lvlJc w:val="left"/>
      <w:pPr>
        <w:ind w:left="2353" w:hanging="360"/>
      </w:pPr>
      <w:rPr>
        <w:rFonts w:hint="default"/>
      </w:rPr>
    </w:lvl>
    <w:lvl w:ilvl="3" w:tplc="578ABAB8">
      <w:start w:val="1"/>
      <w:numFmt w:val="bullet"/>
      <w:lvlText w:val="•"/>
      <w:lvlJc w:val="left"/>
      <w:pPr>
        <w:ind w:left="3291" w:hanging="360"/>
      </w:pPr>
      <w:rPr>
        <w:rFonts w:hint="default"/>
      </w:rPr>
    </w:lvl>
    <w:lvl w:ilvl="4" w:tplc="C95416C4">
      <w:start w:val="1"/>
      <w:numFmt w:val="bullet"/>
      <w:lvlText w:val="•"/>
      <w:lvlJc w:val="left"/>
      <w:pPr>
        <w:ind w:left="4230" w:hanging="360"/>
      </w:pPr>
      <w:rPr>
        <w:rFonts w:hint="default"/>
      </w:rPr>
    </w:lvl>
    <w:lvl w:ilvl="5" w:tplc="C0E80B1E">
      <w:start w:val="1"/>
      <w:numFmt w:val="bullet"/>
      <w:lvlText w:val="•"/>
      <w:lvlJc w:val="left"/>
      <w:pPr>
        <w:ind w:left="5168" w:hanging="360"/>
      </w:pPr>
      <w:rPr>
        <w:rFonts w:hint="default"/>
      </w:rPr>
    </w:lvl>
    <w:lvl w:ilvl="6" w:tplc="038EB26C">
      <w:start w:val="1"/>
      <w:numFmt w:val="bullet"/>
      <w:lvlText w:val="•"/>
      <w:lvlJc w:val="left"/>
      <w:pPr>
        <w:ind w:left="6106" w:hanging="360"/>
      </w:pPr>
      <w:rPr>
        <w:rFonts w:hint="default"/>
      </w:rPr>
    </w:lvl>
    <w:lvl w:ilvl="7" w:tplc="498862BE">
      <w:start w:val="1"/>
      <w:numFmt w:val="bullet"/>
      <w:lvlText w:val="•"/>
      <w:lvlJc w:val="left"/>
      <w:pPr>
        <w:ind w:left="7044" w:hanging="360"/>
      </w:pPr>
      <w:rPr>
        <w:rFonts w:hint="default"/>
      </w:rPr>
    </w:lvl>
    <w:lvl w:ilvl="8" w:tplc="73FAC676">
      <w:start w:val="1"/>
      <w:numFmt w:val="bullet"/>
      <w:lvlText w:val="•"/>
      <w:lvlJc w:val="left"/>
      <w:pPr>
        <w:ind w:left="7982" w:hanging="360"/>
      </w:pPr>
      <w:rPr>
        <w:rFonts w:hint="default"/>
      </w:rPr>
    </w:lvl>
  </w:abstractNum>
  <w:abstractNum w:abstractNumId="10">
    <w:nsid w:val="5F477E56"/>
    <w:multiLevelType w:val="hybridMultilevel"/>
    <w:tmpl w:val="041C11A4"/>
    <w:lvl w:ilvl="0" w:tplc="19402094">
      <w:start w:val="1"/>
      <w:numFmt w:val="bullet"/>
      <w:lvlText w:val=""/>
      <w:lvlJc w:val="left"/>
      <w:pPr>
        <w:ind w:left="837" w:hanging="360"/>
      </w:pPr>
      <w:rPr>
        <w:rFonts w:ascii="Wingdings" w:eastAsia="Wingdings" w:hAnsi="Wingdings" w:hint="default"/>
        <w:w w:val="99"/>
        <w:sz w:val="20"/>
        <w:szCs w:val="20"/>
      </w:rPr>
    </w:lvl>
    <w:lvl w:ilvl="1" w:tplc="359E8110">
      <w:start w:val="1"/>
      <w:numFmt w:val="bullet"/>
      <w:lvlText w:val="•"/>
      <w:lvlJc w:val="left"/>
      <w:pPr>
        <w:ind w:left="1739" w:hanging="360"/>
      </w:pPr>
      <w:rPr>
        <w:rFonts w:hint="default"/>
      </w:rPr>
    </w:lvl>
    <w:lvl w:ilvl="2" w:tplc="B030B97E">
      <w:start w:val="1"/>
      <w:numFmt w:val="bullet"/>
      <w:lvlText w:val="•"/>
      <w:lvlJc w:val="left"/>
      <w:pPr>
        <w:ind w:left="2641" w:hanging="360"/>
      </w:pPr>
      <w:rPr>
        <w:rFonts w:hint="default"/>
      </w:rPr>
    </w:lvl>
    <w:lvl w:ilvl="3" w:tplc="A2984320">
      <w:start w:val="1"/>
      <w:numFmt w:val="bullet"/>
      <w:lvlText w:val="•"/>
      <w:lvlJc w:val="left"/>
      <w:pPr>
        <w:ind w:left="3543" w:hanging="360"/>
      </w:pPr>
      <w:rPr>
        <w:rFonts w:hint="default"/>
      </w:rPr>
    </w:lvl>
    <w:lvl w:ilvl="4" w:tplc="7AA45C28">
      <w:start w:val="1"/>
      <w:numFmt w:val="bullet"/>
      <w:lvlText w:val="•"/>
      <w:lvlJc w:val="left"/>
      <w:pPr>
        <w:ind w:left="4446" w:hanging="360"/>
      </w:pPr>
      <w:rPr>
        <w:rFonts w:hint="default"/>
      </w:rPr>
    </w:lvl>
    <w:lvl w:ilvl="5" w:tplc="FFE23078">
      <w:start w:val="1"/>
      <w:numFmt w:val="bullet"/>
      <w:lvlText w:val="•"/>
      <w:lvlJc w:val="left"/>
      <w:pPr>
        <w:ind w:left="5348" w:hanging="360"/>
      </w:pPr>
      <w:rPr>
        <w:rFonts w:hint="default"/>
      </w:rPr>
    </w:lvl>
    <w:lvl w:ilvl="6" w:tplc="E8A6DA80">
      <w:start w:val="1"/>
      <w:numFmt w:val="bullet"/>
      <w:lvlText w:val="•"/>
      <w:lvlJc w:val="left"/>
      <w:pPr>
        <w:ind w:left="6250" w:hanging="360"/>
      </w:pPr>
      <w:rPr>
        <w:rFonts w:hint="default"/>
      </w:rPr>
    </w:lvl>
    <w:lvl w:ilvl="7" w:tplc="FCC47FB4">
      <w:start w:val="1"/>
      <w:numFmt w:val="bullet"/>
      <w:lvlText w:val="•"/>
      <w:lvlJc w:val="left"/>
      <w:pPr>
        <w:ind w:left="7152" w:hanging="360"/>
      </w:pPr>
      <w:rPr>
        <w:rFonts w:hint="default"/>
      </w:rPr>
    </w:lvl>
    <w:lvl w:ilvl="8" w:tplc="AA9E1326">
      <w:start w:val="1"/>
      <w:numFmt w:val="bullet"/>
      <w:lvlText w:val="•"/>
      <w:lvlJc w:val="left"/>
      <w:pPr>
        <w:ind w:left="8054" w:hanging="360"/>
      </w:pPr>
      <w:rPr>
        <w:rFonts w:hint="default"/>
      </w:rPr>
    </w:lvl>
  </w:abstractNum>
  <w:abstractNum w:abstractNumId="11">
    <w:nsid w:val="64B37D43"/>
    <w:multiLevelType w:val="hybridMultilevel"/>
    <w:tmpl w:val="B004324C"/>
    <w:lvl w:ilvl="0" w:tplc="AC8265B8">
      <w:start w:val="1"/>
      <w:numFmt w:val="bullet"/>
      <w:lvlText w:val="-"/>
      <w:lvlJc w:val="left"/>
      <w:pPr>
        <w:ind w:left="117" w:hanging="152"/>
      </w:pPr>
      <w:rPr>
        <w:rFonts w:ascii="Malgun Gothic" w:eastAsia="Malgun Gothic" w:hAnsi="Malgun Gothic" w:hint="default"/>
        <w:w w:val="99"/>
        <w:sz w:val="20"/>
        <w:szCs w:val="20"/>
      </w:rPr>
    </w:lvl>
    <w:lvl w:ilvl="1" w:tplc="E222E1E2">
      <w:start w:val="1"/>
      <w:numFmt w:val="bullet"/>
      <w:lvlText w:val="•"/>
      <w:lvlJc w:val="left"/>
      <w:pPr>
        <w:ind w:left="1091" w:hanging="152"/>
      </w:pPr>
      <w:rPr>
        <w:rFonts w:hint="default"/>
      </w:rPr>
    </w:lvl>
    <w:lvl w:ilvl="2" w:tplc="3D902F46">
      <w:start w:val="1"/>
      <w:numFmt w:val="bullet"/>
      <w:lvlText w:val="•"/>
      <w:lvlJc w:val="left"/>
      <w:pPr>
        <w:ind w:left="2065" w:hanging="152"/>
      </w:pPr>
      <w:rPr>
        <w:rFonts w:hint="default"/>
      </w:rPr>
    </w:lvl>
    <w:lvl w:ilvl="3" w:tplc="104C737A">
      <w:start w:val="1"/>
      <w:numFmt w:val="bullet"/>
      <w:lvlText w:val="•"/>
      <w:lvlJc w:val="left"/>
      <w:pPr>
        <w:ind w:left="3039" w:hanging="152"/>
      </w:pPr>
      <w:rPr>
        <w:rFonts w:hint="default"/>
      </w:rPr>
    </w:lvl>
    <w:lvl w:ilvl="4" w:tplc="8C064754">
      <w:start w:val="1"/>
      <w:numFmt w:val="bullet"/>
      <w:lvlText w:val="•"/>
      <w:lvlJc w:val="left"/>
      <w:pPr>
        <w:ind w:left="4014" w:hanging="152"/>
      </w:pPr>
      <w:rPr>
        <w:rFonts w:hint="default"/>
      </w:rPr>
    </w:lvl>
    <w:lvl w:ilvl="5" w:tplc="EF10D0BA">
      <w:start w:val="1"/>
      <w:numFmt w:val="bullet"/>
      <w:lvlText w:val="•"/>
      <w:lvlJc w:val="left"/>
      <w:pPr>
        <w:ind w:left="4988" w:hanging="152"/>
      </w:pPr>
      <w:rPr>
        <w:rFonts w:hint="default"/>
      </w:rPr>
    </w:lvl>
    <w:lvl w:ilvl="6" w:tplc="036A32E8">
      <w:start w:val="1"/>
      <w:numFmt w:val="bullet"/>
      <w:lvlText w:val="•"/>
      <w:lvlJc w:val="left"/>
      <w:pPr>
        <w:ind w:left="5962" w:hanging="152"/>
      </w:pPr>
      <w:rPr>
        <w:rFonts w:hint="default"/>
      </w:rPr>
    </w:lvl>
    <w:lvl w:ilvl="7" w:tplc="635AF2C4">
      <w:start w:val="1"/>
      <w:numFmt w:val="bullet"/>
      <w:lvlText w:val="•"/>
      <w:lvlJc w:val="left"/>
      <w:pPr>
        <w:ind w:left="6936" w:hanging="152"/>
      </w:pPr>
      <w:rPr>
        <w:rFonts w:hint="default"/>
      </w:rPr>
    </w:lvl>
    <w:lvl w:ilvl="8" w:tplc="088C2A8C">
      <w:start w:val="1"/>
      <w:numFmt w:val="bullet"/>
      <w:lvlText w:val="•"/>
      <w:lvlJc w:val="left"/>
      <w:pPr>
        <w:ind w:left="7910" w:hanging="152"/>
      </w:pPr>
      <w:rPr>
        <w:rFonts w:hint="default"/>
      </w:rPr>
    </w:lvl>
  </w:abstractNum>
  <w:abstractNum w:abstractNumId="12">
    <w:nsid w:val="69C163A7"/>
    <w:multiLevelType w:val="multilevel"/>
    <w:tmpl w:val="93B05BA6"/>
    <w:lvl w:ilvl="0">
      <w:start w:val="1"/>
      <w:numFmt w:val="decimal"/>
      <w:lvlText w:val="%1."/>
      <w:lvlJc w:val="left"/>
      <w:pPr>
        <w:ind w:left="477" w:hanging="360"/>
        <w:jc w:val="right"/>
      </w:pPr>
      <w:rPr>
        <w:rFonts w:ascii="Calibri" w:eastAsia="Calibri" w:hAnsi="Calibri" w:hint="default"/>
        <w:b/>
        <w:bCs/>
        <w:spacing w:val="-1"/>
        <w:sz w:val="28"/>
        <w:szCs w:val="28"/>
      </w:rPr>
    </w:lvl>
    <w:lvl w:ilvl="1">
      <w:start w:val="1"/>
      <w:numFmt w:val="decimal"/>
      <w:lvlText w:val="%1.%2"/>
      <w:lvlJc w:val="left"/>
      <w:pPr>
        <w:ind w:left="217" w:hanging="423"/>
        <w:jc w:val="right"/>
      </w:pPr>
      <w:rPr>
        <w:rFonts w:ascii="Calibri" w:eastAsia="Calibri" w:hAnsi="Calibri" w:hint="default"/>
        <w:b/>
        <w:bCs/>
        <w:w w:val="99"/>
        <w:sz w:val="24"/>
        <w:szCs w:val="24"/>
      </w:rPr>
    </w:lvl>
    <w:lvl w:ilvl="2">
      <w:start w:val="1"/>
      <w:numFmt w:val="bullet"/>
      <w:lvlText w:val="•"/>
      <w:lvlJc w:val="left"/>
      <w:pPr>
        <w:ind w:left="1519" w:hanging="423"/>
      </w:pPr>
      <w:rPr>
        <w:rFonts w:hint="default"/>
      </w:rPr>
    </w:lvl>
    <w:lvl w:ilvl="3">
      <w:start w:val="1"/>
      <w:numFmt w:val="bullet"/>
      <w:lvlText w:val="•"/>
      <w:lvlJc w:val="left"/>
      <w:pPr>
        <w:ind w:left="2562" w:hanging="423"/>
      </w:pPr>
      <w:rPr>
        <w:rFonts w:hint="default"/>
      </w:rPr>
    </w:lvl>
    <w:lvl w:ilvl="4">
      <w:start w:val="1"/>
      <w:numFmt w:val="bullet"/>
      <w:lvlText w:val="•"/>
      <w:lvlJc w:val="left"/>
      <w:pPr>
        <w:ind w:left="3604" w:hanging="423"/>
      </w:pPr>
      <w:rPr>
        <w:rFonts w:hint="default"/>
      </w:rPr>
    </w:lvl>
    <w:lvl w:ilvl="5">
      <w:start w:val="1"/>
      <w:numFmt w:val="bullet"/>
      <w:lvlText w:val="•"/>
      <w:lvlJc w:val="left"/>
      <w:pPr>
        <w:ind w:left="4647" w:hanging="423"/>
      </w:pPr>
      <w:rPr>
        <w:rFonts w:hint="default"/>
      </w:rPr>
    </w:lvl>
    <w:lvl w:ilvl="6">
      <w:start w:val="1"/>
      <w:numFmt w:val="bullet"/>
      <w:lvlText w:val="•"/>
      <w:lvlJc w:val="left"/>
      <w:pPr>
        <w:ind w:left="5689" w:hanging="423"/>
      </w:pPr>
      <w:rPr>
        <w:rFonts w:hint="default"/>
      </w:rPr>
    </w:lvl>
    <w:lvl w:ilvl="7">
      <w:start w:val="1"/>
      <w:numFmt w:val="bullet"/>
      <w:lvlText w:val="•"/>
      <w:lvlJc w:val="left"/>
      <w:pPr>
        <w:ind w:left="6731" w:hanging="423"/>
      </w:pPr>
      <w:rPr>
        <w:rFonts w:hint="default"/>
      </w:rPr>
    </w:lvl>
    <w:lvl w:ilvl="8">
      <w:start w:val="1"/>
      <w:numFmt w:val="bullet"/>
      <w:lvlText w:val="•"/>
      <w:lvlJc w:val="left"/>
      <w:pPr>
        <w:ind w:left="7774" w:hanging="423"/>
      </w:pPr>
      <w:rPr>
        <w:rFonts w:hint="default"/>
      </w:rPr>
    </w:lvl>
  </w:abstractNum>
  <w:abstractNum w:abstractNumId="13">
    <w:nsid w:val="6EB559C0"/>
    <w:multiLevelType w:val="hybridMultilevel"/>
    <w:tmpl w:val="ED464E04"/>
    <w:lvl w:ilvl="0" w:tplc="55DE8282">
      <w:start w:val="2"/>
      <w:numFmt w:val="decimal"/>
      <w:lvlText w:val="%1"/>
      <w:lvlJc w:val="left"/>
      <w:pPr>
        <w:ind w:left="258" w:hanging="142"/>
      </w:pPr>
      <w:rPr>
        <w:rFonts w:ascii="Cambria" w:eastAsia="Cambria" w:hAnsi="Cambria" w:hint="default"/>
        <w:position w:val="6"/>
        <w:sz w:val="16"/>
        <w:szCs w:val="16"/>
      </w:rPr>
    </w:lvl>
    <w:lvl w:ilvl="1" w:tplc="1FF20166">
      <w:start w:val="1"/>
      <w:numFmt w:val="bullet"/>
      <w:lvlText w:val=""/>
      <w:lvlJc w:val="left"/>
      <w:pPr>
        <w:ind w:left="837" w:hanging="360"/>
      </w:pPr>
      <w:rPr>
        <w:rFonts w:ascii="Symbol" w:eastAsia="Symbol" w:hAnsi="Symbol" w:hint="default"/>
        <w:sz w:val="18"/>
        <w:szCs w:val="18"/>
      </w:rPr>
    </w:lvl>
    <w:lvl w:ilvl="2" w:tplc="1564FEA4">
      <w:start w:val="1"/>
      <w:numFmt w:val="bullet"/>
      <w:lvlText w:val="•"/>
      <w:lvlJc w:val="left"/>
      <w:pPr>
        <w:ind w:left="1839" w:hanging="360"/>
      </w:pPr>
      <w:rPr>
        <w:rFonts w:hint="default"/>
      </w:rPr>
    </w:lvl>
    <w:lvl w:ilvl="3" w:tplc="5C523EA2">
      <w:start w:val="1"/>
      <w:numFmt w:val="bullet"/>
      <w:lvlText w:val="•"/>
      <w:lvlJc w:val="left"/>
      <w:pPr>
        <w:ind w:left="2842" w:hanging="360"/>
      </w:pPr>
      <w:rPr>
        <w:rFonts w:hint="default"/>
      </w:rPr>
    </w:lvl>
    <w:lvl w:ilvl="4" w:tplc="405A3CD8">
      <w:start w:val="1"/>
      <w:numFmt w:val="bullet"/>
      <w:lvlText w:val="•"/>
      <w:lvlJc w:val="left"/>
      <w:pPr>
        <w:ind w:left="3844" w:hanging="360"/>
      </w:pPr>
      <w:rPr>
        <w:rFonts w:hint="default"/>
      </w:rPr>
    </w:lvl>
    <w:lvl w:ilvl="5" w:tplc="982E9630">
      <w:start w:val="1"/>
      <w:numFmt w:val="bullet"/>
      <w:lvlText w:val="•"/>
      <w:lvlJc w:val="left"/>
      <w:pPr>
        <w:ind w:left="4847" w:hanging="360"/>
      </w:pPr>
      <w:rPr>
        <w:rFonts w:hint="default"/>
      </w:rPr>
    </w:lvl>
    <w:lvl w:ilvl="6" w:tplc="129C6328">
      <w:start w:val="1"/>
      <w:numFmt w:val="bullet"/>
      <w:lvlText w:val="•"/>
      <w:lvlJc w:val="left"/>
      <w:pPr>
        <w:ind w:left="5849" w:hanging="360"/>
      </w:pPr>
      <w:rPr>
        <w:rFonts w:hint="default"/>
      </w:rPr>
    </w:lvl>
    <w:lvl w:ilvl="7" w:tplc="63726EA2">
      <w:start w:val="1"/>
      <w:numFmt w:val="bullet"/>
      <w:lvlText w:val="•"/>
      <w:lvlJc w:val="left"/>
      <w:pPr>
        <w:ind w:left="6851" w:hanging="360"/>
      </w:pPr>
      <w:rPr>
        <w:rFonts w:hint="default"/>
      </w:rPr>
    </w:lvl>
    <w:lvl w:ilvl="8" w:tplc="AB520A3C">
      <w:start w:val="1"/>
      <w:numFmt w:val="bullet"/>
      <w:lvlText w:val="•"/>
      <w:lvlJc w:val="left"/>
      <w:pPr>
        <w:ind w:left="7854" w:hanging="360"/>
      </w:pPr>
      <w:rPr>
        <w:rFonts w:hint="default"/>
      </w:rPr>
    </w:lvl>
  </w:abstractNum>
  <w:abstractNum w:abstractNumId="14">
    <w:nsid w:val="76A030AB"/>
    <w:multiLevelType w:val="hybridMultilevel"/>
    <w:tmpl w:val="A3C42C72"/>
    <w:lvl w:ilvl="0" w:tplc="AC8265B8">
      <w:start w:val="1"/>
      <w:numFmt w:val="bullet"/>
      <w:lvlText w:val="-"/>
      <w:lvlJc w:val="left"/>
      <w:pPr>
        <w:ind w:left="720" w:hanging="360"/>
      </w:pPr>
      <w:rPr>
        <w:rFonts w:ascii="Malgun Gothic" w:eastAsia="Malgun Gothic" w:hAnsi="Malgun Gothic"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862ACE"/>
    <w:multiLevelType w:val="hybridMultilevel"/>
    <w:tmpl w:val="D68AE3CE"/>
    <w:lvl w:ilvl="0" w:tplc="172435B8">
      <w:start w:val="1"/>
      <w:numFmt w:val="bullet"/>
      <w:lvlText w:val=""/>
      <w:lvlJc w:val="left"/>
      <w:pPr>
        <w:ind w:left="837" w:hanging="360"/>
      </w:pPr>
      <w:rPr>
        <w:rFonts w:ascii="Symbol" w:eastAsia="Symbol" w:hAnsi="Symbol" w:hint="default"/>
        <w:w w:val="99"/>
        <w:sz w:val="20"/>
        <w:szCs w:val="20"/>
      </w:rPr>
    </w:lvl>
    <w:lvl w:ilvl="1" w:tplc="4EEE6012">
      <w:start w:val="1"/>
      <w:numFmt w:val="bullet"/>
      <w:lvlText w:val="•"/>
      <w:lvlJc w:val="left"/>
      <w:pPr>
        <w:ind w:left="1739" w:hanging="360"/>
      </w:pPr>
      <w:rPr>
        <w:rFonts w:hint="default"/>
      </w:rPr>
    </w:lvl>
    <w:lvl w:ilvl="2" w:tplc="035C561A">
      <w:start w:val="1"/>
      <w:numFmt w:val="bullet"/>
      <w:lvlText w:val="•"/>
      <w:lvlJc w:val="left"/>
      <w:pPr>
        <w:ind w:left="2641" w:hanging="360"/>
      </w:pPr>
      <w:rPr>
        <w:rFonts w:hint="default"/>
      </w:rPr>
    </w:lvl>
    <w:lvl w:ilvl="3" w:tplc="A47A746A">
      <w:start w:val="1"/>
      <w:numFmt w:val="bullet"/>
      <w:lvlText w:val="•"/>
      <w:lvlJc w:val="left"/>
      <w:pPr>
        <w:ind w:left="3543" w:hanging="360"/>
      </w:pPr>
      <w:rPr>
        <w:rFonts w:hint="default"/>
      </w:rPr>
    </w:lvl>
    <w:lvl w:ilvl="4" w:tplc="6ACEF9D8">
      <w:start w:val="1"/>
      <w:numFmt w:val="bullet"/>
      <w:lvlText w:val="•"/>
      <w:lvlJc w:val="left"/>
      <w:pPr>
        <w:ind w:left="4446" w:hanging="360"/>
      </w:pPr>
      <w:rPr>
        <w:rFonts w:hint="default"/>
      </w:rPr>
    </w:lvl>
    <w:lvl w:ilvl="5" w:tplc="82965720">
      <w:start w:val="1"/>
      <w:numFmt w:val="bullet"/>
      <w:lvlText w:val="•"/>
      <w:lvlJc w:val="left"/>
      <w:pPr>
        <w:ind w:left="5348" w:hanging="360"/>
      </w:pPr>
      <w:rPr>
        <w:rFonts w:hint="default"/>
      </w:rPr>
    </w:lvl>
    <w:lvl w:ilvl="6" w:tplc="FCF0132A">
      <w:start w:val="1"/>
      <w:numFmt w:val="bullet"/>
      <w:lvlText w:val="•"/>
      <w:lvlJc w:val="left"/>
      <w:pPr>
        <w:ind w:left="6250" w:hanging="360"/>
      </w:pPr>
      <w:rPr>
        <w:rFonts w:hint="default"/>
      </w:rPr>
    </w:lvl>
    <w:lvl w:ilvl="7" w:tplc="A850A0C2">
      <w:start w:val="1"/>
      <w:numFmt w:val="bullet"/>
      <w:lvlText w:val="•"/>
      <w:lvlJc w:val="left"/>
      <w:pPr>
        <w:ind w:left="7152" w:hanging="360"/>
      </w:pPr>
      <w:rPr>
        <w:rFonts w:hint="default"/>
      </w:rPr>
    </w:lvl>
    <w:lvl w:ilvl="8" w:tplc="A83A5F66">
      <w:start w:val="1"/>
      <w:numFmt w:val="bullet"/>
      <w:lvlText w:val="•"/>
      <w:lvlJc w:val="left"/>
      <w:pPr>
        <w:ind w:left="8054" w:hanging="360"/>
      </w:pPr>
      <w:rPr>
        <w:rFonts w:hint="default"/>
      </w:rPr>
    </w:lvl>
  </w:abstractNum>
  <w:abstractNum w:abstractNumId="16">
    <w:nsid w:val="7DE91DDD"/>
    <w:multiLevelType w:val="hybridMultilevel"/>
    <w:tmpl w:val="975644E0"/>
    <w:lvl w:ilvl="0" w:tplc="D3922D1A">
      <w:start w:val="1"/>
      <w:numFmt w:val="lowerLetter"/>
      <w:lvlText w:val="%1)"/>
      <w:lvlJc w:val="left"/>
      <w:pPr>
        <w:ind w:left="837" w:hanging="720"/>
      </w:pPr>
      <w:rPr>
        <w:rFonts w:ascii="Malgun Gothic" w:eastAsia="Malgun Gothic" w:hAnsi="Malgun Gothic" w:hint="default"/>
        <w:spacing w:val="-1"/>
        <w:w w:val="99"/>
        <w:sz w:val="20"/>
        <w:szCs w:val="20"/>
      </w:rPr>
    </w:lvl>
    <w:lvl w:ilvl="1" w:tplc="8B10617A">
      <w:start w:val="1"/>
      <w:numFmt w:val="bullet"/>
      <w:lvlText w:val=""/>
      <w:lvlJc w:val="left"/>
      <w:pPr>
        <w:ind w:left="837" w:hanging="360"/>
      </w:pPr>
      <w:rPr>
        <w:rFonts w:ascii="Symbol" w:eastAsia="Symbol" w:hAnsi="Symbol" w:hint="default"/>
        <w:w w:val="99"/>
        <w:sz w:val="20"/>
        <w:szCs w:val="20"/>
      </w:rPr>
    </w:lvl>
    <w:lvl w:ilvl="2" w:tplc="04D6ED72">
      <w:start w:val="1"/>
      <w:numFmt w:val="bullet"/>
      <w:lvlText w:val="•"/>
      <w:lvlJc w:val="left"/>
      <w:pPr>
        <w:ind w:left="2645" w:hanging="360"/>
      </w:pPr>
      <w:rPr>
        <w:rFonts w:hint="default"/>
      </w:rPr>
    </w:lvl>
    <w:lvl w:ilvl="3" w:tplc="C9B263D8">
      <w:start w:val="1"/>
      <w:numFmt w:val="bullet"/>
      <w:lvlText w:val="•"/>
      <w:lvlJc w:val="left"/>
      <w:pPr>
        <w:ind w:left="3549" w:hanging="360"/>
      </w:pPr>
      <w:rPr>
        <w:rFonts w:hint="default"/>
      </w:rPr>
    </w:lvl>
    <w:lvl w:ilvl="4" w:tplc="EF005EE8">
      <w:start w:val="1"/>
      <w:numFmt w:val="bullet"/>
      <w:lvlText w:val="•"/>
      <w:lvlJc w:val="left"/>
      <w:pPr>
        <w:ind w:left="4454" w:hanging="360"/>
      </w:pPr>
      <w:rPr>
        <w:rFonts w:hint="default"/>
      </w:rPr>
    </w:lvl>
    <w:lvl w:ilvl="5" w:tplc="4BBE2A0E">
      <w:start w:val="1"/>
      <w:numFmt w:val="bullet"/>
      <w:lvlText w:val="•"/>
      <w:lvlJc w:val="left"/>
      <w:pPr>
        <w:ind w:left="5358" w:hanging="360"/>
      </w:pPr>
      <w:rPr>
        <w:rFonts w:hint="default"/>
      </w:rPr>
    </w:lvl>
    <w:lvl w:ilvl="6" w:tplc="A3A6973C">
      <w:start w:val="1"/>
      <w:numFmt w:val="bullet"/>
      <w:lvlText w:val="•"/>
      <w:lvlJc w:val="left"/>
      <w:pPr>
        <w:ind w:left="6262" w:hanging="360"/>
      </w:pPr>
      <w:rPr>
        <w:rFonts w:hint="default"/>
      </w:rPr>
    </w:lvl>
    <w:lvl w:ilvl="7" w:tplc="7C38FC94">
      <w:start w:val="1"/>
      <w:numFmt w:val="bullet"/>
      <w:lvlText w:val="•"/>
      <w:lvlJc w:val="left"/>
      <w:pPr>
        <w:ind w:left="7166" w:hanging="360"/>
      </w:pPr>
      <w:rPr>
        <w:rFonts w:hint="default"/>
      </w:rPr>
    </w:lvl>
    <w:lvl w:ilvl="8" w:tplc="6884203A">
      <w:start w:val="1"/>
      <w:numFmt w:val="bullet"/>
      <w:lvlText w:val="•"/>
      <w:lvlJc w:val="left"/>
      <w:pPr>
        <w:ind w:left="8070" w:hanging="360"/>
      </w:pPr>
      <w:rPr>
        <w:rFonts w:hint="default"/>
      </w:rPr>
    </w:lvl>
  </w:abstractNum>
  <w:abstractNum w:abstractNumId="17">
    <w:nsid w:val="7E637BFD"/>
    <w:multiLevelType w:val="hybridMultilevel"/>
    <w:tmpl w:val="F690AF0C"/>
    <w:lvl w:ilvl="0" w:tplc="EAC2D9CC">
      <w:start w:val="1"/>
      <w:numFmt w:val="decimal"/>
      <w:lvlText w:val="%1."/>
      <w:lvlJc w:val="left"/>
      <w:pPr>
        <w:ind w:left="117" w:hanging="238"/>
        <w:jc w:val="right"/>
      </w:pPr>
      <w:rPr>
        <w:rFonts w:ascii="Malgun Gothic" w:eastAsia="Malgun Gothic" w:hAnsi="Malgun Gothic" w:hint="default"/>
        <w:w w:val="99"/>
        <w:sz w:val="20"/>
        <w:szCs w:val="20"/>
      </w:rPr>
    </w:lvl>
    <w:lvl w:ilvl="1" w:tplc="217ACD38">
      <w:start w:val="1"/>
      <w:numFmt w:val="bullet"/>
      <w:lvlText w:val=""/>
      <w:lvlJc w:val="left"/>
      <w:pPr>
        <w:ind w:left="937" w:hanging="360"/>
      </w:pPr>
      <w:rPr>
        <w:rFonts w:ascii="Symbol" w:eastAsia="Symbol" w:hAnsi="Symbol" w:hint="default"/>
        <w:w w:val="99"/>
        <w:sz w:val="20"/>
        <w:szCs w:val="20"/>
      </w:rPr>
    </w:lvl>
    <w:lvl w:ilvl="2" w:tplc="6D609ED2">
      <w:start w:val="1"/>
      <w:numFmt w:val="bullet"/>
      <w:lvlText w:val="•"/>
      <w:lvlJc w:val="left"/>
      <w:pPr>
        <w:ind w:left="1928" w:hanging="360"/>
      </w:pPr>
      <w:rPr>
        <w:rFonts w:hint="default"/>
      </w:rPr>
    </w:lvl>
    <w:lvl w:ilvl="3" w:tplc="56268AEC">
      <w:start w:val="1"/>
      <w:numFmt w:val="bullet"/>
      <w:lvlText w:val="•"/>
      <w:lvlJc w:val="left"/>
      <w:pPr>
        <w:ind w:left="2919" w:hanging="360"/>
      </w:pPr>
      <w:rPr>
        <w:rFonts w:hint="default"/>
      </w:rPr>
    </w:lvl>
    <w:lvl w:ilvl="4" w:tplc="038A0E10">
      <w:start w:val="1"/>
      <w:numFmt w:val="bullet"/>
      <w:lvlText w:val="•"/>
      <w:lvlJc w:val="left"/>
      <w:pPr>
        <w:ind w:left="3911" w:hanging="360"/>
      </w:pPr>
      <w:rPr>
        <w:rFonts w:hint="default"/>
      </w:rPr>
    </w:lvl>
    <w:lvl w:ilvl="5" w:tplc="DD3E28B4">
      <w:start w:val="1"/>
      <w:numFmt w:val="bullet"/>
      <w:lvlText w:val="•"/>
      <w:lvlJc w:val="left"/>
      <w:pPr>
        <w:ind w:left="4902" w:hanging="360"/>
      </w:pPr>
      <w:rPr>
        <w:rFonts w:hint="default"/>
      </w:rPr>
    </w:lvl>
    <w:lvl w:ilvl="6" w:tplc="097C43A8">
      <w:start w:val="1"/>
      <w:numFmt w:val="bullet"/>
      <w:lvlText w:val="•"/>
      <w:lvlJc w:val="left"/>
      <w:pPr>
        <w:ind w:left="5893" w:hanging="360"/>
      </w:pPr>
      <w:rPr>
        <w:rFonts w:hint="default"/>
      </w:rPr>
    </w:lvl>
    <w:lvl w:ilvl="7" w:tplc="111252A0">
      <w:start w:val="1"/>
      <w:numFmt w:val="bullet"/>
      <w:lvlText w:val="•"/>
      <w:lvlJc w:val="left"/>
      <w:pPr>
        <w:ind w:left="6885" w:hanging="360"/>
      </w:pPr>
      <w:rPr>
        <w:rFonts w:hint="default"/>
      </w:rPr>
    </w:lvl>
    <w:lvl w:ilvl="8" w:tplc="4FC490BA">
      <w:start w:val="1"/>
      <w:numFmt w:val="bullet"/>
      <w:lvlText w:val="•"/>
      <w:lvlJc w:val="left"/>
      <w:pPr>
        <w:ind w:left="7876" w:hanging="360"/>
      </w:pPr>
      <w:rPr>
        <w:rFonts w:hint="default"/>
      </w:rPr>
    </w:lvl>
  </w:abstractNum>
  <w:abstractNum w:abstractNumId="18">
    <w:nsid w:val="7EC63513"/>
    <w:multiLevelType w:val="multilevel"/>
    <w:tmpl w:val="4B963886"/>
    <w:lvl w:ilvl="0">
      <w:start w:val="3"/>
      <w:numFmt w:val="decimal"/>
      <w:lvlText w:val="%1"/>
      <w:lvlJc w:val="left"/>
      <w:pPr>
        <w:ind w:left="1917" w:hanging="360"/>
      </w:pPr>
      <w:rPr>
        <w:rFonts w:hint="default"/>
      </w:rPr>
    </w:lvl>
    <w:lvl w:ilvl="1">
      <w:start w:val="1"/>
      <w:numFmt w:val="decimal"/>
      <w:lvlText w:val="%1.%2"/>
      <w:lvlJc w:val="left"/>
      <w:pPr>
        <w:ind w:left="1917" w:hanging="360"/>
        <w:jc w:val="right"/>
      </w:pPr>
      <w:rPr>
        <w:rFonts w:ascii="Calibri" w:eastAsia="Calibri" w:hAnsi="Calibri" w:hint="default"/>
        <w:b/>
        <w:bCs/>
        <w:w w:val="99"/>
        <w:sz w:val="24"/>
        <w:szCs w:val="24"/>
      </w:rPr>
    </w:lvl>
    <w:lvl w:ilvl="2">
      <w:start w:val="1"/>
      <w:numFmt w:val="bullet"/>
      <w:lvlText w:val="•"/>
      <w:lvlJc w:val="left"/>
      <w:pPr>
        <w:ind w:left="3509" w:hanging="360"/>
      </w:pPr>
      <w:rPr>
        <w:rFonts w:hint="default"/>
      </w:rPr>
    </w:lvl>
    <w:lvl w:ilvl="3">
      <w:start w:val="1"/>
      <w:numFmt w:val="bullet"/>
      <w:lvlText w:val="•"/>
      <w:lvlJc w:val="left"/>
      <w:pPr>
        <w:ind w:left="4305" w:hanging="360"/>
      </w:pPr>
      <w:rPr>
        <w:rFonts w:hint="default"/>
      </w:rPr>
    </w:lvl>
    <w:lvl w:ilvl="4">
      <w:start w:val="1"/>
      <w:numFmt w:val="bullet"/>
      <w:lvlText w:val="•"/>
      <w:lvlJc w:val="left"/>
      <w:pPr>
        <w:ind w:left="5102" w:hanging="360"/>
      </w:pPr>
      <w:rPr>
        <w:rFonts w:hint="default"/>
      </w:rPr>
    </w:lvl>
    <w:lvl w:ilvl="5">
      <w:start w:val="1"/>
      <w:numFmt w:val="bullet"/>
      <w:lvlText w:val="•"/>
      <w:lvlJc w:val="left"/>
      <w:pPr>
        <w:ind w:left="5898" w:hanging="360"/>
      </w:pPr>
      <w:rPr>
        <w:rFonts w:hint="default"/>
      </w:rPr>
    </w:lvl>
    <w:lvl w:ilvl="6">
      <w:start w:val="1"/>
      <w:numFmt w:val="bullet"/>
      <w:lvlText w:val="•"/>
      <w:lvlJc w:val="left"/>
      <w:pPr>
        <w:ind w:left="6694" w:hanging="360"/>
      </w:pPr>
      <w:rPr>
        <w:rFonts w:hint="default"/>
      </w:rPr>
    </w:lvl>
    <w:lvl w:ilvl="7">
      <w:start w:val="1"/>
      <w:numFmt w:val="bullet"/>
      <w:lvlText w:val="•"/>
      <w:lvlJc w:val="left"/>
      <w:pPr>
        <w:ind w:left="7490" w:hanging="360"/>
      </w:pPr>
      <w:rPr>
        <w:rFonts w:hint="default"/>
      </w:rPr>
    </w:lvl>
    <w:lvl w:ilvl="8">
      <w:start w:val="1"/>
      <w:numFmt w:val="bullet"/>
      <w:lvlText w:val="•"/>
      <w:lvlJc w:val="left"/>
      <w:pPr>
        <w:ind w:left="8286" w:hanging="360"/>
      </w:pPr>
      <w:rPr>
        <w:rFonts w:hint="default"/>
      </w:rPr>
    </w:lvl>
  </w:abstractNum>
  <w:num w:numId="1">
    <w:abstractNumId w:val="10"/>
  </w:num>
  <w:num w:numId="2">
    <w:abstractNumId w:val="15"/>
  </w:num>
  <w:num w:numId="3">
    <w:abstractNumId w:val="3"/>
  </w:num>
  <w:num w:numId="4">
    <w:abstractNumId w:val="7"/>
  </w:num>
  <w:num w:numId="5">
    <w:abstractNumId w:val="2"/>
  </w:num>
  <w:num w:numId="6">
    <w:abstractNumId w:val="17"/>
  </w:num>
  <w:num w:numId="7">
    <w:abstractNumId w:val="13"/>
  </w:num>
  <w:num w:numId="8">
    <w:abstractNumId w:val="18"/>
  </w:num>
  <w:num w:numId="9">
    <w:abstractNumId w:val="16"/>
  </w:num>
  <w:num w:numId="10">
    <w:abstractNumId w:val="9"/>
  </w:num>
  <w:num w:numId="11">
    <w:abstractNumId w:val="0"/>
  </w:num>
  <w:num w:numId="12">
    <w:abstractNumId w:val="8"/>
  </w:num>
  <w:num w:numId="13">
    <w:abstractNumId w:val="6"/>
  </w:num>
  <w:num w:numId="14">
    <w:abstractNumId w:val="1"/>
  </w:num>
  <w:num w:numId="15">
    <w:abstractNumId w:val="12"/>
  </w:num>
  <w:num w:numId="16">
    <w:abstractNumId w:val="14"/>
  </w:num>
  <w:num w:numId="17">
    <w:abstractNumId w:val="11"/>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10"/>
    <w:rsid w:val="000448A3"/>
    <w:rsid w:val="00061EBD"/>
    <w:rsid w:val="00063B84"/>
    <w:rsid w:val="00096658"/>
    <w:rsid w:val="000D1AD9"/>
    <w:rsid w:val="000F55D6"/>
    <w:rsid w:val="00103711"/>
    <w:rsid w:val="00113974"/>
    <w:rsid w:val="001204F4"/>
    <w:rsid w:val="00122BDF"/>
    <w:rsid w:val="001375C6"/>
    <w:rsid w:val="00150C02"/>
    <w:rsid w:val="00162CF8"/>
    <w:rsid w:val="00191D63"/>
    <w:rsid w:val="00196DDC"/>
    <w:rsid w:val="00206D33"/>
    <w:rsid w:val="0024244B"/>
    <w:rsid w:val="002620FB"/>
    <w:rsid w:val="00270B37"/>
    <w:rsid w:val="002763C5"/>
    <w:rsid w:val="00277FF4"/>
    <w:rsid w:val="002B617C"/>
    <w:rsid w:val="002C2E35"/>
    <w:rsid w:val="002E5374"/>
    <w:rsid w:val="002E6024"/>
    <w:rsid w:val="003131B3"/>
    <w:rsid w:val="00332796"/>
    <w:rsid w:val="0033782C"/>
    <w:rsid w:val="00346738"/>
    <w:rsid w:val="00351A6C"/>
    <w:rsid w:val="00357326"/>
    <w:rsid w:val="00367A6D"/>
    <w:rsid w:val="00371EB9"/>
    <w:rsid w:val="003730C4"/>
    <w:rsid w:val="003938A8"/>
    <w:rsid w:val="003D6C09"/>
    <w:rsid w:val="00425427"/>
    <w:rsid w:val="00430383"/>
    <w:rsid w:val="00434CCF"/>
    <w:rsid w:val="004851C2"/>
    <w:rsid w:val="0048712E"/>
    <w:rsid w:val="004B47C1"/>
    <w:rsid w:val="005034C2"/>
    <w:rsid w:val="005657BC"/>
    <w:rsid w:val="005A26EC"/>
    <w:rsid w:val="005A2A40"/>
    <w:rsid w:val="005F18F9"/>
    <w:rsid w:val="0062053F"/>
    <w:rsid w:val="006258A1"/>
    <w:rsid w:val="0065498D"/>
    <w:rsid w:val="00656097"/>
    <w:rsid w:val="00656E78"/>
    <w:rsid w:val="006709BA"/>
    <w:rsid w:val="006767C3"/>
    <w:rsid w:val="006A4157"/>
    <w:rsid w:val="006C68BC"/>
    <w:rsid w:val="00706DC7"/>
    <w:rsid w:val="00711A11"/>
    <w:rsid w:val="007154BE"/>
    <w:rsid w:val="00731AB5"/>
    <w:rsid w:val="00735B5E"/>
    <w:rsid w:val="00773CA4"/>
    <w:rsid w:val="007A2FB4"/>
    <w:rsid w:val="007D2D62"/>
    <w:rsid w:val="00807635"/>
    <w:rsid w:val="00841ACD"/>
    <w:rsid w:val="0087246B"/>
    <w:rsid w:val="008B0D82"/>
    <w:rsid w:val="008D6F97"/>
    <w:rsid w:val="008D75AF"/>
    <w:rsid w:val="00904326"/>
    <w:rsid w:val="00934C54"/>
    <w:rsid w:val="00942411"/>
    <w:rsid w:val="00947F27"/>
    <w:rsid w:val="00962D10"/>
    <w:rsid w:val="00966B37"/>
    <w:rsid w:val="00981AA0"/>
    <w:rsid w:val="00984659"/>
    <w:rsid w:val="009A4F8E"/>
    <w:rsid w:val="009B1AEC"/>
    <w:rsid w:val="009C0557"/>
    <w:rsid w:val="009D5329"/>
    <w:rsid w:val="00A13DB5"/>
    <w:rsid w:val="00A20C98"/>
    <w:rsid w:val="00A459A9"/>
    <w:rsid w:val="00A46AD8"/>
    <w:rsid w:val="00A54C02"/>
    <w:rsid w:val="00A54D23"/>
    <w:rsid w:val="00A57410"/>
    <w:rsid w:val="00A8424A"/>
    <w:rsid w:val="00A86524"/>
    <w:rsid w:val="00AE5ECC"/>
    <w:rsid w:val="00B014C0"/>
    <w:rsid w:val="00B053F1"/>
    <w:rsid w:val="00B34BF7"/>
    <w:rsid w:val="00B47ED7"/>
    <w:rsid w:val="00B6009F"/>
    <w:rsid w:val="00B613E7"/>
    <w:rsid w:val="00B77453"/>
    <w:rsid w:val="00B865AA"/>
    <w:rsid w:val="00B968CB"/>
    <w:rsid w:val="00BA2391"/>
    <w:rsid w:val="00C05DE3"/>
    <w:rsid w:val="00C11B9E"/>
    <w:rsid w:val="00C1356A"/>
    <w:rsid w:val="00C33524"/>
    <w:rsid w:val="00C33E7E"/>
    <w:rsid w:val="00C6407A"/>
    <w:rsid w:val="00C661EE"/>
    <w:rsid w:val="00C827E7"/>
    <w:rsid w:val="00CB4EA8"/>
    <w:rsid w:val="00CE442B"/>
    <w:rsid w:val="00CE67C5"/>
    <w:rsid w:val="00CE6FD5"/>
    <w:rsid w:val="00D06DE2"/>
    <w:rsid w:val="00D40779"/>
    <w:rsid w:val="00D434AD"/>
    <w:rsid w:val="00D56315"/>
    <w:rsid w:val="00D57624"/>
    <w:rsid w:val="00D63281"/>
    <w:rsid w:val="00D67E85"/>
    <w:rsid w:val="00D74940"/>
    <w:rsid w:val="00DA26A1"/>
    <w:rsid w:val="00DC2095"/>
    <w:rsid w:val="00E2306E"/>
    <w:rsid w:val="00E23C6A"/>
    <w:rsid w:val="00E32DB6"/>
    <w:rsid w:val="00E8726C"/>
    <w:rsid w:val="00E930A0"/>
    <w:rsid w:val="00EA3760"/>
    <w:rsid w:val="00EA4453"/>
    <w:rsid w:val="00EB3E66"/>
    <w:rsid w:val="00EC52FB"/>
    <w:rsid w:val="00EE70B1"/>
    <w:rsid w:val="00EF1016"/>
    <w:rsid w:val="00F30109"/>
    <w:rsid w:val="00F65E62"/>
    <w:rsid w:val="00F968FE"/>
    <w:rsid w:val="00FC4AE9"/>
    <w:rsid w:val="00FF38A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5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77" w:hanging="360"/>
      <w:outlineLvl w:val="0"/>
    </w:pPr>
    <w:rPr>
      <w:rFonts w:ascii="Calibri" w:eastAsia="Calibri" w:hAnsi="Calibri"/>
      <w:b/>
      <w:bCs/>
      <w:sz w:val="28"/>
      <w:szCs w:val="28"/>
    </w:rPr>
  </w:style>
  <w:style w:type="paragraph" w:styleId="Heading2">
    <w:name w:val="heading 2"/>
    <w:basedOn w:val="Normal"/>
    <w:uiPriority w:val="1"/>
    <w:qFormat/>
    <w:pPr>
      <w:ind w:left="1917" w:hanging="360"/>
      <w:outlineLvl w:val="1"/>
    </w:pPr>
    <w:rPr>
      <w:rFonts w:ascii="Calibri" w:eastAsia="Calibri" w:hAnsi="Calibri"/>
      <w:b/>
      <w:bCs/>
      <w:sz w:val="24"/>
      <w:szCs w:val="24"/>
    </w:rPr>
  </w:style>
  <w:style w:type="paragraph" w:styleId="Heading3">
    <w:name w:val="heading 3"/>
    <w:basedOn w:val="Normal"/>
    <w:uiPriority w:val="1"/>
    <w:qFormat/>
    <w:pPr>
      <w:ind w:left="40"/>
      <w:outlineLvl w:val="2"/>
    </w:pPr>
    <w:rPr>
      <w:rFonts w:ascii="Calibri" w:eastAsia="Calibri" w:hAnsi="Calibri"/>
      <w:sz w:val="24"/>
      <w:szCs w:val="24"/>
    </w:rPr>
  </w:style>
  <w:style w:type="paragraph" w:styleId="Heading4">
    <w:name w:val="heading 4"/>
    <w:basedOn w:val="Normal"/>
    <w:uiPriority w:val="1"/>
    <w:qFormat/>
    <w:pPr>
      <w:ind w:left="117"/>
      <w:outlineLvl w:val="3"/>
    </w:pPr>
    <w:rPr>
      <w:rFonts w:ascii="Malgun Gothic" w:eastAsia="Malgun Gothic" w:hAnsi="Malgun Gothic"/>
      <w:b/>
      <w:bCs/>
      <w:i/>
      <w:sz w:val="21"/>
      <w:szCs w:val="21"/>
    </w:rPr>
  </w:style>
  <w:style w:type="paragraph" w:styleId="Heading5">
    <w:name w:val="heading 5"/>
    <w:basedOn w:val="Normal"/>
    <w:uiPriority w:val="1"/>
    <w:qFormat/>
    <w:pPr>
      <w:ind w:left="117"/>
      <w:outlineLvl w:val="4"/>
    </w:pPr>
    <w:rPr>
      <w:rFonts w:ascii="Malgun Gothic" w:eastAsia="Malgun Gothic" w:hAnsi="Malgun Gothic"/>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Malgun Gothic" w:eastAsia="Malgun Gothic" w:hAnsi="Malgun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5F18F9"/>
    <w:rPr>
      <w:sz w:val="20"/>
      <w:szCs w:val="20"/>
    </w:rPr>
  </w:style>
  <w:style w:type="character" w:customStyle="1" w:styleId="FootnoteTextChar">
    <w:name w:val="Footnote Text Char"/>
    <w:basedOn w:val="DefaultParagraphFont"/>
    <w:link w:val="FootnoteText"/>
    <w:uiPriority w:val="99"/>
    <w:rsid w:val="005F18F9"/>
    <w:rPr>
      <w:sz w:val="20"/>
      <w:szCs w:val="20"/>
    </w:rPr>
  </w:style>
  <w:style w:type="character" w:styleId="FootnoteReference">
    <w:name w:val="footnote reference"/>
    <w:basedOn w:val="DefaultParagraphFont"/>
    <w:uiPriority w:val="99"/>
    <w:semiHidden/>
    <w:unhideWhenUsed/>
    <w:rsid w:val="005F18F9"/>
    <w:rPr>
      <w:vertAlign w:val="superscript"/>
    </w:rPr>
  </w:style>
  <w:style w:type="paragraph" w:styleId="BalloonText">
    <w:name w:val="Balloon Text"/>
    <w:basedOn w:val="Normal"/>
    <w:link w:val="BalloonTextChar"/>
    <w:uiPriority w:val="99"/>
    <w:semiHidden/>
    <w:unhideWhenUsed/>
    <w:rsid w:val="008D7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AF"/>
    <w:rPr>
      <w:rFonts w:ascii="Segoe UI" w:hAnsi="Segoe UI" w:cs="Segoe UI"/>
      <w:sz w:val="18"/>
      <w:szCs w:val="18"/>
    </w:rPr>
  </w:style>
  <w:style w:type="paragraph" w:styleId="Header">
    <w:name w:val="header"/>
    <w:basedOn w:val="Normal"/>
    <w:link w:val="HeaderChar"/>
    <w:uiPriority w:val="99"/>
    <w:unhideWhenUsed/>
    <w:rsid w:val="005A2A40"/>
    <w:pPr>
      <w:tabs>
        <w:tab w:val="center" w:pos="4819"/>
        <w:tab w:val="right" w:pos="9638"/>
      </w:tabs>
    </w:pPr>
  </w:style>
  <w:style w:type="character" w:customStyle="1" w:styleId="HeaderChar">
    <w:name w:val="Header Char"/>
    <w:basedOn w:val="DefaultParagraphFont"/>
    <w:link w:val="Header"/>
    <w:uiPriority w:val="99"/>
    <w:rsid w:val="005A2A40"/>
  </w:style>
  <w:style w:type="paragraph" w:styleId="Footer">
    <w:name w:val="footer"/>
    <w:basedOn w:val="Normal"/>
    <w:link w:val="FooterChar"/>
    <w:uiPriority w:val="99"/>
    <w:unhideWhenUsed/>
    <w:rsid w:val="005A2A40"/>
    <w:pPr>
      <w:tabs>
        <w:tab w:val="center" w:pos="4819"/>
        <w:tab w:val="right" w:pos="9638"/>
      </w:tabs>
    </w:pPr>
  </w:style>
  <w:style w:type="character" w:customStyle="1" w:styleId="FooterChar">
    <w:name w:val="Footer Char"/>
    <w:basedOn w:val="DefaultParagraphFont"/>
    <w:link w:val="Footer"/>
    <w:uiPriority w:val="99"/>
    <w:rsid w:val="005A2A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77" w:hanging="360"/>
      <w:outlineLvl w:val="0"/>
    </w:pPr>
    <w:rPr>
      <w:rFonts w:ascii="Calibri" w:eastAsia="Calibri" w:hAnsi="Calibri"/>
      <w:b/>
      <w:bCs/>
      <w:sz w:val="28"/>
      <w:szCs w:val="28"/>
    </w:rPr>
  </w:style>
  <w:style w:type="paragraph" w:styleId="Heading2">
    <w:name w:val="heading 2"/>
    <w:basedOn w:val="Normal"/>
    <w:uiPriority w:val="1"/>
    <w:qFormat/>
    <w:pPr>
      <w:ind w:left="1917" w:hanging="360"/>
      <w:outlineLvl w:val="1"/>
    </w:pPr>
    <w:rPr>
      <w:rFonts w:ascii="Calibri" w:eastAsia="Calibri" w:hAnsi="Calibri"/>
      <w:b/>
      <w:bCs/>
      <w:sz w:val="24"/>
      <w:szCs w:val="24"/>
    </w:rPr>
  </w:style>
  <w:style w:type="paragraph" w:styleId="Heading3">
    <w:name w:val="heading 3"/>
    <w:basedOn w:val="Normal"/>
    <w:uiPriority w:val="1"/>
    <w:qFormat/>
    <w:pPr>
      <w:ind w:left="40"/>
      <w:outlineLvl w:val="2"/>
    </w:pPr>
    <w:rPr>
      <w:rFonts w:ascii="Calibri" w:eastAsia="Calibri" w:hAnsi="Calibri"/>
      <w:sz w:val="24"/>
      <w:szCs w:val="24"/>
    </w:rPr>
  </w:style>
  <w:style w:type="paragraph" w:styleId="Heading4">
    <w:name w:val="heading 4"/>
    <w:basedOn w:val="Normal"/>
    <w:uiPriority w:val="1"/>
    <w:qFormat/>
    <w:pPr>
      <w:ind w:left="117"/>
      <w:outlineLvl w:val="3"/>
    </w:pPr>
    <w:rPr>
      <w:rFonts w:ascii="Malgun Gothic" w:eastAsia="Malgun Gothic" w:hAnsi="Malgun Gothic"/>
      <w:b/>
      <w:bCs/>
      <w:i/>
      <w:sz w:val="21"/>
      <w:szCs w:val="21"/>
    </w:rPr>
  </w:style>
  <w:style w:type="paragraph" w:styleId="Heading5">
    <w:name w:val="heading 5"/>
    <w:basedOn w:val="Normal"/>
    <w:uiPriority w:val="1"/>
    <w:qFormat/>
    <w:pPr>
      <w:ind w:left="117"/>
      <w:outlineLvl w:val="4"/>
    </w:pPr>
    <w:rPr>
      <w:rFonts w:ascii="Malgun Gothic" w:eastAsia="Malgun Gothic" w:hAnsi="Malgun Gothic"/>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Malgun Gothic" w:eastAsia="Malgun Gothic" w:hAnsi="Malgun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5F18F9"/>
    <w:rPr>
      <w:sz w:val="20"/>
      <w:szCs w:val="20"/>
    </w:rPr>
  </w:style>
  <w:style w:type="character" w:customStyle="1" w:styleId="FootnoteTextChar">
    <w:name w:val="Footnote Text Char"/>
    <w:basedOn w:val="DefaultParagraphFont"/>
    <w:link w:val="FootnoteText"/>
    <w:uiPriority w:val="99"/>
    <w:rsid w:val="005F18F9"/>
    <w:rPr>
      <w:sz w:val="20"/>
      <w:szCs w:val="20"/>
    </w:rPr>
  </w:style>
  <w:style w:type="character" w:styleId="FootnoteReference">
    <w:name w:val="footnote reference"/>
    <w:basedOn w:val="DefaultParagraphFont"/>
    <w:uiPriority w:val="99"/>
    <w:semiHidden/>
    <w:unhideWhenUsed/>
    <w:rsid w:val="005F18F9"/>
    <w:rPr>
      <w:vertAlign w:val="superscript"/>
    </w:rPr>
  </w:style>
  <w:style w:type="paragraph" w:styleId="BalloonText">
    <w:name w:val="Balloon Text"/>
    <w:basedOn w:val="Normal"/>
    <w:link w:val="BalloonTextChar"/>
    <w:uiPriority w:val="99"/>
    <w:semiHidden/>
    <w:unhideWhenUsed/>
    <w:rsid w:val="008D7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AF"/>
    <w:rPr>
      <w:rFonts w:ascii="Segoe UI" w:hAnsi="Segoe UI" w:cs="Segoe UI"/>
      <w:sz w:val="18"/>
      <w:szCs w:val="18"/>
    </w:rPr>
  </w:style>
  <w:style w:type="paragraph" w:styleId="Header">
    <w:name w:val="header"/>
    <w:basedOn w:val="Normal"/>
    <w:link w:val="HeaderChar"/>
    <w:uiPriority w:val="99"/>
    <w:unhideWhenUsed/>
    <w:rsid w:val="005A2A40"/>
    <w:pPr>
      <w:tabs>
        <w:tab w:val="center" w:pos="4819"/>
        <w:tab w:val="right" w:pos="9638"/>
      </w:tabs>
    </w:pPr>
  </w:style>
  <w:style w:type="character" w:customStyle="1" w:styleId="HeaderChar">
    <w:name w:val="Header Char"/>
    <w:basedOn w:val="DefaultParagraphFont"/>
    <w:link w:val="Header"/>
    <w:uiPriority w:val="99"/>
    <w:rsid w:val="005A2A40"/>
  </w:style>
  <w:style w:type="paragraph" w:styleId="Footer">
    <w:name w:val="footer"/>
    <w:basedOn w:val="Normal"/>
    <w:link w:val="FooterChar"/>
    <w:uiPriority w:val="99"/>
    <w:unhideWhenUsed/>
    <w:rsid w:val="005A2A40"/>
    <w:pPr>
      <w:tabs>
        <w:tab w:val="center" w:pos="4819"/>
        <w:tab w:val="right" w:pos="9638"/>
      </w:tabs>
    </w:pPr>
  </w:style>
  <w:style w:type="character" w:customStyle="1" w:styleId="FooterChar">
    <w:name w:val="Footer Char"/>
    <w:basedOn w:val="DefaultParagraphFont"/>
    <w:link w:val="Footer"/>
    <w:uiPriority w:val="99"/>
    <w:rsid w:val="005A2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12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hyperlink" Target="http://ec.europa.eu/europe2020/pdf/csr2016/cr2016_italy_en.pdf" TargetMode="External"/><Relationship Id="rId11" Type="http://schemas.openxmlformats.org/officeDocument/2006/relationships/footer" Target="footer1.xml"/><Relationship Id="rId12" Type="http://schemas.openxmlformats.org/officeDocument/2006/relationships/hyperlink" Target="http://www.oecd.org/italy/Employment-Outlook-Italy-EN.pdf" TargetMode="External"/><Relationship Id="rId13" Type="http://schemas.openxmlformats.org/officeDocument/2006/relationships/hyperlink" Target="http://www.naspi.biz/anpal-il-portale-governativo-per-i-disoccupati/" TargetMode="External"/><Relationship Id="rId14" Type="http://schemas.openxmlformats.org/officeDocument/2006/relationships/hyperlink" Target="http://www.licenziamento.eu/" TargetMode="External"/><Relationship Id="rId15" Type="http://schemas.openxmlformats.org/officeDocument/2006/relationships/hyperlink" Target="http://www.licenziamento.eu/" TargetMode="External"/><Relationship Id="rId16" Type="http://schemas.openxmlformats.org/officeDocument/2006/relationships/hyperlink" Target="https://www.inps.it/portale/default.aspx?itemDir=9575&amp;amp;p7=2" TargetMode="External"/><Relationship Id="rId17" Type="http://schemas.openxmlformats.org/officeDocument/2006/relationships/hyperlink" Target="https://www.inps.it/portale/default.aspx?itemdir=11316" TargetMode="Externa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C72F-25B8-2E47-83DC-C6A70D4F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8641</Words>
  <Characters>49258</Characters>
  <Application>Microsoft Macintosh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57784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JVG</dc:creator>
  <cp:lastModifiedBy>JVG</cp:lastModifiedBy>
  <cp:revision>3</cp:revision>
  <cp:lastPrinted>2016-08-31T13:06:00Z</cp:lastPrinted>
  <dcterms:created xsi:type="dcterms:W3CDTF">2016-08-31T22:27:00Z</dcterms:created>
  <dcterms:modified xsi:type="dcterms:W3CDTF">2016-08-31T22:53:00Z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LastSaved">
    <vt:filetime>2016-08-31T00:00:00Z</vt:filetime>
  </property>
</Properties>
</file>