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D1658C" w14:textId="77777777" w:rsidR="008C0C1F" w:rsidRPr="001778B3" w:rsidRDefault="008C0C1F">
      <w:pPr>
        <w:rPr>
          <w:rFonts w:asciiTheme="majorHAnsi" w:hAnsiTheme="majorHAnsi"/>
          <w:b/>
          <w:lang w:val="en-GB"/>
        </w:rPr>
      </w:pPr>
      <w:r w:rsidRPr="001778B3">
        <w:rPr>
          <w:rFonts w:asciiTheme="majorHAnsi" w:hAnsiTheme="majorHAnsi"/>
          <w:b/>
          <w:noProof/>
          <w:lang w:val="en-US"/>
        </w:rPr>
        <w:drawing>
          <wp:anchor distT="0" distB="0" distL="114300" distR="114300" simplePos="0" relativeHeight="251658240" behindDoc="0" locked="0" layoutInCell="1" allowOverlap="1" wp14:anchorId="6BE151B0" wp14:editId="3E07AB93">
            <wp:simplePos x="0" y="0"/>
            <wp:positionH relativeFrom="column">
              <wp:posOffset>0</wp:posOffset>
            </wp:positionH>
            <wp:positionV relativeFrom="paragraph">
              <wp:posOffset>0</wp:posOffset>
            </wp:positionV>
            <wp:extent cx="1320800" cy="1320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extLst>
                        <a:ext uri="{28A0092B-C50C-407E-A947-70E740481C1C}">
                          <a14:useLocalDpi xmlns:a14="http://schemas.microsoft.com/office/drawing/2010/main" val="0"/>
                        </a:ext>
                      </a:extLst>
                    </a:blip>
                    <a:stretch>
                      <a:fillRect/>
                    </a:stretch>
                  </pic:blipFill>
                  <pic:spPr>
                    <a:xfrm>
                      <a:off x="0" y="0"/>
                      <a:ext cx="1320800" cy="1320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778B3">
        <w:rPr>
          <w:rFonts w:asciiTheme="majorHAnsi" w:hAnsiTheme="majorHAnsi"/>
          <w:b/>
          <w:lang w:val="en-GB"/>
        </w:rPr>
        <w:t>EU-CHINA SOCIAL PROTECTION REFORM PROJECT SPRP</w:t>
      </w:r>
    </w:p>
    <w:p w14:paraId="5531707E" w14:textId="77777777" w:rsidR="008C0C1F" w:rsidRPr="001778B3" w:rsidRDefault="008C0C1F">
      <w:pPr>
        <w:rPr>
          <w:rFonts w:asciiTheme="majorHAnsi" w:hAnsiTheme="majorHAnsi"/>
          <w:b/>
          <w:lang w:val="en-GB"/>
        </w:rPr>
      </w:pPr>
      <w:r w:rsidRPr="001778B3">
        <w:rPr>
          <w:rFonts w:asciiTheme="majorHAnsi" w:hAnsiTheme="majorHAnsi"/>
          <w:b/>
          <w:lang w:val="en-GB"/>
        </w:rPr>
        <w:t>HIGH LEVEL EVENT 2016</w:t>
      </w:r>
    </w:p>
    <w:p w14:paraId="64B57A4C" w14:textId="77777777" w:rsidR="008C0C1F" w:rsidRPr="001778B3" w:rsidRDefault="008C0C1F">
      <w:pPr>
        <w:rPr>
          <w:rFonts w:asciiTheme="majorHAnsi" w:hAnsiTheme="majorHAnsi"/>
          <w:b/>
          <w:lang w:val="en-GB"/>
        </w:rPr>
      </w:pPr>
      <w:r w:rsidRPr="001778B3">
        <w:rPr>
          <w:rFonts w:asciiTheme="majorHAnsi" w:hAnsiTheme="majorHAnsi"/>
          <w:b/>
          <w:lang w:val="en-GB"/>
        </w:rPr>
        <w:t xml:space="preserve">« PERSPECTIVE OF EMPLOYMENT POLICY AND SOCIAL SECURITY REFORM – 2016 TO 2020 », </w:t>
      </w:r>
    </w:p>
    <w:p w14:paraId="21219E5D" w14:textId="77777777" w:rsidR="008C0C1F" w:rsidRPr="001778B3" w:rsidRDefault="008C0C1F">
      <w:pPr>
        <w:rPr>
          <w:rFonts w:asciiTheme="majorHAnsi" w:hAnsiTheme="majorHAnsi"/>
          <w:b/>
          <w:lang w:val="en-GB"/>
        </w:rPr>
      </w:pPr>
      <w:r w:rsidRPr="001778B3">
        <w:rPr>
          <w:rFonts w:asciiTheme="majorHAnsi" w:hAnsiTheme="majorHAnsi"/>
          <w:b/>
          <w:lang w:val="en-GB"/>
        </w:rPr>
        <w:t>BEIJING 28 TO 29 SEPTEMBER 2016</w:t>
      </w:r>
    </w:p>
    <w:p w14:paraId="21C506B7" w14:textId="65410B61" w:rsidR="00741E30" w:rsidRPr="001778B3" w:rsidRDefault="008C0C1F">
      <w:pPr>
        <w:rPr>
          <w:rFonts w:asciiTheme="majorHAnsi" w:hAnsiTheme="majorHAnsi"/>
          <w:sz w:val="44"/>
          <w:szCs w:val="44"/>
          <w:lang w:val="en-GB"/>
        </w:rPr>
      </w:pPr>
      <w:r w:rsidRPr="001778B3">
        <w:rPr>
          <w:rFonts w:asciiTheme="majorHAnsi" w:hAnsiTheme="majorHAnsi"/>
          <w:sz w:val="44"/>
          <w:szCs w:val="44"/>
          <w:lang w:val="en-GB"/>
        </w:rPr>
        <w:t xml:space="preserve">COUNTRY PROFILE </w:t>
      </w:r>
      <w:r w:rsidR="00C16FA2">
        <w:rPr>
          <w:rFonts w:asciiTheme="majorHAnsi" w:hAnsiTheme="majorHAnsi"/>
          <w:sz w:val="44"/>
          <w:szCs w:val="44"/>
          <w:lang w:val="en-GB"/>
        </w:rPr>
        <w:t>Poland</w:t>
      </w:r>
    </w:p>
    <w:p w14:paraId="1E9F6569" w14:textId="77777777" w:rsidR="008C0C1F" w:rsidRPr="001778B3" w:rsidRDefault="008C0C1F">
      <w:pPr>
        <w:rPr>
          <w:rFonts w:asciiTheme="majorHAnsi" w:hAnsiTheme="majorHAnsi"/>
          <w:sz w:val="44"/>
          <w:szCs w:val="44"/>
          <w:lang w:val="en-GB"/>
        </w:rPr>
      </w:pPr>
    </w:p>
    <w:p w14:paraId="64023932" w14:textId="1AC4042F" w:rsidR="008C0C1F" w:rsidRPr="00F91AFF" w:rsidRDefault="008C0C1F" w:rsidP="001B45F2">
      <w:pPr>
        <w:pStyle w:val="ListParagraph"/>
        <w:numPr>
          <w:ilvl w:val="0"/>
          <w:numId w:val="1"/>
        </w:numPr>
        <w:tabs>
          <w:tab w:val="left" w:pos="426"/>
        </w:tabs>
        <w:ind w:left="0" w:firstLine="0"/>
        <w:rPr>
          <w:rFonts w:asciiTheme="majorHAnsi" w:hAnsiTheme="majorHAnsi"/>
          <w:b/>
          <w:sz w:val="28"/>
          <w:szCs w:val="28"/>
          <w:lang w:val="en-GB"/>
        </w:rPr>
      </w:pPr>
      <w:r w:rsidRPr="00F91AFF">
        <w:rPr>
          <w:rFonts w:asciiTheme="majorHAnsi" w:hAnsiTheme="majorHAnsi"/>
          <w:b/>
          <w:sz w:val="28"/>
          <w:szCs w:val="28"/>
          <w:lang w:val="en-GB"/>
        </w:rPr>
        <w:t>MACRO-ECONOMIC SITUATION DURING THE PERIOD 2016-202</w:t>
      </w:r>
      <w:r w:rsidR="00CE635C">
        <w:rPr>
          <w:rFonts w:asciiTheme="majorHAnsi" w:hAnsiTheme="majorHAnsi"/>
          <w:b/>
          <w:sz w:val="28"/>
          <w:szCs w:val="28"/>
          <w:lang w:val="en-GB"/>
        </w:rPr>
        <w:t>0</w:t>
      </w:r>
    </w:p>
    <w:p w14:paraId="4D6F755C" w14:textId="40F65C90" w:rsidR="00860EA6" w:rsidRDefault="008C0C1F" w:rsidP="00860EA6">
      <w:pPr>
        <w:widowControl w:val="0"/>
        <w:autoSpaceDE w:val="0"/>
        <w:autoSpaceDN w:val="0"/>
        <w:adjustRightInd w:val="0"/>
        <w:ind w:left="360"/>
        <w:rPr>
          <w:rFonts w:asciiTheme="majorHAnsi" w:hAnsiTheme="majorHAnsi" w:cs="Arial"/>
          <w:color w:val="262626"/>
          <w:sz w:val="28"/>
          <w:szCs w:val="28"/>
          <w:lang w:val="en-GB"/>
        </w:rPr>
      </w:pPr>
      <w:r w:rsidRPr="001778B3">
        <w:rPr>
          <w:rFonts w:asciiTheme="majorHAnsi" w:hAnsiTheme="majorHAnsi" w:cs="Arial"/>
          <w:color w:val="262626"/>
          <w:sz w:val="28"/>
          <w:szCs w:val="28"/>
          <w:lang w:val="en-GB"/>
        </w:rPr>
        <w:t xml:space="preserve">(SOURCE: </w:t>
      </w:r>
      <w:r w:rsidR="001778B3" w:rsidRPr="001778B3">
        <w:rPr>
          <w:rFonts w:asciiTheme="majorHAnsi" w:hAnsiTheme="majorHAnsi" w:cs="Arial"/>
          <w:color w:val="262626"/>
          <w:sz w:val="28"/>
          <w:szCs w:val="28"/>
          <w:lang w:val="en-GB"/>
        </w:rPr>
        <w:t xml:space="preserve">National reform programme 2015 – contribution to the Europe 2020 </w:t>
      </w:r>
      <w:proofErr w:type="gramStart"/>
      <w:r w:rsidR="001778B3" w:rsidRPr="001778B3">
        <w:rPr>
          <w:rFonts w:asciiTheme="majorHAnsi" w:hAnsiTheme="majorHAnsi" w:cs="Arial"/>
          <w:color w:val="262626"/>
          <w:sz w:val="28"/>
          <w:szCs w:val="28"/>
          <w:lang w:val="en-GB"/>
        </w:rPr>
        <w:t xml:space="preserve">Strategy  </w:t>
      </w:r>
      <w:proofErr w:type="gramEnd"/>
      <w:r w:rsidR="00007D72">
        <w:fldChar w:fldCharType="begin"/>
      </w:r>
      <w:r w:rsidR="00007D72">
        <w:instrText xml:space="preserve"> HYPERLINK "http://ec.europa.eu/europe2020/pdf/csr2016/cr2016_poland_en.pdf" </w:instrText>
      </w:r>
      <w:r w:rsidR="00007D72">
        <w:fldChar w:fldCharType="separate"/>
      </w:r>
      <w:r w:rsidR="00860EA6" w:rsidRPr="007F3DC1">
        <w:rPr>
          <w:rStyle w:val="Hyperlink"/>
        </w:rPr>
        <w:t>http://ec.europa.eu/europe2020/pdf/csr2016/cr2016_poland_en.pdf</w:t>
      </w:r>
      <w:r w:rsidR="00007D72">
        <w:rPr>
          <w:rStyle w:val="Hyperlink"/>
        </w:rPr>
        <w:fldChar w:fldCharType="end"/>
      </w:r>
      <w:r w:rsidRPr="001778B3">
        <w:rPr>
          <w:rFonts w:asciiTheme="majorHAnsi" w:hAnsiTheme="majorHAnsi" w:cs="Arial"/>
          <w:color w:val="262626"/>
          <w:sz w:val="28"/>
          <w:szCs w:val="28"/>
          <w:lang w:val="en-GB"/>
        </w:rPr>
        <w:t>)</w:t>
      </w:r>
    </w:p>
    <w:p w14:paraId="51D862FF" w14:textId="77777777" w:rsidR="00860EA6" w:rsidRDefault="00860EA6" w:rsidP="00860EA6">
      <w:pPr>
        <w:widowControl w:val="0"/>
        <w:autoSpaceDE w:val="0"/>
        <w:autoSpaceDN w:val="0"/>
        <w:adjustRightInd w:val="0"/>
        <w:rPr>
          <w:rFonts w:asciiTheme="majorHAnsi" w:hAnsiTheme="majorHAnsi" w:cs="Arial"/>
          <w:b/>
          <w:bCs/>
          <w:color w:val="262626"/>
          <w:sz w:val="28"/>
          <w:szCs w:val="28"/>
          <w:lang w:val="en-US"/>
        </w:rPr>
      </w:pPr>
    </w:p>
    <w:p w14:paraId="3B649CBF" w14:textId="77777777" w:rsidR="00860EA6" w:rsidRPr="00F42A7C" w:rsidRDefault="00860EA6" w:rsidP="000B5A4D">
      <w:pPr>
        <w:widowControl w:val="0"/>
        <w:autoSpaceDE w:val="0"/>
        <w:autoSpaceDN w:val="0"/>
        <w:adjustRightInd w:val="0"/>
        <w:spacing w:line="276" w:lineRule="auto"/>
        <w:jc w:val="both"/>
        <w:rPr>
          <w:rFonts w:ascii="Times New Roman" w:hAnsi="Times New Roman" w:cs="Times New Roman"/>
          <w:color w:val="262626"/>
          <w:lang w:val="en-US"/>
        </w:rPr>
      </w:pPr>
      <w:r w:rsidRPr="00F42A7C">
        <w:rPr>
          <w:rFonts w:ascii="Times New Roman" w:hAnsi="Times New Roman" w:cs="Times New Roman"/>
          <w:bCs/>
          <w:color w:val="262626"/>
          <w:lang w:val="en-US"/>
        </w:rPr>
        <w:t xml:space="preserve">The Polish economy continues to experience a stable economic expansion. </w:t>
      </w:r>
      <w:r w:rsidRPr="00F42A7C">
        <w:rPr>
          <w:rFonts w:ascii="Times New Roman" w:hAnsi="Times New Roman" w:cs="Times New Roman"/>
          <w:color w:val="262626"/>
          <w:lang w:val="en-US"/>
        </w:rPr>
        <w:t xml:space="preserve">Driven by domestic demand, real GDP is expected to grow at robust rates of </w:t>
      </w:r>
      <w:proofErr w:type="gramStart"/>
      <w:r w:rsidRPr="00F42A7C">
        <w:rPr>
          <w:rFonts w:ascii="Times New Roman" w:hAnsi="Times New Roman" w:cs="Times New Roman"/>
          <w:color w:val="262626"/>
          <w:lang w:val="en-US"/>
        </w:rPr>
        <w:t>3 ½</w:t>
      </w:r>
      <w:proofErr w:type="gramEnd"/>
      <w:r w:rsidRPr="00F42A7C">
        <w:rPr>
          <w:rFonts w:ascii="Times New Roman" w:hAnsi="Times New Roman" w:cs="Times New Roman"/>
          <w:color w:val="262626"/>
          <w:lang w:val="en-US"/>
        </w:rPr>
        <w:t xml:space="preserve"> % per year in 2016 and 2017, well above the EU average. These growth rates will add to a long period of uninterrupted economic expansion, stretching as far back as 1992 — with Poland being the only EU country that weathered the post-2007 global financial and economic crises without undergoing any recession. </w:t>
      </w:r>
    </w:p>
    <w:p w14:paraId="5E89F99E" w14:textId="6E3A0587" w:rsidR="00F42A7C" w:rsidRPr="00F42A7C" w:rsidRDefault="00860EA6" w:rsidP="000B5A4D">
      <w:pPr>
        <w:widowControl w:val="0"/>
        <w:autoSpaceDE w:val="0"/>
        <w:autoSpaceDN w:val="0"/>
        <w:adjustRightInd w:val="0"/>
        <w:spacing w:line="276" w:lineRule="auto"/>
        <w:jc w:val="both"/>
        <w:rPr>
          <w:rFonts w:ascii="Times New Roman" w:hAnsi="Times New Roman" w:cs="Times New Roman"/>
          <w:color w:val="262626"/>
          <w:lang w:val="en-US"/>
        </w:rPr>
      </w:pPr>
      <w:r w:rsidRPr="00F42A7C">
        <w:rPr>
          <w:rFonts w:ascii="Times New Roman" w:hAnsi="Times New Roman" w:cs="Times New Roman"/>
          <w:bCs/>
          <w:color w:val="262626"/>
          <w:lang w:val="en-US"/>
        </w:rPr>
        <w:t xml:space="preserve">The gap in living standards and employment between Poland and the EU average has narrowed significantly, but challenges remain. </w:t>
      </w:r>
      <w:r w:rsidRPr="00F42A7C">
        <w:rPr>
          <w:rFonts w:ascii="Times New Roman" w:hAnsi="Times New Roman" w:cs="Times New Roman"/>
          <w:color w:val="262626"/>
          <w:lang w:val="en-US"/>
        </w:rPr>
        <w:t xml:space="preserve">In 2014, Poland's GDP per capita expressed in purchasing power standards reached 68 % of the EU average, up from 53 % in 2007. Total employment has been picking up since 2013, reaching all-time highs and pushing down unemployment. Despite this significant progress, the employment rate is still below the EU average. This gap is mostly explained by significantly lower participation rates of women and the low skilled. At the same time, the weight of the agricultural sector in total employment remains high and declines only slowly. The unemployment rate has also been decreasing and was back to pre-crisis levels. Yet, long-term unemployment accounts for about 40 % of the total. The country continues to experience rapid ageing and strong outward migration. </w:t>
      </w:r>
    </w:p>
    <w:p w14:paraId="6BC8D073" w14:textId="77777777" w:rsidR="00860EA6" w:rsidRPr="00F42A7C" w:rsidRDefault="00860EA6" w:rsidP="000B5A4D">
      <w:pPr>
        <w:widowControl w:val="0"/>
        <w:autoSpaceDE w:val="0"/>
        <w:autoSpaceDN w:val="0"/>
        <w:adjustRightInd w:val="0"/>
        <w:spacing w:line="276" w:lineRule="auto"/>
        <w:jc w:val="both"/>
        <w:rPr>
          <w:rFonts w:ascii="Times New Roman" w:hAnsi="Times New Roman" w:cs="Times New Roman"/>
          <w:color w:val="262626"/>
          <w:lang w:val="en-US"/>
        </w:rPr>
      </w:pPr>
      <w:r w:rsidRPr="00F42A7C">
        <w:rPr>
          <w:rFonts w:ascii="Times New Roman" w:hAnsi="Times New Roman" w:cs="Times New Roman"/>
          <w:bCs/>
          <w:color w:val="262626"/>
          <w:lang w:val="en-US"/>
        </w:rPr>
        <w:t xml:space="preserve">The overall economic outlook remains positive, while domestic risks are emerging. </w:t>
      </w:r>
      <w:r w:rsidRPr="00F42A7C">
        <w:rPr>
          <w:rFonts w:ascii="Times New Roman" w:hAnsi="Times New Roman" w:cs="Times New Roman"/>
          <w:color w:val="262626"/>
          <w:lang w:val="en-US"/>
        </w:rPr>
        <w:t xml:space="preserve">Private consumption is set to remain the dominant growth driver, given rising wages, employment and fiscal transfers. Private investment is expected to grow strongly as a result of an already high degree of capacity </w:t>
      </w:r>
      <w:proofErr w:type="spellStart"/>
      <w:r w:rsidRPr="00F42A7C">
        <w:rPr>
          <w:rFonts w:ascii="Times New Roman" w:hAnsi="Times New Roman" w:cs="Times New Roman"/>
          <w:color w:val="262626"/>
          <w:lang w:val="en-US"/>
        </w:rPr>
        <w:t>utilisation</w:t>
      </w:r>
      <w:proofErr w:type="spellEnd"/>
      <w:r w:rsidRPr="00F42A7C">
        <w:rPr>
          <w:rFonts w:ascii="Times New Roman" w:hAnsi="Times New Roman" w:cs="Times New Roman"/>
          <w:color w:val="262626"/>
          <w:lang w:val="en-US"/>
        </w:rPr>
        <w:t xml:space="preserve">. Profit margins are set to remain strong but certain policy decisions taken or announced after the last general election may affect business confidence and investment. A new tax on the assets of financial institutions is likely to weigh on investment if banks respond by adjusting their lending rates to compensate for the impact on their profitability. Public investment is expected to remain strong, partly due to the government's objective to increase the investment rate. How this objective will be reconciled with higher current expenditure and domestic and EU fiscal rules still needs to be detailed. Deflation is forecast to end in 2016 but price pressures are expected to remain limited until 2017. After several years of adjustment, the current account deficit is expected to have almost closed in 2015, thanks to the strong performance of merchandise exports driven by the country's cost-competitiveness, in spite of negative developments in </w:t>
      </w:r>
      <w:proofErr w:type="spellStart"/>
      <w:r w:rsidRPr="00F42A7C">
        <w:rPr>
          <w:rFonts w:ascii="Times New Roman" w:hAnsi="Times New Roman" w:cs="Times New Roman"/>
          <w:color w:val="262626"/>
          <w:lang w:val="en-US"/>
        </w:rPr>
        <w:t>neighbouring</w:t>
      </w:r>
      <w:proofErr w:type="spellEnd"/>
      <w:r w:rsidRPr="00F42A7C">
        <w:rPr>
          <w:rFonts w:ascii="Times New Roman" w:hAnsi="Times New Roman" w:cs="Times New Roman"/>
          <w:color w:val="262626"/>
          <w:lang w:val="en-US"/>
        </w:rPr>
        <w:t xml:space="preserve"> markets. </w:t>
      </w:r>
    </w:p>
    <w:p w14:paraId="0339B8CC" w14:textId="77777777" w:rsidR="00860EA6" w:rsidRPr="00F42A7C" w:rsidRDefault="00860EA6" w:rsidP="000B5A4D">
      <w:pPr>
        <w:widowControl w:val="0"/>
        <w:autoSpaceDE w:val="0"/>
        <w:autoSpaceDN w:val="0"/>
        <w:adjustRightInd w:val="0"/>
        <w:spacing w:line="276" w:lineRule="auto"/>
        <w:jc w:val="both"/>
        <w:rPr>
          <w:rFonts w:ascii="Times New Roman" w:hAnsi="Times New Roman" w:cs="Times New Roman"/>
          <w:color w:val="262626"/>
          <w:lang w:val="en-US"/>
        </w:rPr>
      </w:pPr>
      <w:r w:rsidRPr="00F42A7C">
        <w:rPr>
          <w:rFonts w:ascii="Times New Roman" w:hAnsi="Times New Roman" w:cs="Times New Roman"/>
          <w:color w:val="262626"/>
          <w:lang w:val="en-US"/>
        </w:rPr>
        <w:t xml:space="preserve">Regarding the progress in reaching the national targets under the Europe 2020 Strategy, Poland is performing well in reducing the greenhouse gases, energy efficiency and tertiary education, while more effort is needed increasing the employment rate, R&amp;D investment, renewable energy, and reducing early school leaving and poverty. </w:t>
      </w:r>
    </w:p>
    <w:p w14:paraId="2EF437EC" w14:textId="77777777" w:rsidR="00C507C0" w:rsidRPr="00C507C0" w:rsidRDefault="00C507C0" w:rsidP="00860EA6">
      <w:pPr>
        <w:widowControl w:val="0"/>
        <w:autoSpaceDE w:val="0"/>
        <w:autoSpaceDN w:val="0"/>
        <w:adjustRightInd w:val="0"/>
        <w:rPr>
          <w:lang w:val="en-US"/>
        </w:rPr>
      </w:pPr>
    </w:p>
    <w:p w14:paraId="37797223" w14:textId="161EC9B0" w:rsidR="00723016" w:rsidRPr="00723016" w:rsidRDefault="003E3104" w:rsidP="00723016">
      <w:pPr>
        <w:pStyle w:val="NormalWeb"/>
        <w:numPr>
          <w:ilvl w:val="0"/>
          <w:numId w:val="1"/>
        </w:numPr>
        <w:ind w:left="426"/>
        <w:rPr>
          <w:rFonts w:asciiTheme="majorHAnsi" w:hAnsiTheme="majorHAnsi"/>
          <w:b/>
          <w:sz w:val="28"/>
          <w:szCs w:val="28"/>
          <w:lang w:val="en-AU"/>
        </w:rPr>
      </w:pPr>
      <w:r w:rsidRPr="00F91AFF">
        <w:rPr>
          <w:rFonts w:asciiTheme="majorHAnsi" w:hAnsiTheme="majorHAnsi"/>
          <w:b/>
          <w:sz w:val="28"/>
          <w:szCs w:val="28"/>
          <w:lang w:val="en-AU"/>
        </w:rPr>
        <w:lastRenderedPageBreak/>
        <w:t>LABOUR MARKET POLICIES</w:t>
      </w:r>
    </w:p>
    <w:p w14:paraId="28D70AE8" w14:textId="5161CC9A" w:rsidR="00723016" w:rsidRPr="00B050ED" w:rsidRDefault="00595350" w:rsidP="00723016">
      <w:pPr>
        <w:pStyle w:val="ListParagraph"/>
        <w:numPr>
          <w:ilvl w:val="1"/>
          <w:numId w:val="1"/>
        </w:numPr>
        <w:tabs>
          <w:tab w:val="left" w:pos="426"/>
          <w:tab w:val="right" w:pos="9072"/>
        </w:tabs>
        <w:spacing w:after="120" w:line="360" w:lineRule="auto"/>
        <w:jc w:val="both"/>
        <w:rPr>
          <w:rFonts w:asciiTheme="majorHAnsi" w:hAnsiTheme="majorHAnsi"/>
          <w:b/>
          <w:lang w:val="en-US"/>
        </w:rPr>
      </w:pPr>
      <w:r w:rsidRPr="00B050ED">
        <w:rPr>
          <w:rFonts w:asciiTheme="majorHAnsi" w:hAnsiTheme="majorHAnsi"/>
          <w:b/>
          <w:lang w:val="en-US"/>
        </w:rPr>
        <w:t xml:space="preserve">IMPROVING THE FUNCTIONING OF THE LABOUR MARKET </w:t>
      </w:r>
    </w:p>
    <w:p w14:paraId="57202029" w14:textId="77777777" w:rsidR="00280E2F" w:rsidRPr="00280E2F" w:rsidRDefault="00280E2F" w:rsidP="00E35611">
      <w:pPr>
        <w:spacing w:line="276" w:lineRule="auto"/>
        <w:jc w:val="both"/>
        <w:rPr>
          <w:rFonts w:ascii="Times New Roman" w:eastAsia="Times New Roman" w:hAnsi="Times New Roman" w:cs="Times New Roman"/>
          <w:lang w:val="en-US" w:eastAsia="pl-PL"/>
        </w:rPr>
      </w:pPr>
      <w:r w:rsidRPr="00280E2F">
        <w:rPr>
          <w:rFonts w:ascii="Times New Roman" w:eastAsia="Times New Roman" w:hAnsi="Times New Roman" w:cs="Times New Roman"/>
          <w:lang w:val="en-US" w:eastAsia="pl-PL"/>
        </w:rPr>
        <w:t xml:space="preserve">In 2016 the number of new jobs remains slightly higher than the number of jobs lost. In 2015 595.8 thousand new jobs were created (of which 9% in the public sector, and 91% in the private sector), whereas 317.6 thousand jobs were lost, mainly in the private sector (88.3%). </w:t>
      </w:r>
    </w:p>
    <w:p w14:paraId="067E9AD7" w14:textId="0666B20A" w:rsidR="00280E2F" w:rsidRPr="00280E2F" w:rsidRDefault="00280E2F" w:rsidP="00E35611">
      <w:pPr>
        <w:spacing w:line="276" w:lineRule="auto"/>
        <w:jc w:val="both"/>
        <w:rPr>
          <w:rFonts w:ascii="Times New Roman" w:eastAsia="Times New Roman" w:hAnsi="Times New Roman" w:cs="Times New Roman"/>
          <w:lang w:val="en-US" w:eastAsia="pl-PL"/>
        </w:rPr>
      </w:pPr>
      <w:r w:rsidRPr="00280E2F">
        <w:rPr>
          <w:rFonts w:ascii="Times New Roman" w:eastAsia="Times New Roman" w:hAnsi="Times New Roman" w:cs="Times New Roman"/>
          <w:lang w:val="en-US" w:eastAsia="pl-PL"/>
        </w:rPr>
        <w:t xml:space="preserve">The registered unemployment rate at the end of June this year amounted to 8.8% and was by 1.4 </w:t>
      </w:r>
      <w:proofErr w:type="spellStart"/>
      <w:r w:rsidRPr="00280E2F">
        <w:rPr>
          <w:rFonts w:ascii="Times New Roman" w:eastAsia="Times New Roman" w:hAnsi="Times New Roman" w:cs="Times New Roman"/>
          <w:lang w:val="en-US" w:eastAsia="pl-PL"/>
        </w:rPr>
        <w:t>pps</w:t>
      </w:r>
      <w:proofErr w:type="spellEnd"/>
      <w:r w:rsidRPr="00280E2F">
        <w:rPr>
          <w:rFonts w:ascii="Times New Roman" w:eastAsia="Times New Roman" w:hAnsi="Times New Roman" w:cs="Times New Roman"/>
          <w:lang w:val="en-US" w:eastAsia="pl-PL"/>
        </w:rPr>
        <w:t xml:space="preserve"> lower than the previous year. However, it needs to be stressed that in the last 24 years the unemployment rate in June was never lower than the one noted in June this year. Therefore, given the </w:t>
      </w:r>
      <w:r w:rsidR="0073574E" w:rsidRPr="00280E2F">
        <w:rPr>
          <w:rFonts w:ascii="Times New Roman" w:eastAsia="Times New Roman" w:hAnsi="Times New Roman" w:cs="Times New Roman"/>
          <w:lang w:val="en-US" w:eastAsia="pl-PL"/>
        </w:rPr>
        <w:t>above-mentioned</w:t>
      </w:r>
      <w:r w:rsidRPr="00280E2F">
        <w:rPr>
          <w:rFonts w:ascii="Times New Roman" w:eastAsia="Times New Roman" w:hAnsi="Times New Roman" w:cs="Times New Roman"/>
          <w:lang w:val="en-US" w:eastAsia="pl-PL"/>
        </w:rPr>
        <w:t xml:space="preserve"> positive developments, prospects are also optimistic. The period of seasonal unemployment drop began in March and is likely to last until the end of October. By the end of 2016, the unemployment rate is likely to amount to less than 9%, which will be the lowest value of the unemployment indicator noted at the end of the year, taking into account the data since 1991. </w:t>
      </w:r>
    </w:p>
    <w:p w14:paraId="4206EAB2" w14:textId="77777777" w:rsidR="00280E2F" w:rsidRPr="00280E2F" w:rsidRDefault="00280E2F" w:rsidP="00E35611">
      <w:pPr>
        <w:spacing w:line="276" w:lineRule="auto"/>
        <w:jc w:val="both"/>
        <w:rPr>
          <w:rFonts w:ascii="Times New Roman" w:eastAsia="Times New Roman" w:hAnsi="Times New Roman" w:cs="Times New Roman"/>
          <w:lang w:val="en-US" w:eastAsia="pl-PL"/>
        </w:rPr>
      </w:pPr>
      <w:r w:rsidRPr="00280E2F">
        <w:rPr>
          <w:rFonts w:ascii="Times New Roman" w:eastAsia="Times New Roman" w:hAnsi="Times New Roman" w:cs="Times New Roman"/>
          <w:lang w:val="en-US" w:eastAsia="pl-PL"/>
        </w:rPr>
        <w:t>Obviously, the decrease in the unemployment rate results from a systematic drop in the number of unemployed registered in labour offices. In2014 this decrease amounted to 15.4%, and in 2015 – to 14.3%. At the end of June this year, the number of unemployed registered in labour offices was by 229.8 thousand lower than the previous year and amounted to 1,392.5 thousand of people, which means a decrease by 14.2%. Unemployment at this level in June has not been noted since the beginning of the 1990s.</w:t>
      </w:r>
    </w:p>
    <w:p w14:paraId="1E66782C" w14:textId="77777777" w:rsidR="00280E2F" w:rsidRPr="00280E2F" w:rsidRDefault="00280E2F" w:rsidP="00E35611">
      <w:pPr>
        <w:spacing w:line="276" w:lineRule="auto"/>
        <w:jc w:val="both"/>
        <w:rPr>
          <w:rFonts w:ascii="Times New Roman" w:eastAsia="Times New Roman" w:hAnsi="Times New Roman" w:cs="Times New Roman"/>
          <w:lang w:val="en-US" w:eastAsia="pl-PL"/>
        </w:rPr>
      </w:pPr>
      <w:r w:rsidRPr="00280E2F">
        <w:rPr>
          <w:rFonts w:ascii="Times New Roman" w:eastAsia="Times New Roman" w:hAnsi="Times New Roman" w:cs="Times New Roman"/>
          <w:lang w:val="en-US" w:eastAsia="pl-PL"/>
        </w:rPr>
        <w:t>At the end of June this year, 193,5 thousand of the registered unemployed had the right to an unemployment benefit; they accounted for 13.9% of all registered unemployed. The number of the unemployed decreased by 33.8 thousand persons, i.e. by 14.9%, as compared to April 2015.</w:t>
      </w:r>
    </w:p>
    <w:p w14:paraId="5C1CEABA" w14:textId="77777777" w:rsidR="00280E2F" w:rsidRPr="00280E2F" w:rsidRDefault="00280E2F" w:rsidP="00E35611">
      <w:pPr>
        <w:spacing w:line="276" w:lineRule="auto"/>
        <w:jc w:val="both"/>
        <w:rPr>
          <w:rFonts w:ascii="Times New Roman" w:eastAsia="Times New Roman" w:hAnsi="Times New Roman" w:cs="Times New Roman"/>
          <w:lang w:val="en-US" w:eastAsia="pl-PL"/>
        </w:rPr>
      </w:pPr>
      <w:r w:rsidRPr="00280E2F">
        <w:rPr>
          <w:rFonts w:ascii="Times New Roman" w:eastAsia="Times New Roman" w:hAnsi="Times New Roman" w:cs="Times New Roman"/>
          <w:lang w:val="en-US" w:eastAsia="pl-PL"/>
        </w:rPr>
        <w:t xml:space="preserve">The decrease in unemployment was mainly caused by the growing number of job offers available at labour offices and the increase in the number of the activated unemployed. </w:t>
      </w:r>
    </w:p>
    <w:p w14:paraId="5C65CAFE" w14:textId="77777777" w:rsidR="00280E2F" w:rsidRPr="00280E2F" w:rsidRDefault="00280E2F" w:rsidP="00E35611">
      <w:pPr>
        <w:spacing w:line="276" w:lineRule="auto"/>
        <w:jc w:val="both"/>
        <w:rPr>
          <w:rFonts w:ascii="Times New Roman" w:eastAsia="Times New Roman" w:hAnsi="Times New Roman" w:cs="Times New Roman"/>
          <w:lang w:val="en-US" w:eastAsia="pl-PL"/>
        </w:rPr>
      </w:pPr>
      <w:r w:rsidRPr="00280E2F">
        <w:rPr>
          <w:rFonts w:ascii="Times New Roman" w:eastAsia="Times New Roman" w:hAnsi="Times New Roman" w:cs="Times New Roman"/>
          <w:lang w:val="en-US" w:eastAsia="pl-PL"/>
        </w:rPr>
        <w:t xml:space="preserve">In 2015 employers submitted 1,279 job offers to labour offices, which is a 16.8% increase compared to 2014, whereas the number of job offers submitted by employers to labour offices within six months of this year amounted to 770.8 thousand and increased by 134.2 thousand, i.e. by 21.1%, compared to the analogous period in 2015. It is worth </w:t>
      </w:r>
      <w:proofErr w:type="spellStart"/>
      <w:r w:rsidRPr="00280E2F">
        <w:rPr>
          <w:rFonts w:ascii="Times New Roman" w:eastAsia="Times New Roman" w:hAnsi="Times New Roman" w:cs="Times New Roman"/>
          <w:lang w:val="en-US" w:eastAsia="pl-PL"/>
        </w:rPr>
        <w:t>emphasising</w:t>
      </w:r>
      <w:proofErr w:type="spellEnd"/>
      <w:r w:rsidRPr="00280E2F">
        <w:rPr>
          <w:rFonts w:ascii="Times New Roman" w:eastAsia="Times New Roman" w:hAnsi="Times New Roman" w:cs="Times New Roman"/>
          <w:lang w:val="en-US" w:eastAsia="pl-PL"/>
        </w:rPr>
        <w:t xml:space="preserve"> that labour offices have not had so many job offers at their disposal in the period between January and May for many years. </w:t>
      </w:r>
    </w:p>
    <w:p w14:paraId="482961EB" w14:textId="3B9AD1B2" w:rsidR="00280E2F" w:rsidRPr="00280E2F" w:rsidRDefault="00280E2F" w:rsidP="00E35611">
      <w:pPr>
        <w:spacing w:line="276" w:lineRule="auto"/>
        <w:jc w:val="both"/>
        <w:rPr>
          <w:rFonts w:ascii="Times New Roman" w:eastAsia="Times New Roman" w:hAnsi="Times New Roman" w:cs="Times New Roman"/>
          <w:lang w:val="en-US" w:eastAsia="pl-PL"/>
        </w:rPr>
      </w:pPr>
      <w:r w:rsidRPr="00280E2F">
        <w:rPr>
          <w:rFonts w:ascii="Times New Roman" w:eastAsia="Times New Roman" w:hAnsi="Times New Roman" w:cs="Times New Roman"/>
          <w:lang w:val="en-US" w:eastAsia="pl-PL"/>
        </w:rPr>
        <w:t xml:space="preserve">Undoubtedly, intensive activation measures also had an impact on the clearly better situation on the labour </w:t>
      </w:r>
      <w:r w:rsidR="00E27B90" w:rsidRPr="00280E2F">
        <w:rPr>
          <w:rFonts w:ascii="Times New Roman" w:eastAsia="Times New Roman" w:hAnsi="Times New Roman" w:cs="Times New Roman"/>
          <w:lang w:val="en-US" w:eastAsia="pl-PL"/>
        </w:rPr>
        <w:t>market. In</w:t>
      </w:r>
      <w:r w:rsidRPr="00280E2F">
        <w:rPr>
          <w:rFonts w:ascii="Times New Roman" w:eastAsia="Times New Roman" w:hAnsi="Times New Roman" w:cs="Times New Roman"/>
          <w:lang w:val="en-US" w:eastAsia="pl-PL"/>
        </w:rPr>
        <w:t xml:space="preserve"> 2015, 516.5 thousand unemployed were activated (an increase by 2.3% compared to 2014). In the first half of this year 291 thousand unemployed benefited from the labour market activation programmes and they accounted for 23.2% of the people who stopped being unemployed in that period. The number of activated persons increased by 32.6 thousand persons, i.e. by 12.6%, as compared to the analogous period in 2015. </w:t>
      </w:r>
    </w:p>
    <w:p w14:paraId="769E4092" w14:textId="77777777" w:rsidR="00280E2F" w:rsidRPr="00280E2F" w:rsidRDefault="00280E2F" w:rsidP="00E35611">
      <w:pPr>
        <w:spacing w:line="276" w:lineRule="auto"/>
        <w:jc w:val="both"/>
        <w:rPr>
          <w:rFonts w:ascii="Times New Roman" w:eastAsia="Times New Roman" w:hAnsi="Times New Roman" w:cs="Times New Roman"/>
          <w:lang w:val="en-US" w:eastAsia="pl-PL"/>
        </w:rPr>
      </w:pPr>
      <w:r w:rsidRPr="00280E2F">
        <w:rPr>
          <w:rFonts w:ascii="Times New Roman" w:eastAsia="Times New Roman" w:hAnsi="Times New Roman" w:cs="Times New Roman"/>
          <w:lang w:val="en-US" w:eastAsia="pl-PL"/>
        </w:rPr>
        <w:t>At the same time, by means of the amendment of the Act of 20 April 2004 on employment promotion and labour market institutions, which entered into force in May 2014, the labour market, including labour offices, was deeply reformed. As part of this reform, several new solutions were introduced concerning:</w:t>
      </w:r>
    </w:p>
    <w:p w14:paraId="302016D4" w14:textId="19202C4E" w:rsidR="00280E2F" w:rsidRPr="00280E2F" w:rsidRDefault="00280E2F" w:rsidP="00E35611">
      <w:pPr>
        <w:spacing w:line="276" w:lineRule="auto"/>
        <w:jc w:val="both"/>
        <w:rPr>
          <w:rFonts w:ascii="Times New Roman" w:eastAsia="Times New Roman" w:hAnsi="Times New Roman" w:cs="Times New Roman"/>
          <w:lang w:val="en-US" w:eastAsia="pl-PL"/>
        </w:rPr>
      </w:pPr>
      <w:r w:rsidRPr="00280E2F">
        <w:rPr>
          <w:rFonts w:ascii="Times New Roman" w:eastAsia="Times New Roman" w:hAnsi="Times New Roman" w:cs="Times New Roman"/>
          <w:lang w:val="en-US" w:eastAsia="pl-PL"/>
        </w:rPr>
        <w:t xml:space="preserve">– </w:t>
      </w:r>
      <w:proofErr w:type="gramStart"/>
      <w:r w:rsidRPr="00280E2F">
        <w:rPr>
          <w:rFonts w:ascii="Times New Roman" w:eastAsia="Times New Roman" w:hAnsi="Times New Roman" w:cs="Times New Roman"/>
          <w:lang w:val="en-US" w:eastAsia="pl-PL"/>
        </w:rPr>
        <w:t>improving</w:t>
      </w:r>
      <w:proofErr w:type="gramEnd"/>
      <w:r w:rsidRPr="00280E2F">
        <w:rPr>
          <w:rFonts w:ascii="Times New Roman" w:eastAsia="Times New Roman" w:hAnsi="Times New Roman" w:cs="Times New Roman"/>
          <w:lang w:val="en-US" w:eastAsia="pl-PL"/>
        </w:rPr>
        <w:t xml:space="preserve"> the labour offices performance, e.g. by profiling support for the unemployed, </w:t>
      </w:r>
      <w:proofErr w:type="spellStart"/>
      <w:r w:rsidRPr="00280E2F">
        <w:rPr>
          <w:rFonts w:ascii="Times New Roman" w:eastAsia="Times New Roman" w:hAnsi="Times New Roman" w:cs="Times New Roman"/>
          <w:lang w:val="en-US" w:eastAsia="pl-PL"/>
        </w:rPr>
        <w:t>individualising</w:t>
      </w:r>
      <w:proofErr w:type="spellEnd"/>
      <w:r w:rsidRPr="00280E2F">
        <w:rPr>
          <w:rFonts w:ascii="Times New Roman" w:eastAsia="Times New Roman" w:hAnsi="Times New Roman" w:cs="Times New Roman"/>
          <w:lang w:val="en-US" w:eastAsia="pl-PL"/>
        </w:rPr>
        <w:t xml:space="preserve"> services for the unemployed, allowing outsourcing of activation services, closer </w:t>
      </w:r>
      <w:r w:rsidRPr="00280E2F">
        <w:rPr>
          <w:rFonts w:ascii="Times New Roman" w:eastAsia="Times New Roman" w:hAnsi="Times New Roman" w:cs="Times New Roman"/>
          <w:lang w:val="en-US" w:eastAsia="pl-PL"/>
        </w:rPr>
        <w:lastRenderedPageBreak/>
        <w:t xml:space="preserve">cooperation of </w:t>
      </w:r>
      <w:proofErr w:type="spellStart"/>
      <w:r w:rsidRPr="00280E2F">
        <w:rPr>
          <w:rFonts w:ascii="Times New Roman" w:eastAsia="Times New Roman" w:hAnsi="Times New Roman" w:cs="Times New Roman"/>
          <w:lang w:val="en-US" w:eastAsia="pl-PL"/>
        </w:rPr>
        <w:t>poviat</w:t>
      </w:r>
      <w:proofErr w:type="spellEnd"/>
      <w:r w:rsidRPr="00280E2F">
        <w:rPr>
          <w:rFonts w:ascii="Times New Roman" w:eastAsia="Times New Roman" w:hAnsi="Times New Roman" w:cs="Times New Roman"/>
          <w:lang w:val="en-US" w:eastAsia="pl-PL"/>
        </w:rPr>
        <w:t xml:space="preserve"> labour offices and </w:t>
      </w:r>
      <w:proofErr w:type="spellStart"/>
      <w:r w:rsidRPr="00280E2F">
        <w:rPr>
          <w:rFonts w:ascii="Times New Roman" w:eastAsia="Times New Roman" w:hAnsi="Times New Roman" w:cs="Times New Roman"/>
          <w:lang w:val="en-US" w:eastAsia="pl-PL"/>
        </w:rPr>
        <w:t>gminas</w:t>
      </w:r>
      <w:proofErr w:type="spellEnd"/>
      <w:r w:rsidR="0073574E">
        <w:rPr>
          <w:rStyle w:val="FootnoteReference"/>
          <w:rFonts w:ascii="Times New Roman" w:eastAsia="Times New Roman" w:hAnsi="Times New Roman" w:cs="Times New Roman"/>
          <w:lang w:val="en-US" w:eastAsia="pl-PL"/>
        </w:rPr>
        <w:footnoteReference w:id="1"/>
      </w:r>
      <w:r w:rsidRPr="00280E2F">
        <w:rPr>
          <w:rFonts w:ascii="Times New Roman" w:eastAsia="Times New Roman" w:hAnsi="Times New Roman" w:cs="Times New Roman"/>
          <w:lang w:val="en-US" w:eastAsia="pl-PL"/>
        </w:rPr>
        <w:t xml:space="preserve"> </w:t>
      </w:r>
      <w:r w:rsidR="0073574E">
        <w:rPr>
          <w:rFonts w:ascii="Times New Roman" w:eastAsia="Times New Roman" w:hAnsi="Times New Roman" w:cs="Times New Roman"/>
          <w:lang w:val="en-US" w:eastAsia="pl-PL"/>
        </w:rPr>
        <w:t>s</w:t>
      </w:r>
      <w:r w:rsidRPr="00280E2F">
        <w:rPr>
          <w:rFonts w:ascii="Times New Roman" w:eastAsia="Times New Roman" w:hAnsi="Times New Roman" w:cs="Times New Roman"/>
          <w:lang w:val="en-US" w:eastAsia="pl-PL"/>
        </w:rPr>
        <w:t xml:space="preserve">ocial assistance </w:t>
      </w:r>
      <w:proofErr w:type="spellStart"/>
      <w:r w:rsidRPr="00280E2F">
        <w:rPr>
          <w:rFonts w:ascii="Times New Roman" w:eastAsia="Times New Roman" w:hAnsi="Times New Roman" w:cs="Times New Roman"/>
          <w:lang w:val="en-US" w:eastAsia="pl-PL"/>
        </w:rPr>
        <w:t>centres</w:t>
      </w:r>
      <w:proofErr w:type="spellEnd"/>
      <w:r w:rsidRPr="00280E2F">
        <w:rPr>
          <w:rFonts w:ascii="Times New Roman" w:eastAsia="Times New Roman" w:hAnsi="Times New Roman" w:cs="Times New Roman"/>
          <w:lang w:val="en-US" w:eastAsia="pl-PL"/>
        </w:rPr>
        <w:t xml:space="preserve"> with regard to the same customers; </w:t>
      </w:r>
    </w:p>
    <w:p w14:paraId="5A188B2C" w14:textId="77777777" w:rsidR="00280E2F" w:rsidRPr="00280E2F" w:rsidRDefault="00280E2F" w:rsidP="00E35611">
      <w:pPr>
        <w:spacing w:line="276" w:lineRule="auto"/>
        <w:jc w:val="both"/>
        <w:rPr>
          <w:rFonts w:ascii="Times New Roman" w:eastAsia="Times New Roman" w:hAnsi="Times New Roman" w:cs="Times New Roman"/>
          <w:lang w:val="en-US" w:eastAsia="pl-PL"/>
        </w:rPr>
      </w:pPr>
      <w:r w:rsidRPr="00280E2F">
        <w:rPr>
          <w:rFonts w:ascii="Times New Roman" w:eastAsia="Times New Roman" w:hAnsi="Times New Roman" w:cs="Times New Roman"/>
          <w:lang w:val="en-US" w:eastAsia="pl-PL"/>
        </w:rPr>
        <w:t xml:space="preserve">– </w:t>
      </w:r>
      <w:proofErr w:type="gramStart"/>
      <w:r w:rsidRPr="00280E2F">
        <w:rPr>
          <w:rFonts w:ascii="Times New Roman" w:eastAsia="Times New Roman" w:hAnsi="Times New Roman" w:cs="Times New Roman"/>
          <w:lang w:val="en-US" w:eastAsia="pl-PL"/>
        </w:rPr>
        <w:t>providing</w:t>
      </w:r>
      <w:proofErr w:type="gramEnd"/>
      <w:r w:rsidRPr="00280E2F">
        <w:rPr>
          <w:rFonts w:ascii="Times New Roman" w:eastAsia="Times New Roman" w:hAnsi="Times New Roman" w:cs="Times New Roman"/>
          <w:lang w:val="en-US" w:eastAsia="pl-PL"/>
        </w:rPr>
        <w:t xml:space="preserve"> support for job creation and return of the unemployed to employment, including those returning to the labour market after a break related to child care, such as a teleworking grant, an activation benefit, a loan from the Labour Fund for job creation or starting an economic activity, </w:t>
      </w:r>
    </w:p>
    <w:p w14:paraId="7A9FEDC0" w14:textId="77777777" w:rsidR="00280E2F" w:rsidRPr="00280E2F" w:rsidRDefault="00280E2F" w:rsidP="00E35611">
      <w:pPr>
        <w:spacing w:line="276" w:lineRule="auto"/>
        <w:jc w:val="both"/>
        <w:rPr>
          <w:rFonts w:ascii="Times New Roman" w:eastAsia="Times New Roman" w:hAnsi="Times New Roman" w:cs="Times New Roman"/>
          <w:lang w:val="en-US" w:eastAsia="pl-PL"/>
        </w:rPr>
      </w:pPr>
      <w:r w:rsidRPr="00280E2F">
        <w:rPr>
          <w:rFonts w:ascii="Times New Roman" w:eastAsia="Times New Roman" w:hAnsi="Times New Roman" w:cs="Times New Roman"/>
          <w:lang w:val="en-US" w:eastAsia="pl-PL"/>
        </w:rPr>
        <w:t xml:space="preserve">– </w:t>
      </w:r>
      <w:proofErr w:type="gramStart"/>
      <w:r w:rsidRPr="00280E2F">
        <w:rPr>
          <w:rFonts w:ascii="Times New Roman" w:eastAsia="Times New Roman" w:hAnsi="Times New Roman" w:cs="Times New Roman"/>
          <w:lang w:val="en-US" w:eastAsia="pl-PL"/>
        </w:rPr>
        <w:t>providing</w:t>
      </w:r>
      <w:proofErr w:type="gramEnd"/>
      <w:r w:rsidRPr="00280E2F">
        <w:rPr>
          <w:rFonts w:ascii="Times New Roman" w:eastAsia="Times New Roman" w:hAnsi="Times New Roman" w:cs="Times New Roman"/>
          <w:lang w:val="en-US" w:eastAsia="pl-PL"/>
        </w:rPr>
        <w:t xml:space="preserve"> support for the employment of young people, such as reimbursement of insurance contributions for the unemployed aged up to 30 who are taking up their first job, a training voucher, a traineeship voucher, an employment voucher, a resettlement voucher,</w:t>
      </w:r>
    </w:p>
    <w:p w14:paraId="6470C5A0" w14:textId="77777777" w:rsidR="00280E2F" w:rsidRPr="00280E2F" w:rsidRDefault="00280E2F" w:rsidP="00E35611">
      <w:pPr>
        <w:spacing w:line="276" w:lineRule="auto"/>
        <w:jc w:val="both"/>
        <w:rPr>
          <w:rFonts w:ascii="Times New Roman" w:eastAsia="Times New Roman" w:hAnsi="Times New Roman" w:cs="Times New Roman"/>
          <w:lang w:val="en-US" w:eastAsia="pl-PL"/>
        </w:rPr>
      </w:pPr>
      <w:r w:rsidRPr="00280E2F">
        <w:rPr>
          <w:rFonts w:ascii="Times New Roman" w:eastAsia="Times New Roman" w:hAnsi="Times New Roman" w:cs="Times New Roman"/>
          <w:lang w:val="en-US" w:eastAsia="pl-PL"/>
        </w:rPr>
        <w:t xml:space="preserve">– </w:t>
      </w:r>
      <w:proofErr w:type="gramStart"/>
      <w:r w:rsidRPr="00280E2F">
        <w:rPr>
          <w:rFonts w:ascii="Times New Roman" w:eastAsia="Times New Roman" w:hAnsi="Times New Roman" w:cs="Times New Roman"/>
          <w:lang w:val="en-US" w:eastAsia="pl-PL"/>
        </w:rPr>
        <w:t>providing</w:t>
      </w:r>
      <w:proofErr w:type="gramEnd"/>
      <w:r w:rsidRPr="00280E2F">
        <w:rPr>
          <w:rFonts w:ascii="Times New Roman" w:eastAsia="Times New Roman" w:hAnsi="Times New Roman" w:cs="Times New Roman"/>
          <w:lang w:val="en-US" w:eastAsia="pl-PL"/>
        </w:rPr>
        <w:t xml:space="preserve"> support for employers hiring the unemployed aged 50+,</w:t>
      </w:r>
    </w:p>
    <w:p w14:paraId="555A7419" w14:textId="77777777" w:rsidR="00280E2F" w:rsidRPr="00280E2F" w:rsidRDefault="00280E2F" w:rsidP="00E35611">
      <w:pPr>
        <w:spacing w:line="276" w:lineRule="auto"/>
        <w:jc w:val="both"/>
        <w:rPr>
          <w:rFonts w:ascii="Times New Roman" w:eastAsia="Times New Roman" w:hAnsi="Times New Roman" w:cs="Times New Roman"/>
          <w:lang w:val="en-US" w:eastAsia="pl-PL"/>
        </w:rPr>
      </w:pPr>
      <w:r w:rsidRPr="00280E2F">
        <w:rPr>
          <w:rFonts w:ascii="Times New Roman" w:eastAsia="Times New Roman" w:hAnsi="Times New Roman" w:cs="Times New Roman"/>
          <w:lang w:val="en-US" w:eastAsia="pl-PL"/>
        </w:rPr>
        <w:t xml:space="preserve">– </w:t>
      </w:r>
      <w:proofErr w:type="gramStart"/>
      <w:r w:rsidRPr="00280E2F">
        <w:rPr>
          <w:rFonts w:ascii="Times New Roman" w:eastAsia="Times New Roman" w:hAnsi="Times New Roman" w:cs="Times New Roman"/>
          <w:lang w:val="en-US" w:eastAsia="pl-PL"/>
        </w:rPr>
        <w:t>increasing</w:t>
      </w:r>
      <w:proofErr w:type="gramEnd"/>
      <w:r w:rsidRPr="00280E2F">
        <w:rPr>
          <w:rFonts w:ascii="Times New Roman" w:eastAsia="Times New Roman" w:hAnsi="Times New Roman" w:cs="Times New Roman"/>
          <w:lang w:val="en-US" w:eastAsia="pl-PL"/>
        </w:rPr>
        <w:t xml:space="preserve"> the effectiveness of use of the Labour Fund resources by taking into account the effectiveness of labour offices in allocation of the Labour Fund resources for financing the programmes of employment promotion, mitigation of unemployment consequences and labour force participation in the algorithm and providing funds for remuneration of employees of labour offices depending on the effects of work of the labour offices,</w:t>
      </w:r>
    </w:p>
    <w:p w14:paraId="0A24CF48" w14:textId="77777777" w:rsidR="00280E2F" w:rsidRPr="00280E2F" w:rsidRDefault="00280E2F" w:rsidP="00E35611">
      <w:pPr>
        <w:spacing w:line="276" w:lineRule="auto"/>
        <w:jc w:val="both"/>
        <w:rPr>
          <w:rFonts w:ascii="Times New Roman" w:eastAsia="Times New Roman" w:hAnsi="Times New Roman" w:cs="Times New Roman"/>
          <w:lang w:val="en-US" w:eastAsia="pl-PL"/>
        </w:rPr>
      </w:pPr>
      <w:r w:rsidRPr="00280E2F">
        <w:rPr>
          <w:rFonts w:ascii="Times New Roman" w:eastAsia="Times New Roman" w:hAnsi="Times New Roman" w:cs="Times New Roman"/>
          <w:lang w:val="en-US" w:eastAsia="pl-PL"/>
        </w:rPr>
        <w:t xml:space="preserve">– </w:t>
      </w:r>
      <w:proofErr w:type="gramStart"/>
      <w:r w:rsidRPr="00280E2F">
        <w:rPr>
          <w:rFonts w:ascii="Times New Roman" w:eastAsia="Times New Roman" w:hAnsi="Times New Roman" w:cs="Times New Roman"/>
          <w:lang w:val="en-US" w:eastAsia="pl-PL"/>
        </w:rPr>
        <w:t>creation</w:t>
      </w:r>
      <w:proofErr w:type="gramEnd"/>
      <w:r w:rsidRPr="00280E2F">
        <w:rPr>
          <w:rFonts w:ascii="Times New Roman" w:eastAsia="Times New Roman" w:hAnsi="Times New Roman" w:cs="Times New Roman"/>
          <w:lang w:val="en-US" w:eastAsia="pl-PL"/>
        </w:rPr>
        <w:t xml:space="preserve"> of the National Training Fund, using the resources of the Labour Fund, to finance education and training of employees.</w:t>
      </w:r>
    </w:p>
    <w:p w14:paraId="4130BBB9" w14:textId="77777777" w:rsidR="00280E2F" w:rsidRPr="00280E2F" w:rsidRDefault="00280E2F" w:rsidP="00E35611">
      <w:pPr>
        <w:spacing w:line="276" w:lineRule="auto"/>
        <w:jc w:val="both"/>
        <w:rPr>
          <w:rFonts w:ascii="Times New Roman" w:eastAsia="Times New Roman" w:hAnsi="Times New Roman" w:cs="Times New Roman"/>
          <w:lang w:val="en-US" w:eastAsia="pl-PL"/>
        </w:rPr>
      </w:pPr>
      <w:r w:rsidRPr="00280E2F">
        <w:rPr>
          <w:rFonts w:ascii="Times New Roman" w:eastAsia="Times New Roman" w:hAnsi="Times New Roman" w:cs="Times New Roman"/>
          <w:lang w:val="en-US" w:eastAsia="pl-PL"/>
        </w:rPr>
        <w:t>After 2 years of application of the solutions introduced by the amendment of the Act on employment promotion (…) of 2014 the Ministry of Labour reviewed them. Based on results of this revision, it will be decided whether and how extensive changes are needed.</w:t>
      </w:r>
    </w:p>
    <w:p w14:paraId="059E7563" w14:textId="77777777" w:rsidR="00280E2F" w:rsidRPr="00280E2F" w:rsidRDefault="00280E2F" w:rsidP="00E35611">
      <w:pPr>
        <w:spacing w:line="276" w:lineRule="auto"/>
        <w:jc w:val="both"/>
        <w:rPr>
          <w:rFonts w:ascii="Times New Roman" w:eastAsia="Times New Roman" w:hAnsi="Times New Roman" w:cs="Times New Roman"/>
          <w:lang w:val="en-US" w:eastAsia="pl-PL"/>
        </w:rPr>
      </w:pPr>
    </w:p>
    <w:p w14:paraId="2B0A0DE4" w14:textId="77777777" w:rsidR="00280E2F" w:rsidRPr="00280E2F" w:rsidRDefault="00280E2F" w:rsidP="00E35611">
      <w:pPr>
        <w:spacing w:line="276" w:lineRule="auto"/>
        <w:jc w:val="both"/>
        <w:rPr>
          <w:rFonts w:ascii="Times New Roman" w:eastAsia="Times New Roman" w:hAnsi="Times New Roman" w:cs="Times New Roman"/>
          <w:lang w:val="en-US" w:eastAsia="pl-PL"/>
        </w:rPr>
      </w:pPr>
      <w:r w:rsidRPr="00280E2F">
        <w:rPr>
          <w:rFonts w:ascii="Times New Roman" w:eastAsia="Times New Roman" w:hAnsi="Times New Roman" w:cs="Times New Roman"/>
          <w:lang w:val="en-US" w:eastAsia="pl-PL"/>
        </w:rPr>
        <w:t xml:space="preserve">On the other hand, since 1 January 2016 </w:t>
      </w:r>
      <w:proofErr w:type="spellStart"/>
      <w:r w:rsidRPr="00280E2F">
        <w:rPr>
          <w:rFonts w:ascii="Times New Roman" w:eastAsia="Times New Roman" w:hAnsi="Times New Roman" w:cs="Times New Roman"/>
          <w:lang w:val="en-US" w:eastAsia="pl-PL"/>
        </w:rPr>
        <w:t>poviat</w:t>
      </w:r>
      <w:proofErr w:type="spellEnd"/>
      <w:r w:rsidRPr="00280E2F">
        <w:rPr>
          <w:rFonts w:ascii="Times New Roman" w:eastAsia="Times New Roman" w:hAnsi="Times New Roman" w:cs="Times New Roman"/>
          <w:lang w:val="en-US" w:eastAsia="pl-PL"/>
        </w:rPr>
        <w:t xml:space="preserve"> labour offices may execute agreements under a new labour market instrument that is expected to be an incentive for youth employment. The instrument allows reimbursing employers or entrepreneurs for 12 months for a part of costs of remunerations and social insurance contributions for the referred unemployed below 30. The employers or entrepreneurs must keep the referred persons employed full time for the period of cost reimbursement and for 12 months after reimbursement ends. </w:t>
      </w:r>
    </w:p>
    <w:p w14:paraId="0C65BE13" w14:textId="73EFC6D9" w:rsidR="009E191B" w:rsidRPr="00280E2F" w:rsidRDefault="00280E2F" w:rsidP="00E35611">
      <w:pPr>
        <w:spacing w:line="276" w:lineRule="auto"/>
        <w:jc w:val="both"/>
        <w:rPr>
          <w:rFonts w:ascii="Times New Roman" w:eastAsia="Times New Roman" w:hAnsi="Times New Roman" w:cs="Times New Roman"/>
          <w:lang w:val="en-US" w:eastAsia="pl-PL"/>
        </w:rPr>
      </w:pPr>
      <w:r w:rsidRPr="00280E2F">
        <w:rPr>
          <w:rFonts w:ascii="Times New Roman" w:eastAsia="Times New Roman" w:hAnsi="Times New Roman" w:cs="Times New Roman"/>
          <w:lang w:val="en-US" w:eastAsia="pl-PL"/>
        </w:rPr>
        <w:t xml:space="preserve">The amount allocated for the instrument financing was </w:t>
      </w:r>
      <w:proofErr w:type="spellStart"/>
      <w:r w:rsidRPr="00280E2F">
        <w:rPr>
          <w:rFonts w:ascii="Times New Roman" w:eastAsia="Times New Roman" w:hAnsi="Times New Roman" w:cs="Times New Roman"/>
          <w:lang w:val="en-US" w:eastAsia="pl-PL"/>
        </w:rPr>
        <w:t>PLN</w:t>
      </w:r>
      <w:proofErr w:type="spellEnd"/>
      <w:r w:rsidR="0073574E">
        <w:rPr>
          <w:rStyle w:val="FootnoteReference"/>
          <w:rFonts w:ascii="Times New Roman" w:eastAsia="Times New Roman" w:hAnsi="Times New Roman" w:cs="Times New Roman"/>
          <w:lang w:val="en-US" w:eastAsia="pl-PL"/>
        </w:rPr>
        <w:footnoteReference w:id="2"/>
      </w:r>
      <w:r w:rsidRPr="00280E2F">
        <w:rPr>
          <w:rFonts w:ascii="Times New Roman" w:eastAsia="Times New Roman" w:hAnsi="Times New Roman" w:cs="Times New Roman"/>
          <w:lang w:val="en-US" w:eastAsia="pl-PL"/>
        </w:rPr>
        <w:t xml:space="preserve"> 2</w:t>
      </w:r>
      <w:r w:rsidR="0073574E">
        <w:rPr>
          <w:rFonts w:ascii="Times New Roman" w:eastAsia="Times New Roman" w:hAnsi="Times New Roman" w:cs="Times New Roman"/>
          <w:lang w:val="en-US" w:eastAsia="pl-PL"/>
        </w:rPr>
        <w:t xml:space="preserve"> </w:t>
      </w:r>
      <w:r w:rsidRPr="00280E2F">
        <w:rPr>
          <w:rFonts w:ascii="Times New Roman" w:eastAsia="Times New Roman" w:hAnsi="Times New Roman" w:cs="Times New Roman"/>
          <w:lang w:val="en-US" w:eastAsia="pl-PL"/>
        </w:rPr>
        <w:t>800 million, of which PLN 700 million in 2016 and PLN 1</w:t>
      </w:r>
      <w:r w:rsidR="0073574E">
        <w:rPr>
          <w:rFonts w:ascii="Times New Roman" w:eastAsia="Times New Roman" w:hAnsi="Times New Roman" w:cs="Times New Roman"/>
          <w:lang w:val="en-US" w:eastAsia="pl-PL"/>
        </w:rPr>
        <w:t xml:space="preserve"> </w:t>
      </w:r>
      <w:r w:rsidRPr="00280E2F">
        <w:rPr>
          <w:rFonts w:ascii="Times New Roman" w:eastAsia="Times New Roman" w:hAnsi="Times New Roman" w:cs="Times New Roman"/>
          <w:lang w:val="en-US" w:eastAsia="pl-PL"/>
        </w:rPr>
        <w:t>050 million each in 2017 and 2018. The instrument is expected to ensure co-financing for employment of approximately 100</w:t>
      </w:r>
      <w:r w:rsidR="0073574E">
        <w:rPr>
          <w:rFonts w:ascii="Times New Roman" w:eastAsia="Times New Roman" w:hAnsi="Times New Roman" w:cs="Times New Roman"/>
          <w:lang w:val="en-US" w:eastAsia="pl-PL"/>
        </w:rPr>
        <w:t xml:space="preserve"> </w:t>
      </w:r>
      <w:r w:rsidRPr="00280E2F">
        <w:rPr>
          <w:rFonts w:ascii="Times New Roman" w:eastAsia="Times New Roman" w:hAnsi="Times New Roman" w:cs="Times New Roman"/>
          <w:lang w:val="en-US" w:eastAsia="pl-PL"/>
        </w:rPr>
        <w:t>000 young unemployed within 3 years.</w:t>
      </w:r>
    </w:p>
    <w:p w14:paraId="346C9AE8" w14:textId="72D48F33" w:rsidR="00280E2F" w:rsidRPr="00E35611" w:rsidRDefault="0045280C" w:rsidP="00C27337">
      <w:pPr>
        <w:pStyle w:val="NormalWeb"/>
        <w:ind w:firstLine="360"/>
        <w:jc w:val="both"/>
        <w:rPr>
          <w:rFonts w:ascii="Times New Roman" w:hAnsi="Times New Roman"/>
          <w:b/>
        </w:rPr>
      </w:pPr>
      <w:r w:rsidRPr="00E35611">
        <w:rPr>
          <w:rFonts w:asciiTheme="majorHAnsi" w:hAnsiTheme="majorHAnsi"/>
          <w:b/>
          <w:sz w:val="24"/>
          <w:szCs w:val="24"/>
          <w:lang w:val="pl-PL"/>
        </w:rPr>
        <w:t>2.2 UNEMPLOYMENT INSURANCE</w:t>
      </w:r>
    </w:p>
    <w:p w14:paraId="78EC50E8" w14:textId="79E1786A" w:rsidR="00A0413B" w:rsidRPr="00524209" w:rsidRDefault="00A0413B" w:rsidP="00A0413B">
      <w:pPr>
        <w:spacing w:line="276" w:lineRule="auto"/>
        <w:jc w:val="both"/>
        <w:rPr>
          <w:rFonts w:ascii="Times New Roman" w:hAnsi="Times New Roman" w:cs="Times New Roman"/>
        </w:rPr>
      </w:pPr>
      <w:r>
        <w:rPr>
          <w:rFonts w:ascii="Times New Roman" w:hAnsi="Times New Roman" w:cs="Times New Roman"/>
          <w:lang w:val="en-GB"/>
        </w:rPr>
        <w:t xml:space="preserve">In Poland there is no unemployment insurance. The system of benefit aid for the unemployed is based on the statutory definition of periods of work that add up to a period on which the right to an unemployment benefit depends. Unemployment benefits are financed by the Labour Fund (LF) that is a state targeted fund. The minister competent for labour administers the Labour Fund. The Fund finances not only unemployment benefits, but primarily activation of the unemployed and jobseekers registered with labour offices in Poland. LF revenue comes mainly from contributions paid by employers in the amount of 2.45% of remunerations. In addition, the LF receives state budget subsidies. </w:t>
      </w:r>
    </w:p>
    <w:p w14:paraId="1CE8BF5B" w14:textId="77777777" w:rsidR="00A0413B" w:rsidRPr="00524209" w:rsidRDefault="00A0413B" w:rsidP="00A0413B">
      <w:pPr>
        <w:spacing w:line="276" w:lineRule="auto"/>
        <w:jc w:val="both"/>
        <w:rPr>
          <w:rFonts w:ascii="Times New Roman" w:hAnsi="Times New Roman" w:cs="Times New Roman"/>
          <w:u w:val="single"/>
        </w:rPr>
      </w:pPr>
    </w:p>
    <w:p w14:paraId="2801CF44" w14:textId="77777777" w:rsidR="00A0413B" w:rsidRPr="00524209" w:rsidRDefault="00A0413B" w:rsidP="00A0413B">
      <w:pPr>
        <w:spacing w:line="276" w:lineRule="auto"/>
        <w:jc w:val="both"/>
        <w:rPr>
          <w:rFonts w:ascii="Times New Roman" w:hAnsi="Times New Roman" w:cs="Times New Roman"/>
          <w:u w:val="single"/>
        </w:rPr>
      </w:pPr>
      <w:r>
        <w:rPr>
          <w:rFonts w:ascii="Times New Roman" w:hAnsi="Times New Roman" w:cs="Times New Roman"/>
          <w:u w:val="single"/>
          <w:lang w:val="en-GB"/>
        </w:rPr>
        <w:t>Acquisition of the right to an unemployment benefit</w:t>
      </w:r>
    </w:p>
    <w:p w14:paraId="687928EF" w14:textId="77777777" w:rsidR="00A0413B" w:rsidRPr="00524209" w:rsidRDefault="00A0413B" w:rsidP="00C27337">
      <w:pPr>
        <w:spacing w:line="276" w:lineRule="auto"/>
        <w:jc w:val="both"/>
        <w:rPr>
          <w:rFonts w:ascii="Times New Roman" w:hAnsi="Times New Roman" w:cs="Times New Roman"/>
        </w:rPr>
      </w:pPr>
      <w:r>
        <w:rPr>
          <w:rFonts w:ascii="Times New Roman" w:hAnsi="Times New Roman" w:cs="Times New Roman"/>
          <w:lang w:val="en-GB"/>
        </w:rPr>
        <w:lastRenderedPageBreak/>
        <w:t xml:space="preserve">The unemployment benefit is due to the unemployed person for each calendar day from the date of registration in the relevant </w:t>
      </w:r>
      <w:proofErr w:type="spellStart"/>
      <w:r>
        <w:rPr>
          <w:rFonts w:ascii="Times New Roman" w:hAnsi="Times New Roman" w:cs="Times New Roman"/>
          <w:lang w:val="en-GB"/>
        </w:rPr>
        <w:t>Poviat</w:t>
      </w:r>
      <w:proofErr w:type="spellEnd"/>
      <w:r>
        <w:rPr>
          <w:rFonts w:ascii="Times New Roman" w:hAnsi="Times New Roman" w:cs="Times New Roman"/>
          <w:lang w:val="en-GB"/>
        </w:rPr>
        <w:t xml:space="preserve"> Labour Office if,</w:t>
      </w:r>
      <w:r>
        <w:rPr>
          <w:rStyle w:val="tabulatory"/>
          <w:rFonts w:ascii="Times New Roman" w:hAnsi="Times New Roman" w:cs="Times New Roman"/>
          <w:lang w:val="en-GB"/>
        </w:rPr>
        <w:t xml:space="preserve"> </w:t>
      </w:r>
      <w:r>
        <w:rPr>
          <w:rFonts w:ascii="Times New Roman" w:hAnsi="Times New Roman" w:cs="Times New Roman"/>
          <w:lang w:val="en-GB"/>
        </w:rPr>
        <w:t>during the 18 months immediately preceding the day of registration the unemployed person had a total of at least 365 days of periods of eligibility entitling to an unemployment benefit, above all periods such as:</w:t>
      </w:r>
    </w:p>
    <w:p w14:paraId="0B2452BC" w14:textId="77777777" w:rsidR="00A0413B" w:rsidRPr="00524209" w:rsidRDefault="00A0413B" w:rsidP="00A0413B">
      <w:pPr>
        <w:spacing w:line="276" w:lineRule="auto"/>
        <w:jc w:val="both"/>
        <w:rPr>
          <w:rFonts w:ascii="Times New Roman" w:hAnsi="Times New Roman" w:cs="Times New Roman"/>
        </w:rPr>
      </w:pPr>
      <w:r>
        <w:rPr>
          <w:rFonts w:ascii="Times New Roman" w:hAnsi="Times New Roman" w:cs="Times New Roman"/>
          <w:lang w:val="en-GB"/>
        </w:rPr>
        <w:t xml:space="preserve">– Employment, </w:t>
      </w:r>
    </w:p>
    <w:p w14:paraId="0B86BE15" w14:textId="77777777" w:rsidR="00A0413B" w:rsidRPr="00524209" w:rsidRDefault="00A0413B" w:rsidP="00A0413B">
      <w:pPr>
        <w:spacing w:line="276" w:lineRule="auto"/>
        <w:jc w:val="both"/>
        <w:rPr>
          <w:rFonts w:ascii="Times New Roman" w:hAnsi="Times New Roman" w:cs="Times New Roman"/>
        </w:rPr>
      </w:pPr>
      <w:r>
        <w:rPr>
          <w:rFonts w:ascii="Times New Roman" w:hAnsi="Times New Roman" w:cs="Times New Roman"/>
          <w:lang w:val="en-GB"/>
        </w:rPr>
        <w:t>– Work on the basis of civil law contracts,</w:t>
      </w:r>
    </w:p>
    <w:p w14:paraId="4B36DF8E" w14:textId="77777777" w:rsidR="00A0413B" w:rsidRPr="00524209" w:rsidRDefault="00A0413B" w:rsidP="00A0413B">
      <w:pPr>
        <w:spacing w:line="276" w:lineRule="auto"/>
        <w:jc w:val="both"/>
        <w:rPr>
          <w:rFonts w:ascii="Times New Roman" w:hAnsi="Times New Roman" w:cs="Times New Roman"/>
        </w:rPr>
      </w:pPr>
      <w:r>
        <w:rPr>
          <w:rFonts w:ascii="Times New Roman" w:hAnsi="Times New Roman" w:cs="Times New Roman"/>
          <w:lang w:val="en-GB"/>
        </w:rPr>
        <w:t xml:space="preserve">– Non-farming economic activity, </w:t>
      </w:r>
    </w:p>
    <w:p w14:paraId="132B1FB5" w14:textId="77777777" w:rsidR="00A0413B" w:rsidRPr="00524209" w:rsidRDefault="00A0413B" w:rsidP="00A0413B">
      <w:pPr>
        <w:spacing w:line="276" w:lineRule="auto"/>
        <w:jc w:val="both"/>
        <w:rPr>
          <w:rFonts w:ascii="Times New Roman" w:hAnsi="Times New Roman" w:cs="Times New Roman"/>
        </w:rPr>
      </w:pPr>
      <w:r>
        <w:rPr>
          <w:rFonts w:ascii="Times New Roman" w:hAnsi="Times New Roman" w:cs="Times New Roman"/>
          <w:lang w:val="en-GB"/>
        </w:rPr>
        <w:t>– Work in the course of arrest, serving a prison sentence,</w:t>
      </w:r>
    </w:p>
    <w:p w14:paraId="786C236A" w14:textId="77777777" w:rsidR="00A0413B" w:rsidRPr="00524209" w:rsidRDefault="00A0413B" w:rsidP="00A0413B">
      <w:pPr>
        <w:spacing w:line="276" w:lineRule="auto"/>
        <w:jc w:val="both"/>
        <w:rPr>
          <w:rFonts w:ascii="Times New Roman" w:hAnsi="Times New Roman" w:cs="Times New Roman"/>
        </w:rPr>
      </w:pPr>
      <w:r>
        <w:rPr>
          <w:rFonts w:ascii="Times New Roman" w:hAnsi="Times New Roman" w:cs="Times New Roman"/>
          <w:lang w:val="en-GB"/>
        </w:rPr>
        <w:t xml:space="preserve">– Work in an agricultural production cooperative, cooperative of agricultural groups or cooperative of agricultural services, </w:t>
      </w:r>
    </w:p>
    <w:p w14:paraId="67979058" w14:textId="77777777" w:rsidR="00A0413B" w:rsidRPr="00524209" w:rsidRDefault="00A0413B" w:rsidP="00A0413B">
      <w:pPr>
        <w:spacing w:line="276" w:lineRule="auto"/>
        <w:jc w:val="both"/>
        <w:rPr>
          <w:rFonts w:ascii="Times New Roman" w:hAnsi="Times New Roman" w:cs="Times New Roman"/>
        </w:rPr>
      </w:pPr>
      <w:r>
        <w:rPr>
          <w:rFonts w:ascii="Times New Roman" w:hAnsi="Times New Roman" w:cs="Times New Roman"/>
          <w:lang w:val="en-GB"/>
        </w:rPr>
        <w:t>– Payment of a LF contribution in connection with employment or performance of other gainful work abroad for a foreign employer in a country not being an EU Member State.</w:t>
      </w:r>
      <w:r>
        <w:rPr>
          <w:rFonts w:ascii="Times New Roman" w:hAnsi="Times New Roman" w:cs="Times New Roman"/>
          <w:lang w:val="en-GB"/>
        </w:rPr>
        <w:br/>
        <w:t xml:space="preserve"> </w:t>
      </w:r>
    </w:p>
    <w:p w14:paraId="5F868200" w14:textId="77777777" w:rsidR="00C27337" w:rsidRDefault="00A0413B" w:rsidP="00A0413B">
      <w:pPr>
        <w:spacing w:line="276" w:lineRule="auto"/>
        <w:jc w:val="both"/>
        <w:rPr>
          <w:rFonts w:ascii="Times New Roman" w:hAnsi="Times New Roman" w:cs="Times New Roman"/>
          <w:lang w:val="en-GB"/>
        </w:rPr>
      </w:pPr>
      <w:r>
        <w:rPr>
          <w:rFonts w:ascii="Times New Roman" w:hAnsi="Times New Roman" w:cs="Times New Roman"/>
          <w:lang w:val="en-GB"/>
        </w:rPr>
        <w:t xml:space="preserve">These are generally periods for which a LF contribution was paid from the </w:t>
      </w:r>
      <w:proofErr w:type="gramStart"/>
      <w:r>
        <w:rPr>
          <w:rFonts w:ascii="Times New Roman" w:hAnsi="Times New Roman" w:cs="Times New Roman"/>
          <w:lang w:val="en-GB"/>
        </w:rPr>
        <w:t>amount which</w:t>
      </w:r>
      <w:proofErr w:type="gramEnd"/>
      <w:r>
        <w:rPr>
          <w:rFonts w:ascii="Times New Roman" w:hAnsi="Times New Roman" w:cs="Times New Roman"/>
          <w:lang w:val="en-GB"/>
        </w:rPr>
        <w:t xml:space="preserve"> is at least the minimum remuneration for work.</w:t>
      </w:r>
    </w:p>
    <w:p w14:paraId="3C895CF5" w14:textId="244AA947" w:rsidR="00A0413B" w:rsidRPr="00524209" w:rsidRDefault="00A0413B" w:rsidP="00A0413B">
      <w:pPr>
        <w:spacing w:line="276" w:lineRule="auto"/>
        <w:jc w:val="both"/>
        <w:rPr>
          <w:rFonts w:ascii="Times New Roman" w:hAnsi="Times New Roman" w:cs="Times New Roman"/>
        </w:rPr>
      </w:pPr>
    </w:p>
    <w:p w14:paraId="7CBFE670" w14:textId="77777777" w:rsidR="00A0413B" w:rsidRPr="00524209" w:rsidRDefault="00A0413B" w:rsidP="00C27337">
      <w:pPr>
        <w:spacing w:line="276" w:lineRule="auto"/>
        <w:jc w:val="both"/>
        <w:rPr>
          <w:rFonts w:ascii="Times New Roman" w:hAnsi="Times New Roman" w:cs="Times New Roman"/>
        </w:rPr>
      </w:pPr>
      <w:r>
        <w:rPr>
          <w:rFonts w:ascii="Times New Roman" w:hAnsi="Times New Roman" w:cs="Times New Roman"/>
          <w:lang w:val="en-GB"/>
        </w:rPr>
        <w:t>At the same time, the 365 days referred to above also include periods for which the LF contribution was not paid, for example periods of:</w:t>
      </w:r>
    </w:p>
    <w:p w14:paraId="68F842CF" w14:textId="77777777" w:rsidR="00A0413B" w:rsidRPr="00524209" w:rsidRDefault="00A0413B" w:rsidP="00A0413B">
      <w:pPr>
        <w:spacing w:line="276" w:lineRule="auto"/>
        <w:jc w:val="both"/>
        <w:rPr>
          <w:rFonts w:ascii="Times New Roman" w:hAnsi="Times New Roman" w:cs="Times New Roman"/>
        </w:rPr>
      </w:pPr>
      <w:proofErr w:type="gramStart"/>
      <w:r>
        <w:rPr>
          <w:rFonts w:ascii="Times New Roman" w:hAnsi="Times New Roman" w:cs="Times New Roman"/>
          <w:lang w:val="en-GB"/>
        </w:rPr>
        <w:t>1)</w:t>
      </w:r>
      <w:r>
        <w:rPr>
          <w:rStyle w:val="tabulatory"/>
          <w:rFonts w:ascii="Times New Roman" w:hAnsi="Times New Roman" w:cs="Times New Roman"/>
          <w:lang w:val="en-GB"/>
        </w:rPr>
        <w:t>   </w:t>
      </w:r>
      <w:r>
        <w:rPr>
          <w:rFonts w:ascii="Times New Roman" w:hAnsi="Times New Roman" w:cs="Times New Roman"/>
          <w:lang w:val="en-GB"/>
        </w:rPr>
        <w:t>Compulsory</w:t>
      </w:r>
      <w:proofErr w:type="gramEnd"/>
      <w:r>
        <w:rPr>
          <w:rFonts w:ascii="Times New Roman" w:hAnsi="Times New Roman" w:cs="Times New Roman"/>
          <w:lang w:val="en-GB"/>
        </w:rPr>
        <w:t xml:space="preserve"> military service, extended military service, military training, preparatory service, trainee service, contracted professional military service, military drill, temporary military service or military service in the case of mobilisation and during the war, and obligatory service performed in civil defence and alternative service, as well as service as an officer of the Police, the Internal Security Agency, the Foreign Intelligence Agency, the Military Counter-Intelligence Service, the Military Intelligence Service, the Central Anticorruption Bureau, the Border Guard, the Government Protection Bureau, the State Fire Service and the Penitentiary Service,</w:t>
      </w:r>
    </w:p>
    <w:p w14:paraId="1727DD3D" w14:textId="77777777" w:rsidR="00A0413B" w:rsidRPr="00524209" w:rsidRDefault="00A0413B" w:rsidP="00A0413B">
      <w:pPr>
        <w:spacing w:line="276" w:lineRule="auto"/>
        <w:jc w:val="both"/>
        <w:rPr>
          <w:rFonts w:ascii="Times New Roman" w:hAnsi="Times New Roman" w:cs="Times New Roman"/>
        </w:rPr>
      </w:pPr>
      <w:proofErr w:type="gramStart"/>
      <w:r>
        <w:rPr>
          <w:rFonts w:ascii="Times New Roman" w:hAnsi="Times New Roman" w:cs="Times New Roman"/>
          <w:lang w:val="en-GB"/>
        </w:rPr>
        <w:t>2)</w:t>
      </w:r>
      <w:r>
        <w:rPr>
          <w:rStyle w:val="tabulatory"/>
          <w:rFonts w:ascii="Times New Roman" w:hAnsi="Times New Roman" w:cs="Times New Roman"/>
          <w:lang w:val="en-GB"/>
        </w:rPr>
        <w:t>   </w:t>
      </w:r>
      <w:r>
        <w:rPr>
          <w:rFonts w:ascii="Times New Roman" w:hAnsi="Times New Roman" w:cs="Times New Roman"/>
          <w:lang w:val="en-GB"/>
        </w:rPr>
        <w:t>Parental</w:t>
      </w:r>
      <w:proofErr w:type="gramEnd"/>
      <w:r>
        <w:rPr>
          <w:rFonts w:ascii="Times New Roman" w:hAnsi="Times New Roman" w:cs="Times New Roman"/>
          <w:lang w:val="en-GB"/>
        </w:rPr>
        <w:t xml:space="preserve"> leave;</w:t>
      </w:r>
    </w:p>
    <w:p w14:paraId="6F5F1F0F" w14:textId="77777777" w:rsidR="00A0413B" w:rsidRPr="00524209" w:rsidRDefault="00A0413B" w:rsidP="00A0413B">
      <w:pPr>
        <w:spacing w:line="276" w:lineRule="auto"/>
        <w:jc w:val="both"/>
        <w:rPr>
          <w:rFonts w:ascii="Times New Roman" w:hAnsi="Times New Roman" w:cs="Times New Roman"/>
        </w:rPr>
      </w:pPr>
      <w:proofErr w:type="gramStart"/>
      <w:r>
        <w:rPr>
          <w:rFonts w:ascii="Times New Roman" w:hAnsi="Times New Roman" w:cs="Times New Roman"/>
          <w:lang w:val="en-GB"/>
        </w:rPr>
        <w:t>3)</w:t>
      </w:r>
      <w:r>
        <w:rPr>
          <w:rStyle w:val="tabulatory"/>
          <w:rFonts w:ascii="Times New Roman" w:hAnsi="Times New Roman" w:cs="Times New Roman"/>
          <w:lang w:val="en-GB"/>
        </w:rPr>
        <w:t>   </w:t>
      </w:r>
      <w:r>
        <w:rPr>
          <w:rFonts w:ascii="Times New Roman" w:hAnsi="Times New Roman" w:cs="Times New Roman"/>
          <w:lang w:val="en-GB"/>
        </w:rPr>
        <w:t>Receiving</w:t>
      </w:r>
      <w:proofErr w:type="gramEnd"/>
      <w:r>
        <w:rPr>
          <w:rFonts w:ascii="Times New Roman" w:hAnsi="Times New Roman" w:cs="Times New Roman"/>
          <w:lang w:val="en-GB"/>
        </w:rPr>
        <w:t xml:space="preserve"> disability pension due to incapacity to work, training disability pension and periods of receiving sickness allowance, maternity allowance, allowance in the amount of maternity allowance of rehabilitation benefit after the termination of employment, performing other gainful work or non-agricultural activity, if the assessment base for these allowances and the benefit, including the amount of social insurance contributions, amounted to at least the minimum remuneration for work;</w:t>
      </w:r>
    </w:p>
    <w:p w14:paraId="223AC290" w14:textId="77777777" w:rsidR="00C27337" w:rsidRDefault="00A0413B" w:rsidP="00A0413B">
      <w:pPr>
        <w:spacing w:line="276" w:lineRule="auto"/>
        <w:jc w:val="both"/>
        <w:rPr>
          <w:rFonts w:ascii="Times New Roman" w:hAnsi="Times New Roman" w:cs="Times New Roman"/>
          <w:lang w:val="en-GB"/>
        </w:rPr>
      </w:pPr>
      <w:r>
        <w:rPr>
          <w:rFonts w:ascii="Times New Roman" w:hAnsi="Times New Roman" w:cs="Times New Roman"/>
          <w:lang w:val="en-GB"/>
        </w:rPr>
        <w:t>4) Provision of services on the basis of an activation agreement.</w:t>
      </w:r>
    </w:p>
    <w:p w14:paraId="59D57F94" w14:textId="77777777" w:rsidR="00EA10F7" w:rsidRDefault="00EA10F7" w:rsidP="00A0413B">
      <w:pPr>
        <w:spacing w:line="276" w:lineRule="auto"/>
        <w:jc w:val="both"/>
        <w:rPr>
          <w:rFonts w:ascii="Times New Roman" w:hAnsi="Times New Roman" w:cs="Times New Roman"/>
        </w:rPr>
      </w:pPr>
    </w:p>
    <w:p w14:paraId="19A18266" w14:textId="4346CDA1" w:rsidR="00A0413B" w:rsidRPr="00C27337" w:rsidRDefault="00A0413B" w:rsidP="00A0413B">
      <w:pPr>
        <w:spacing w:line="276" w:lineRule="auto"/>
        <w:jc w:val="both"/>
        <w:rPr>
          <w:rFonts w:ascii="Times New Roman" w:hAnsi="Times New Roman" w:cs="Times New Roman"/>
        </w:rPr>
      </w:pPr>
      <w:r>
        <w:rPr>
          <w:rFonts w:ascii="Times New Roman" w:hAnsi="Times New Roman" w:cs="Times New Roman"/>
          <w:b/>
          <w:bCs/>
          <w:u w:val="single"/>
          <w:lang w:val="en-GB"/>
        </w:rPr>
        <w:t>The allowance collection period shall amount to:</w:t>
      </w:r>
    </w:p>
    <w:p w14:paraId="641447E9" w14:textId="77777777" w:rsidR="00A0413B" w:rsidRPr="00524209" w:rsidRDefault="00A0413B" w:rsidP="00A0413B">
      <w:pPr>
        <w:spacing w:line="276" w:lineRule="auto"/>
        <w:jc w:val="both"/>
        <w:rPr>
          <w:rFonts w:ascii="Times New Roman" w:hAnsi="Times New Roman" w:cs="Times New Roman"/>
        </w:rPr>
      </w:pPr>
      <w:proofErr w:type="gramStart"/>
      <w:r>
        <w:rPr>
          <w:rFonts w:ascii="Times New Roman" w:hAnsi="Times New Roman" w:cs="Times New Roman"/>
          <w:lang w:val="en-GB"/>
        </w:rPr>
        <w:t>1)</w:t>
      </w:r>
      <w:r>
        <w:rPr>
          <w:rStyle w:val="tabulatory"/>
          <w:rFonts w:ascii="Times New Roman" w:hAnsi="Times New Roman" w:cs="Times New Roman"/>
          <w:b/>
          <w:bCs/>
          <w:lang w:val="en-GB"/>
        </w:rPr>
        <w:t>  </w:t>
      </w:r>
      <w:r>
        <w:rPr>
          <w:rFonts w:ascii="Times New Roman" w:hAnsi="Times New Roman" w:cs="Times New Roman"/>
          <w:b/>
          <w:bCs/>
          <w:lang w:val="en-GB"/>
        </w:rPr>
        <w:t>180</w:t>
      </w:r>
      <w:proofErr w:type="gramEnd"/>
      <w:r>
        <w:rPr>
          <w:rFonts w:ascii="Times New Roman" w:hAnsi="Times New Roman" w:cs="Times New Roman"/>
          <w:b/>
          <w:bCs/>
          <w:lang w:val="en-GB"/>
        </w:rPr>
        <w:t xml:space="preserve"> days</w:t>
      </w:r>
      <w:r>
        <w:rPr>
          <w:rFonts w:ascii="Times New Roman" w:hAnsi="Times New Roman" w:cs="Times New Roman"/>
          <w:lang w:val="en-GB"/>
        </w:rPr>
        <w:t xml:space="preserve"> – for the unemployed domiciled within the allowance collection period within the territory of a </w:t>
      </w:r>
      <w:proofErr w:type="spellStart"/>
      <w:r>
        <w:rPr>
          <w:rFonts w:ascii="Times New Roman" w:hAnsi="Times New Roman" w:cs="Times New Roman"/>
          <w:lang w:val="en-GB"/>
        </w:rPr>
        <w:t>poviat</w:t>
      </w:r>
      <w:proofErr w:type="spellEnd"/>
      <w:r>
        <w:rPr>
          <w:rFonts w:ascii="Times New Roman" w:hAnsi="Times New Roman" w:cs="Times New Roman"/>
          <w:lang w:val="en-GB"/>
        </w:rPr>
        <w:t xml:space="preserve"> if the unemployment rate within this area on 30 June of the year preceding the day when the right to allowance was granted did not exceed 150% of the average national unemployment rate;</w:t>
      </w:r>
    </w:p>
    <w:p w14:paraId="7917B312" w14:textId="77777777" w:rsidR="00A0413B" w:rsidRPr="00524209" w:rsidRDefault="00A0413B" w:rsidP="00A0413B">
      <w:pPr>
        <w:spacing w:line="276" w:lineRule="auto"/>
        <w:jc w:val="both"/>
        <w:rPr>
          <w:rFonts w:ascii="Times New Roman" w:hAnsi="Times New Roman" w:cs="Times New Roman"/>
        </w:rPr>
      </w:pPr>
      <w:proofErr w:type="gramStart"/>
      <w:r>
        <w:rPr>
          <w:rFonts w:ascii="Times New Roman" w:hAnsi="Times New Roman" w:cs="Times New Roman"/>
          <w:lang w:val="en-GB"/>
        </w:rPr>
        <w:t>2)</w:t>
      </w:r>
      <w:r>
        <w:rPr>
          <w:rStyle w:val="tabulatory"/>
          <w:rFonts w:ascii="Times New Roman" w:hAnsi="Times New Roman" w:cs="Times New Roman"/>
          <w:b/>
          <w:bCs/>
          <w:lang w:val="en-GB"/>
        </w:rPr>
        <w:t>   </w:t>
      </w:r>
      <w:r>
        <w:rPr>
          <w:rFonts w:ascii="Times New Roman" w:hAnsi="Times New Roman" w:cs="Times New Roman"/>
          <w:lang w:val="en-GB"/>
        </w:rPr>
        <w:t>365</w:t>
      </w:r>
      <w:proofErr w:type="gramEnd"/>
      <w:r>
        <w:rPr>
          <w:rFonts w:ascii="Times New Roman" w:hAnsi="Times New Roman" w:cs="Times New Roman"/>
          <w:lang w:val="en-GB"/>
        </w:rPr>
        <w:t xml:space="preserve"> days – for the unemployed:</w:t>
      </w:r>
    </w:p>
    <w:p w14:paraId="1D3DBC4B" w14:textId="77777777" w:rsidR="00A0413B" w:rsidRPr="00524209" w:rsidRDefault="00A0413B" w:rsidP="00A0413B">
      <w:pPr>
        <w:spacing w:line="276" w:lineRule="auto"/>
        <w:ind w:left="708"/>
        <w:jc w:val="both"/>
        <w:rPr>
          <w:rFonts w:ascii="Times New Roman" w:hAnsi="Times New Roman" w:cs="Times New Roman"/>
        </w:rPr>
      </w:pPr>
      <w:r>
        <w:rPr>
          <w:rFonts w:ascii="Times New Roman" w:hAnsi="Times New Roman" w:cs="Times New Roman"/>
          <w:b/>
          <w:bCs/>
          <w:lang w:val="en-GB"/>
        </w:rPr>
        <w:t>(a</w:t>
      </w:r>
      <w:proofErr w:type="gramStart"/>
      <w:r>
        <w:rPr>
          <w:rFonts w:ascii="Times New Roman" w:hAnsi="Times New Roman" w:cs="Times New Roman"/>
          <w:b/>
          <w:bCs/>
          <w:lang w:val="en-GB"/>
        </w:rPr>
        <w:t>)</w:t>
      </w:r>
      <w:r>
        <w:rPr>
          <w:rStyle w:val="tabulatory"/>
          <w:rFonts w:ascii="Times New Roman" w:hAnsi="Times New Roman" w:cs="Times New Roman"/>
          <w:lang w:val="en-GB"/>
        </w:rPr>
        <w:t>  </w:t>
      </w:r>
      <w:r>
        <w:rPr>
          <w:rFonts w:ascii="Times New Roman" w:hAnsi="Times New Roman" w:cs="Times New Roman"/>
          <w:lang w:val="en-GB"/>
        </w:rPr>
        <w:t>Domiciled</w:t>
      </w:r>
      <w:proofErr w:type="gramEnd"/>
      <w:r>
        <w:rPr>
          <w:rFonts w:ascii="Times New Roman" w:hAnsi="Times New Roman" w:cs="Times New Roman"/>
          <w:lang w:val="en-GB"/>
        </w:rPr>
        <w:t xml:space="preserve"> within the allowance collection period within the territory of a </w:t>
      </w:r>
      <w:proofErr w:type="spellStart"/>
      <w:r>
        <w:rPr>
          <w:rFonts w:ascii="Times New Roman" w:hAnsi="Times New Roman" w:cs="Times New Roman"/>
          <w:lang w:val="en-GB"/>
        </w:rPr>
        <w:t>poviat</w:t>
      </w:r>
      <w:proofErr w:type="spellEnd"/>
      <w:r>
        <w:rPr>
          <w:rFonts w:ascii="Times New Roman" w:hAnsi="Times New Roman" w:cs="Times New Roman"/>
          <w:lang w:val="en-GB"/>
        </w:rPr>
        <w:t xml:space="preserve"> if the unemployment rate within this area on 30 June of the year preceding the day when the right to allowance was granted exceeded 150% of the average national unemployment rate, or</w:t>
      </w:r>
    </w:p>
    <w:p w14:paraId="646D3B5F" w14:textId="77777777" w:rsidR="00A0413B" w:rsidRPr="00524209" w:rsidRDefault="00A0413B" w:rsidP="00A0413B">
      <w:pPr>
        <w:spacing w:line="276" w:lineRule="auto"/>
        <w:ind w:left="708"/>
        <w:jc w:val="both"/>
        <w:rPr>
          <w:rFonts w:ascii="Times New Roman" w:hAnsi="Times New Roman" w:cs="Times New Roman"/>
        </w:rPr>
      </w:pPr>
      <w:r>
        <w:rPr>
          <w:rFonts w:ascii="Times New Roman" w:hAnsi="Times New Roman" w:cs="Times New Roman"/>
          <w:b/>
          <w:bCs/>
          <w:lang w:val="en-GB"/>
        </w:rPr>
        <w:t>(b</w:t>
      </w:r>
      <w:proofErr w:type="gramStart"/>
      <w:r>
        <w:rPr>
          <w:rFonts w:ascii="Times New Roman" w:hAnsi="Times New Roman" w:cs="Times New Roman"/>
          <w:b/>
          <w:bCs/>
          <w:lang w:val="en-GB"/>
        </w:rPr>
        <w:t>)</w:t>
      </w:r>
      <w:r>
        <w:rPr>
          <w:rStyle w:val="tabulatory"/>
          <w:rFonts w:ascii="Times New Roman" w:hAnsi="Times New Roman" w:cs="Times New Roman"/>
          <w:lang w:val="en-GB"/>
        </w:rPr>
        <w:t>  </w:t>
      </w:r>
      <w:r>
        <w:rPr>
          <w:rFonts w:ascii="Times New Roman" w:hAnsi="Times New Roman" w:cs="Times New Roman"/>
          <w:lang w:val="en-GB"/>
        </w:rPr>
        <w:t>Who</w:t>
      </w:r>
      <w:proofErr w:type="gramEnd"/>
      <w:r>
        <w:rPr>
          <w:rFonts w:ascii="Times New Roman" w:hAnsi="Times New Roman" w:cs="Times New Roman"/>
          <w:lang w:val="en-GB"/>
        </w:rPr>
        <w:t xml:space="preserve"> are aged over 50 and have the allowance eligibility period of at least 20 years, or</w:t>
      </w:r>
    </w:p>
    <w:p w14:paraId="4D8B9935" w14:textId="77777777" w:rsidR="00A0413B" w:rsidRPr="00524209" w:rsidRDefault="00A0413B" w:rsidP="00A0413B">
      <w:pPr>
        <w:spacing w:line="276" w:lineRule="auto"/>
        <w:ind w:left="708"/>
        <w:jc w:val="both"/>
        <w:rPr>
          <w:rFonts w:ascii="Times New Roman" w:hAnsi="Times New Roman" w:cs="Times New Roman"/>
        </w:rPr>
      </w:pPr>
      <w:r>
        <w:rPr>
          <w:rFonts w:ascii="Times New Roman" w:hAnsi="Times New Roman" w:cs="Times New Roman"/>
          <w:b/>
          <w:bCs/>
          <w:lang w:val="en-GB"/>
        </w:rPr>
        <w:lastRenderedPageBreak/>
        <w:t>(c</w:t>
      </w:r>
      <w:proofErr w:type="gramStart"/>
      <w:r>
        <w:rPr>
          <w:rFonts w:ascii="Times New Roman" w:hAnsi="Times New Roman" w:cs="Times New Roman"/>
          <w:b/>
          <w:bCs/>
          <w:lang w:val="en-GB"/>
        </w:rPr>
        <w:t>)</w:t>
      </w:r>
      <w:r>
        <w:rPr>
          <w:rStyle w:val="tabulatory"/>
          <w:rFonts w:ascii="Times New Roman" w:hAnsi="Times New Roman" w:cs="Times New Roman"/>
          <w:lang w:val="en-GB"/>
        </w:rPr>
        <w:t>  </w:t>
      </w:r>
      <w:r>
        <w:rPr>
          <w:rFonts w:ascii="Times New Roman" w:hAnsi="Times New Roman" w:cs="Times New Roman"/>
          <w:lang w:val="en-GB"/>
        </w:rPr>
        <w:t>Who</w:t>
      </w:r>
      <w:proofErr w:type="gramEnd"/>
      <w:r>
        <w:rPr>
          <w:rFonts w:ascii="Times New Roman" w:hAnsi="Times New Roman" w:cs="Times New Roman"/>
          <w:lang w:val="en-GB"/>
        </w:rPr>
        <w:t xml:space="preserve"> maintain at least one child aged up to 15, and the spouse of the unemployed person is unemployed as well and lost the right to allowance due to expiration of the period for its collection after the day when the right to allowance was granted to the unemployed person, or</w:t>
      </w:r>
    </w:p>
    <w:p w14:paraId="7F815D18" w14:textId="77777777" w:rsidR="00A0413B" w:rsidRPr="00524209" w:rsidRDefault="00A0413B" w:rsidP="00A0413B">
      <w:pPr>
        <w:spacing w:line="276" w:lineRule="auto"/>
        <w:ind w:firstLine="708"/>
        <w:jc w:val="both"/>
        <w:rPr>
          <w:rFonts w:ascii="Times New Roman" w:hAnsi="Times New Roman" w:cs="Times New Roman"/>
        </w:rPr>
      </w:pPr>
      <w:r>
        <w:rPr>
          <w:rFonts w:ascii="Times New Roman" w:hAnsi="Times New Roman" w:cs="Times New Roman"/>
          <w:b/>
          <w:bCs/>
          <w:lang w:val="en-GB"/>
        </w:rPr>
        <w:t>(d</w:t>
      </w:r>
      <w:proofErr w:type="gramStart"/>
      <w:r>
        <w:rPr>
          <w:rFonts w:ascii="Times New Roman" w:hAnsi="Times New Roman" w:cs="Times New Roman"/>
          <w:b/>
          <w:bCs/>
          <w:lang w:val="en-GB"/>
        </w:rPr>
        <w:t>)</w:t>
      </w:r>
      <w:r>
        <w:rPr>
          <w:rStyle w:val="tabulatory"/>
          <w:rFonts w:ascii="Times New Roman" w:hAnsi="Times New Roman" w:cs="Times New Roman"/>
          <w:lang w:val="en-GB"/>
        </w:rPr>
        <w:t>  </w:t>
      </w:r>
      <w:r>
        <w:rPr>
          <w:rFonts w:ascii="Times New Roman" w:hAnsi="Times New Roman" w:cs="Times New Roman"/>
          <w:lang w:val="en-GB"/>
        </w:rPr>
        <w:t>Who</w:t>
      </w:r>
      <w:proofErr w:type="gramEnd"/>
      <w:r>
        <w:rPr>
          <w:rFonts w:ascii="Times New Roman" w:hAnsi="Times New Roman" w:cs="Times New Roman"/>
          <w:lang w:val="en-GB"/>
        </w:rPr>
        <w:t xml:space="preserve"> single-handedly maintain at least one child aged up to 15.</w:t>
      </w:r>
    </w:p>
    <w:p w14:paraId="20DD4F91" w14:textId="77777777" w:rsidR="00A0413B" w:rsidRPr="00524209" w:rsidRDefault="00A0413B" w:rsidP="00A0413B">
      <w:pPr>
        <w:spacing w:line="276" w:lineRule="auto"/>
        <w:jc w:val="both"/>
        <w:rPr>
          <w:rFonts w:ascii="Times New Roman" w:hAnsi="Times New Roman" w:cs="Times New Roman"/>
        </w:rPr>
      </w:pPr>
      <w:r>
        <w:rPr>
          <w:rFonts w:ascii="Times New Roman" w:hAnsi="Times New Roman" w:cs="Times New Roman"/>
          <w:lang w:val="en-GB"/>
        </w:rPr>
        <w:t>If woman who collects an unemployment benefit gives birth to a child in the allowance period or within a month after its expiration, this period shall be extended to include the time of her eligibility to a maternity benefit in accordance with separate provisions.</w:t>
      </w:r>
    </w:p>
    <w:p w14:paraId="65422C17" w14:textId="77777777" w:rsidR="00A0413B" w:rsidRPr="00524209" w:rsidRDefault="00A0413B" w:rsidP="00A0413B">
      <w:pPr>
        <w:spacing w:line="276" w:lineRule="auto"/>
        <w:jc w:val="both"/>
        <w:rPr>
          <w:rFonts w:ascii="Times New Roman" w:hAnsi="Times New Roman" w:cs="Times New Roman"/>
        </w:rPr>
      </w:pPr>
      <w:r>
        <w:rPr>
          <w:rFonts w:ascii="Times New Roman" w:hAnsi="Times New Roman" w:cs="Times New Roman"/>
          <w:lang w:val="en-GB"/>
        </w:rPr>
        <w:t>The period of unemployment benefit collection is shortened by the period of active forms to which a given person was referred by a labour office, such as intervention works, internship, training, etc. and periods of benefit non-eligibility</w:t>
      </w:r>
      <w:r w:rsidRPr="00E27B90">
        <w:rPr>
          <w:rFonts w:ascii="Times New Roman" w:hAnsi="Times New Roman" w:cs="Times New Roman"/>
          <w:lang w:val="en-GB"/>
        </w:rPr>
        <w:t xml:space="preserve">, </w:t>
      </w:r>
      <w:r w:rsidRPr="00E27B90">
        <w:rPr>
          <w:rFonts w:ascii="Times New Roman" w:hAnsi="Times New Roman" w:cs="Times New Roman"/>
          <w:bCs/>
          <w:lang w:val="en-GB"/>
        </w:rPr>
        <w:t>so-called grace period</w:t>
      </w:r>
      <w:r w:rsidRPr="00E27B90">
        <w:rPr>
          <w:rFonts w:ascii="Times New Roman" w:hAnsi="Times New Roman" w:cs="Times New Roman"/>
          <w:lang w:val="en-GB"/>
        </w:rPr>
        <w:t>.</w:t>
      </w:r>
    </w:p>
    <w:p w14:paraId="36A253F6" w14:textId="77777777" w:rsidR="00A0413B" w:rsidRPr="00524209" w:rsidRDefault="00A0413B" w:rsidP="00A0413B">
      <w:pPr>
        <w:spacing w:line="276" w:lineRule="auto"/>
        <w:jc w:val="both"/>
        <w:rPr>
          <w:rFonts w:ascii="Times New Roman" w:hAnsi="Times New Roman" w:cs="Times New Roman"/>
        </w:rPr>
      </w:pPr>
    </w:p>
    <w:p w14:paraId="0C7BC389" w14:textId="77777777" w:rsidR="00A0413B" w:rsidRPr="00524209" w:rsidRDefault="00A0413B" w:rsidP="00A0413B">
      <w:pPr>
        <w:spacing w:line="276" w:lineRule="auto"/>
        <w:jc w:val="both"/>
        <w:rPr>
          <w:rFonts w:ascii="Times New Roman" w:hAnsi="Times New Roman" w:cs="Times New Roman"/>
          <w:b/>
          <w:u w:val="single"/>
        </w:rPr>
      </w:pPr>
      <w:r>
        <w:rPr>
          <w:rFonts w:ascii="Times New Roman" w:hAnsi="Times New Roman" w:cs="Times New Roman"/>
          <w:b/>
          <w:bCs/>
          <w:u w:val="single"/>
          <w:lang w:val="en-GB"/>
        </w:rPr>
        <w:t>The unemployment benefit amount is:</w:t>
      </w:r>
    </w:p>
    <w:p w14:paraId="030916F8" w14:textId="77777777" w:rsidR="00A0413B" w:rsidRPr="00524209" w:rsidRDefault="00A0413B" w:rsidP="00A0413B">
      <w:pPr>
        <w:spacing w:line="276" w:lineRule="auto"/>
        <w:jc w:val="both"/>
        <w:rPr>
          <w:rFonts w:ascii="Times New Roman" w:hAnsi="Times New Roman" w:cs="Times New Roman"/>
        </w:rPr>
      </w:pPr>
      <w:proofErr w:type="gramStart"/>
      <w:r>
        <w:rPr>
          <w:rFonts w:ascii="Times New Roman" w:hAnsi="Times New Roman" w:cs="Times New Roman"/>
          <w:lang w:val="en-GB"/>
        </w:rPr>
        <w:t>1)</w:t>
      </w:r>
      <w:r>
        <w:rPr>
          <w:rStyle w:val="tabulatory"/>
          <w:rFonts w:ascii="Times New Roman" w:hAnsi="Times New Roman" w:cs="Times New Roman"/>
          <w:lang w:val="en-GB"/>
        </w:rPr>
        <w:t>  </w:t>
      </w:r>
      <w:r>
        <w:rPr>
          <w:rStyle w:val="tabulatory"/>
          <w:rFonts w:ascii="Times New Roman" w:hAnsi="Times New Roman" w:cs="Times New Roman"/>
          <w:b/>
          <w:bCs/>
          <w:lang w:val="en-GB"/>
        </w:rPr>
        <w:t> </w:t>
      </w:r>
      <w:r>
        <w:rPr>
          <w:rFonts w:ascii="Times New Roman" w:hAnsi="Times New Roman" w:cs="Times New Roman"/>
          <w:b/>
          <w:bCs/>
          <w:lang w:val="en-GB"/>
        </w:rPr>
        <w:t>PLN</w:t>
      </w:r>
      <w:proofErr w:type="gramEnd"/>
      <w:r>
        <w:rPr>
          <w:rFonts w:ascii="Times New Roman" w:hAnsi="Times New Roman" w:cs="Times New Roman"/>
          <w:b/>
          <w:bCs/>
          <w:lang w:val="en-GB"/>
        </w:rPr>
        <w:t xml:space="preserve"> 831.10 </w:t>
      </w:r>
      <w:r>
        <w:rPr>
          <w:rFonts w:ascii="Times New Roman" w:hAnsi="Times New Roman" w:cs="Times New Roman"/>
          <w:lang w:val="en-GB"/>
        </w:rPr>
        <w:t>per month in the first 90 days of having the right to an unemployment benefit;</w:t>
      </w:r>
    </w:p>
    <w:p w14:paraId="0EC2E46A" w14:textId="77777777" w:rsidR="00A0413B" w:rsidRPr="00524209" w:rsidRDefault="00A0413B" w:rsidP="00A0413B">
      <w:pPr>
        <w:spacing w:line="276" w:lineRule="auto"/>
        <w:jc w:val="both"/>
        <w:rPr>
          <w:rFonts w:ascii="Times New Roman" w:hAnsi="Times New Roman" w:cs="Times New Roman"/>
        </w:rPr>
      </w:pPr>
      <w:proofErr w:type="gramStart"/>
      <w:r>
        <w:rPr>
          <w:rFonts w:ascii="Times New Roman" w:hAnsi="Times New Roman" w:cs="Times New Roman"/>
          <w:lang w:val="en-GB"/>
        </w:rPr>
        <w:t>2)</w:t>
      </w:r>
      <w:r>
        <w:rPr>
          <w:rStyle w:val="tabulatory"/>
          <w:rFonts w:ascii="Times New Roman" w:hAnsi="Times New Roman" w:cs="Times New Roman"/>
          <w:lang w:val="en-GB"/>
        </w:rPr>
        <w:t>  </w:t>
      </w:r>
      <w:r>
        <w:rPr>
          <w:rStyle w:val="tabulatory"/>
          <w:rFonts w:ascii="Times New Roman" w:hAnsi="Times New Roman" w:cs="Times New Roman"/>
          <w:b/>
          <w:bCs/>
          <w:lang w:val="en-GB"/>
        </w:rPr>
        <w:t> </w:t>
      </w:r>
      <w:r>
        <w:rPr>
          <w:rFonts w:ascii="Times New Roman" w:hAnsi="Times New Roman" w:cs="Times New Roman"/>
          <w:b/>
          <w:bCs/>
          <w:lang w:val="en-GB"/>
        </w:rPr>
        <w:t>PLN</w:t>
      </w:r>
      <w:proofErr w:type="gramEnd"/>
      <w:r>
        <w:rPr>
          <w:rFonts w:ascii="Times New Roman" w:hAnsi="Times New Roman" w:cs="Times New Roman"/>
          <w:b/>
          <w:bCs/>
          <w:lang w:val="en-GB"/>
        </w:rPr>
        <w:t xml:space="preserve"> 652.60 </w:t>
      </w:r>
      <w:r>
        <w:rPr>
          <w:rFonts w:ascii="Times New Roman" w:hAnsi="Times New Roman" w:cs="Times New Roman"/>
          <w:lang w:val="en-GB"/>
        </w:rPr>
        <w:t>per month in the subsequent days of having the right to an unemployment benefit.</w:t>
      </w:r>
    </w:p>
    <w:p w14:paraId="65C17273" w14:textId="77777777" w:rsidR="00A0413B" w:rsidRDefault="00A0413B" w:rsidP="00A0413B">
      <w:pPr>
        <w:spacing w:line="276" w:lineRule="auto"/>
        <w:jc w:val="both"/>
        <w:rPr>
          <w:rFonts w:ascii="Times New Roman" w:hAnsi="Times New Roman" w:cs="Times New Roman"/>
        </w:rPr>
      </w:pPr>
    </w:p>
    <w:p w14:paraId="4950A29C" w14:textId="77777777" w:rsidR="00A0413B" w:rsidRPr="00524209" w:rsidRDefault="00A0413B" w:rsidP="00A0413B">
      <w:pPr>
        <w:spacing w:line="276" w:lineRule="auto"/>
        <w:jc w:val="both"/>
        <w:rPr>
          <w:rFonts w:ascii="Times New Roman" w:hAnsi="Times New Roman" w:cs="Times New Roman"/>
        </w:rPr>
      </w:pPr>
      <w:r>
        <w:rPr>
          <w:rFonts w:ascii="Times New Roman" w:hAnsi="Times New Roman" w:cs="Times New Roman"/>
          <w:lang w:val="en-GB"/>
        </w:rPr>
        <w:t xml:space="preserve">An unemployed person whose total periods entitling this person to a benefit are </w:t>
      </w:r>
      <w:r>
        <w:rPr>
          <w:rFonts w:ascii="Times New Roman" w:hAnsi="Times New Roman" w:cs="Times New Roman"/>
          <w:b/>
          <w:bCs/>
          <w:lang w:val="en-GB"/>
        </w:rPr>
        <w:t>less than 5 years</w:t>
      </w:r>
      <w:r>
        <w:rPr>
          <w:rFonts w:ascii="Times New Roman" w:hAnsi="Times New Roman" w:cs="Times New Roman"/>
          <w:lang w:val="en-GB"/>
        </w:rPr>
        <w:t xml:space="preserve"> is entitled to a benefit in the amount of </w:t>
      </w:r>
      <w:r>
        <w:rPr>
          <w:rFonts w:ascii="Times New Roman" w:hAnsi="Times New Roman" w:cs="Times New Roman"/>
          <w:b/>
          <w:bCs/>
          <w:lang w:val="en-GB"/>
        </w:rPr>
        <w:t>80% of the benefit amount</w:t>
      </w:r>
      <w:r>
        <w:rPr>
          <w:rFonts w:ascii="Times New Roman" w:hAnsi="Times New Roman" w:cs="Times New Roman"/>
          <w:lang w:val="en-GB"/>
        </w:rPr>
        <w:t xml:space="preserve"> defined in points 1 and 2. An unemployed person, whose period entitling this person to a benefit is </w:t>
      </w:r>
      <w:r>
        <w:rPr>
          <w:rFonts w:ascii="Times New Roman" w:hAnsi="Times New Roman" w:cs="Times New Roman"/>
          <w:b/>
          <w:bCs/>
          <w:lang w:val="en-GB"/>
        </w:rPr>
        <w:t>at least 20 years</w:t>
      </w:r>
      <w:r>
        <w:rPr>
          <w:rFonts w:ascii="Times New Roman" w:hAnsi="Times New Roman" w:cs="Times New Roman"/>
          <w:lang w:val="en-GB"/>
        </w:rPr>
        <w:t xml:space="preserve">, is entitled to a benefit in the amount of </w:t>
      </w:r>
      <w:r>
        <w:rPr>
          <w:rFonts w:ascii="Times New Roman" w:hAnsi="Times New Roman" w:cs="Times New Roman"/>
          <w:b/>
          <w:bCs/>
          <w:lang w:val="en-GB"/>
        </w:rPr>
        <w:t>120% of the benefit amount</w:t>
      </w:r>
      <w:r>
        <w:rPr>
          <w:rFonts w:ascii="Times New Roman" w:hAnsi="Times New Roman" w:cs="Times New Roman"/>
          <w:lang w:val="en-GB"/>
        </w:rPr>
        <w:t xml:space="preserve"> defined in point 1 and 2.</w:t>
      </w:r>
    </w:p>
    <w:p w14:paraId="075A7839" w14:textId="77777777" w:rsidR="00A0413B" w:rsidRDefault="00A0413B" w:rsidP="00A0413B">
      <w:pPr>
        <w:pStyle w:val="ListParagraph"/>
        <w:spacing w:before="120" w:after="120" w:line="276" w:lineRule="auto"/>
        <w:ind w:left="0"/>
        <w:contextualSpacing w:val="0"/>
        <w:jc w:val="both"/>
        <w:rPr>
          <w:rFonts w:ascii="Times New Roman" w:hAnsi="Times New Roman" w:cs="Times New Roman"/>
          <w:lang w:val="en-GB"/>
        </w:rPr>
      </w:pPr>
      <w:r>
        <w:rPr>
          <w:rFonts w:ascii="Times New Roman" w:hAnsi="Times New Roman" w:cs="Times New Roman"/>
          <w:lang w:val="en-GB"/>
        </w:rPr>
        <w:t>The amount of the unemployment benefit is established annually in the Announcement of the Minister of Economy, Labour and Social Policy on the basis of the Act on Employment Promotion and Labour Market Institutions</w:t>
      </w:r>
      <w:r>
        <w:rPr>
          <w:rFonts w:ascii="Times New Roman" w:hAnsi="Times New Roman" w:cs="Times New Roman"/>
          <w:vertAlign w:val="superscript"/>
          <w:lang w:val="en-GB"/>
        </w:rPr>
        <w:footnoteReference w:id="3"/>
      </w:r>
      <w:r>
        <w:rPr>
          <w:rFonts w:ascii="Times New Roman" w:hAnsi="Times New Roman" w:cs="Times New Roman"/>
          <w:lang w:val="en-GB"/>
        </w:rPr>
        <w:t xml:space="preserve">. </w:t>
      </w:r>
    </w:p>
    <w:p w14:paraId="357B05AD" w14:textId="34C2D4FC" w:rsidR="00A0413B" w:rsidRPr="00524209" w:rsidRDefault="00A0413B" w:rsidP="00A0413B">
      <w:pPr>
        <w:pStyle w:val="ListParagraph"/>
        <w:spacing w:before="120" w:after="120" w:line="276" w:lineRule="auto"/>
        <w:ind w:left="0"/>
        <w:contextualSpacing w:val="0"/>
        <w:jc w:val="both"/>
        <w:rPr>
          <w:rFonts w:ascii="Times New Roman" w:hAnsi="Times New Roman" w:cs="Times New Roman"/>
        </w:rPr>
      </w:pPr>
      <w:r>
        <w:rPr>
          <w:rFonts w:ascii="Times New Roman" w:hAnsi="Times New Roman" w:cs="Times New Roman"/>
          <w:lang w:val="en-GB"/>
        </w:rPr>
        <w:t>From 2010, two amounts of the basic benefit are established – a higher amount for the first three months of being entitled to the benefit and a lower amount which is applicable from the fourth month. The benefit rates are applicable from 1 June of a given year until the end of May of the next year. The aim of the differentiation of the benefit rate (its increase in the first period and decrease in the case of being registered for more than 3 months) due to increasing the difference between the amount of the benefit received and the potential (minimum) wage was to encourage the unemployed to actively seek employment, thus decreasing the probability of long-term unemployment.</w:t>
      </w:r>
    </w:p>
    <w:p w14:paraId="4B9590DE" w14:textId="77777777" w:rsidR="00A0413B" w:rsidRDefault="00A0413B" w:rsidP="00A0413B">
      <w:pPr>
        <w:spacing w:line="276" w:lineRule="auto"/>
        <w:jc w:val="both"/>
        <w:rPr>
          <w:rFonts w:ascii="Times New Roman" w:hAnsi="Times New Roman" w:cs="Times New Roman"/>
          <w:b/>
          <w:bCs/>
          <w:u w:val="single"/>
        </w:rPr>
      </w:pPr>
    </w:p>
    <w:p w14:paraId="294C5057" w14:textId="77777777" w:rsidR="00EA10F7" w:rsidRPr="00524209" w:rsidRDefault="00EA10F7" w:rsidP="00EA10F7">
      <w:pPr>
        <w:spacing w:line="276" w:lineRule="auto"/>
        <w:jc w:val="both"/>
        <w:rPr>
          <w:rFonts w:ascii="Times New Roman" w:hAnsi="Times New Roman" w:cs="Times New Roman"/>
          <w:b/>
          <w:u w:val="single"/>
        </w:rPr>
      </w:pPr>
      <w:r>
        <w:rPr>
          <w:rFonts w:ascii="Times New Roman" w:hAnsi="Times New Roman" w:cs="Times New Roman"/>
          <w:b/>
          <w:bCs/>
          <w:u w:val="single"/>
          <w:lang w:val="en-GB"/>
        </w:rPr>
        <w:t>Loss of the right to an unemployment benefit</w:t>
      </w:r>
    </w:p>
    <w:p w14:paraId="6FB2D9D1" w14:textId="77777777" w:rsidR="00EA10F7" w:rsidRPr="00524209" w:rsidRDefault="00EA10F7" w:rsidP="00EA10F7">
      <w:pPr>
        <w:spacing w:line="276" w:lineRule="auto"/>
        <w:jc w:val="both"/>
        <w:rPr>
          <w:rFonts w:ascii="Times New Roman" w:hAnsi="Times New Roman" w:cs="Times New Roman"/>
        </w:rPr>
      </w:pPr>
      <w:r>
        <w:rPr>
          <w:rFonts w:ascii="Times New Roman" w:hAnsi="Times New Roman" w:cs="Times New Roman"/>
          <w:lang w:val="en-GB"/>
        </w:rPr>
        <w:t>Loss of the right to an unemployment benefit can be either due to the expiry of the period for which the benefit was granted or due to the loss of the status of the unemployed, because in Poland only persons with the unemployed status are entitled to this benefit.</w:t>
      </w:r>
    </w:p>
    <w:p w14:paraId="4C936645" w14:textId="77777777" w:rsidR="00EA10F7" w:rsidRDefault="00EA10F7" w:rsidP="00A0413B">
      <w:pPr>
        <w:spacing w:line="276" w:lineRule="auto"/>
        <w:jc w:val="both"/>
        <w:rPr>
          <w:rFonts w:ascii="Times New Roman" w:hAnsi="Times New Roman" w:cs="Times New Roman"/>
          <w:b/>
          <w:bCs/>
          <w:u w:val="single"/>
        </w:rPr>
      </w:pPr>
    </w:p>
    <w:p w14:paraId="3B5B1A51" w14:textId="77777777" w:rsidR="00EA10F7" w:rsidRDefault="00EA10F7" w:rsidP="00A0413B">
      <w:pPr>
        <w:spacing w:line="276" w:lineRule="auto"/>
        <w:jc w:val="both"/>
        <w:rPr>
          <w:rFonts w:ascii="Times New Roman" w:hAnsi="Times New Roman" w:cs="Times New Roman"/>
          <w:b/>
          <w:bCs/>
          <w:u w:val="single"/>
        </w:rPr>
      </w:pPr>
    </w:p>
    <w:p w14:paraId="310D64C7" w14:textId="77777777" w:rsidR="00EA10F7" w:rsidRDefault="00EA10F7" w:rsidP="00A0413B">
      <w:pPr>
        <w:spacing w:line="276" w:lineRule="auto"/>
        <w:jc w:val="both"/>
        <w:rPr>
          <w:rFonts w:ascii="Times New Roman" w:hAnsi="Times New Roman" w:cs="Times New Roman"/>
          <w:b/>
          <w:bCs/>
          <w:u w:val="single"/>
        </w:rPr>
      </w:pPr>
    </w:p>
    <w:p w14:paraId="69DFE77A" w14:textId="77777777" w:rsidR="00EA10F7" w:rsidRDefault="00EA10F7" w:rsidP="00A0413B">
      <w:pPr>
        <w:spacing w:line="276" w:lineRule="auto"/>
        <w:jc w:val="both"/>
        <w:rPr>
          <w:rFonts w:ascii="Times New Roman" w:hAnsi="Times New Roman" w:cs="Times New Roman"/>
          <w:b/>
          <w:bCs/>
          <w:u w:val="single"/>
        </w:rPr>
      </w:pPr>
    </w:p>
    <w:p w14:paraId="4DC03492" w14:textId="77777777" w:rsidR="00EA10F7" w:rsidRDefault="00EA10F7" w:rsidP="00A0413B">
      <w:pPr>
        <w:spacing w:line="276" w:lineRule="auto"/>
        <w:jc w:val="both"/>
        <w:rPr>
          <w:rFonts w:ascii="Times New Roman" w:hAnsi="Times New Roman" w:cs="Times New Roman"/>
          <w:b/>
          <w:bCs/>
          <w:u w:val="single"/>
        </w:rPr>
      </w:pPr>
    </w:p>
    <w:p w14:paraId="61ADAB8A" w14:textId="77777777" w:rsidR="00EA10F7" w:rsidRDefault="00EA10F7" w:rsidP="00A0413B">
      <w:pPr>
        <w:spacing w:line="276" w:lineRule="auto"/>
        <w:jc w:val="both"/>
        <w:rPr>
          <w:rFonts w:ascii="Times New Roman" w:hAnsi="Times New Roman" w:cs="Times New Roman"/>
          <w:b/>
          <w:bCs/>
          <w:u w:val="single"/>
        </w:rPr>
      </w:pPr>
    </w:p>
    <w:p w14:paraId="4DC7346A" w14:textId="77777777" w:rsidR="00EA10F7" w:rsidRDefault="00EA10F7" w:rsidP="00A0413B">
      <w:pPr>
        <w:spacing w:line="276" w:lineRule="auto"/>
        <w:jc w:val="both"/>
        <w:rPr>
          <w:rFonts w:ascii="Times New Roman" w:hAnsi="Times New Roman" w:cs="Times New Roman"/>
          <w:b/>
          <w:bCs/>
          <w:u w:val="single"/>
        </w:rPr>
      </w:pPr>
    </w:p>
    <w:p w14:paraId="6E32AE0E" w14:textId="77777777" w:rsidR="00EA10F7" w:rsidRPr="00524209" w:rsidRDefault="00EA10F7" w:rsidP="00A0413B">
      <w:pPr>
        <w:spacing w:line="276" w:lineRule="auto"/>
        <w:jc w:val="both"/>
        <w:rPr>
          <w:rFonts w:ascii="Times New Roman" w:hAnsi="Times New Roman" w:cs="Times New Roman"/>
          <w:b/>
          <w:bCs/>
          <w:u w:val="single"/>
        </w:rPr>
      </w:pPr>
    </w:p>
    <w:tbl>
      <w:tblPr>
        <w:tblW w:w="0" w:type="auto"/>
        <w:tblLook w:val="04A0" w:firstRow="1" w:lastRow="0" w:firstColumn="1" w:lastColumn="0" w:noHBand="0" w:noVBand="1"/>
      </w:tblPr>
      <w:tblGrid>
        <w:gridCol w:w="8660"/>
        <w:gridCol w:w="38"/>
      </w:tblGrid>
      <w:tr w:rsidR="00A0413B" w:rsidRPr="00524209" w14:paraId="088DF204" w14:textId="77777777" w:rsidTr="005A4163">
        <w:trPr>
          <w:gridAfter w:val="1"/>
          <w:wAfter w:w="38" w:type="dxa"/>
        </w:trPr>
        <w:tc>
          <w:tcPr>
            <w:tcW w:w="8530" w:type="dxa"/>
            <w:shd w:val="clear" w:color="auto" w:fill="auto"/>
          </w:tcPr>
          <w:p w14:paraId="43E37861" w14:textId="2230C4FA" w:rsidR="00A0413B" w:rsidRPr="00524209" w:rsidRDefault="00A0413B" w:rsidP="005A4163">
            <w:pPr>
              <w:spacing w:before="120" w:after="120" w:line="276" w:lineRule="auto"/>
              <w:jc w:val="both"/>
              <w:rPr>
                <w:rFonts w:ascii="Times New Roman" w:hAnsi="Times New Roman" w:cs="Times New Roman"/>
                <w:b/>
              </w:rPr>
            </w:pPr>
            <w:r>
              <w:rPr>
                <w:rFonts w:ascii="Times New Roman" w:hAnsi="Times New Roman" w:cs="Times New Roman"/>
                <w:b/>
                <w:bCs/>
                <w:lang w:val="en-GB"/>
              </w:rPr>
              <w:t>Chart</w:t>
            </w:r>
            <w:r w:rsidR="00B050ED">
              <w:rPr>
                <w:rFonts w:ascii="Times New Roman" w:hAnsi="Times New Roman" w:cs="Times New Roman"/>
                <w:b/>
                <w:bCs/>
                <w:lang w:val="en-GB"/>
              </w:rPr>
              <w:t xml:space="preserve"> 1</w:t>
            </w:r>
            <w:r>
              <w:rPr>
                <w:rFonts w:ascii="Times New Roman" w:hAnsi="Times New Roman" w:cs="Times New Roman"/>
                <w:b/>
                <w:bCs/>
                <w:lang w:val="en-GB"/>
              </w:rPr>
              <w:t>. The amount of the basic unemployment benefit in 2005–2017 (PLN)</w:t>
            </w:r>
          </w:p>
        </w:tc>
      </w:tr>
      <w:tr w:rsidR="00A0413B" w:rsidRPr="00524209" w14:paraId="785066CE" w14:textId="77777777" w:rsidTr="005A4163">
        <w:tblPrEx>
          <w:tblCellMar>
            <w:left w:w="70" w:type="dxa"/>
            <w:right w:w="70" w:type="dxa"/>
          </w:tblCellMar>
        </w:tblPrEx>
        <w:tc>
          <w:tcPr>
            <w:tcW w:w="8568" w:type="dxa"/>
            <w:gridSpan w:val="2"/>
            <w:shd w:val="clear" w:color="auto" w:fill="auto"/>
          </w:tcPr>
          <w:p w14:paraId="488A2F96" w14:textId="77777777" w:rsidR="00A0413B" w:rsidRPr="00524209" w:rsidRDefault="00A0413B" w:rsidP="005A4163">
            <w:pPr>
              <w:spacing w:before="120" w:after="120" w:line="276"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1C861E87" wp14:editId="12849F5B">
                  <wp:extent cx="5433238" cy="3168502"/>
                  <wp:effectExtent l="0" t="0" r="0" b="0"/>
                  <wp:docPr id="8" name="Wykre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14:paraId="107556B7" w14:textId="77777777" w:rsidR="00A0413B" w:rsidRPr="00524209" w:rsidRDefault="00A0413B" w:rsidP="00A0413B">
      <w:pPr>
        <w:spacing w:line="276" w:lineRule="auto"/>
        <w:jc w:val="both"/>
        <w:rPr>
          <w:rFonts w:ascii="Times New Roman" w:hAnsi="Times New Roman" w:cs="Times New Roman"/>
          <w:b/>
          <w:bCs/>
          <w:u w:val="single"/>
        </w:rPr>
      </w:pPr>
      <w:r>
        <w:rPr>
          <w:rFonts w:ascii="Times New Roman" w:hAnsi="Times New Roman" w:cs="Times New Roman"/>
          <w:b/>
          <w:bCs/>
          <w:u w:val="single"/>
          <w:lang w:val="en-GB"/>
        </w:rPr>
        <w:t xml:space="preserve">Grace period </w:t>
      </w:r>
    </w:p>
    <w:p w14:paraId="008C6467" w14:textId="77777777" w:rsidR="00A0413B" w:rsidRPr="00524209" w:rsidRDefault="00A0413B" w:rsidP="00A0413B">
      <w:pPr>
        <w:spacing w:line="276" w:lineRule="auto"/>
        <w:jc w:val="both"/>
        <w:rPr>
          <w:rFonts w:ascii="Times New Roman" w:hAnsi="Times New Roman" w:cs="Times New Roman"/>
          <w:bCs/>
        </w:rPr>
      </w:pPr>
      <w:r>
        <w:rPr>
          <w:rFonts w:ascii="Times New Roman" w:hAnsi="Times New Roman" w:cs="Times New Roman"/>
          <w:lang w:val="en-GB"/>
        </w:rPr>
        <w:t xml:space="preserve">In Poland, certain situations have also been identified which result in the necessity to wait for the grating of the unemployment benefit after the registration in the labour office and shortening the statutory period of being entitled to the benefit – the so-called grace period. In such a case an unemployed person is eligible for the benefit, for instance, after 90 or 180 days from the day of registration in the labour office, and the period for which the unemployment benefit will be granted will be shortened by that amount of time. </w:t>
      </w:r>
    </w:p>
    <w:p w14:paraId="24F4868E" w14:textId="77777777" w:rsidR="00A0413B" w:rsidRPr="00524209" w:rsidRDefault="00A0413B" w:rsidP="00A0413B">
      <w:pPr>
        <w:spacing w:line="276" w:lineRule="auto"/>
        <w:jc w:val="both"/>
        <w:rPr>
          <w:rFonts w:ascii="Times New Roman" w:hAnsi="Times New Roman" w:cs="Times New Roman"/>
        </w:rPr>
      </w:pPr>
      <w:r>
        <w:rPr>
          <w:rFonts w:ascii="Times New Roman" w:hAnsi="Times New Roman" w:cs="Times New Roman"/>
          <w:lang w:val="en-GB"/>
        </w:rPr>
        <w:t xml:space="preserve">This includes such situations as for instance an unjustified refusal or termination of participation in the activation of the unemployed person by the labour office, which means for example a refusal to accept the proposal of an appropriate job offer, training, internship, carrying out of public works. </w:t>
      </w:r>
    </w:p>
    <w:p w14:paraId="53DAC5D6" w14:textId="77777777" w:rsidR="00A0413B" w:rsidRPr="00524209" w:rsidRDefault="00A0413B" w:rsidP="00A0413B">
      <w:pPr>
        <w:spacing w:line="276" w:lineRule="auto"/>
        <w:jc w:val="both"/>
        <w:rPr>
          <w:rFonts w:ascii="Times New Roman" w:hAnsi="Times New Roman" w:cs="Times New Roman"/>
        </w:rPr>
      </w:pPr>
      <w:r>
        <w:rPr>
          <w:rFonts w:ascii="Times New Roman" w:hAnsi="Times New Roman" w:cs="Times New Roman"/>
          <w:lang w:val="en-GB"/>
        </w:rPr>
        <w:t xml:space="preserve">On the other hand, it also includes situations where the same employee terminated an employment contract (or caused the termination of such a contract by the employer as a result of the employee’s misconduct) in the period of 6 months before that person’s registration as an unemployed in the </w:t>
      </w:r>
      <w:proofErr w:type="spellStart"/>
      <w:r>
        <w:rPr>
          <w:rFonts w:ascii="Times New Roman" w:hAnsi="Times New Roman" w:cs="Times New Roman"/>
          <w:lang w:val="en-GB"/>
        </w:rPr>
        <w:t>poviat</w:t>
      </w:r>
      <w:proofErr w:type="spellEnd"/>
      <w:r>
        <w:rPr>
          <w:rFonts w:ascii="Times New Roman" w:hAnsi="Times New Roman" w:cs="Times New Roman"/>
          <w:lang w:val="en-GB"/>
        </w:rPr>
        <w:t xml:space="preserve"> labour office.</w:t>
      </w:r>
    </w:p>
    <w:p w14:paraId="2EF37922" w14:textId="77777777" w:rsidR="00A0413B" w:rsidRDefault="00A0413B" w:rsidP="00280E2F">
      <w:pPr>
        <w:pStyle w:val="ListParagraph"/>
        <w:spacing w:before="120" w:after="120" w:line="360" w:lineRule="auto"/>
        <w:ind w:left="0"/>
        <w:jc w:val="both"/>
        <w:rPr>
          <w:rFonts w:ascii="Times New Roman" w:hAnsi="Times New Roman"/>
        </w:rPr>
      </w:pPr>
    </w:p>
    <w:p w14:paraId="694406FB" w14:textId="77777777" w:rsidR="009A276D" w:rsidRPr="009A276D" w:rsidRDefault="009A276D" w:rsidP="009A276D">
      <w:pPr>
        <w:pStyle w:val="ListParagraph"/>
        <w:spacing w:before="120" w:after="120" w:line="276" w:lineRule="auto"/>
        <w:ind w:left="0"/>
        <w:contextualSpacing w:val="0"/>
        <w:jc w:val="both"/>
        <w:rPr>
          <w:rFonts w:ascii="Times New Roman" w:hAnsi="Times New Roman" w:cs="Times New Roman"/>
          <w:b/>
        </w:rPr>
      </w:pPr>
      <w:r w:rsidRPr="009A276D">
        <w:rPr>
          <w:rFonts w:ascii="Times New Roman" w:hAnsi="Times New Roman" w:cs="Times New Roman"/>
          <w:b/>
          <w:lang w:val="en-GB"/>
        </w:rPr>
        <w:t>2.3. THE MINIMUM WAGE</w:t>
      </w:r>
    </w:p>
    <w:p w14:paraId="71CCC371" w14:textId="77777777" w:rsidR="009A276D" w:rsidRPr="00524209" w:rsidRDefault="009A276D" w:rsidP="009A276D">
      <w:pPr>
        <w:pStyle w:val="ListParagraph"/>
        <w:spacing w:before="120" w:after="120" w:line="276" w:lineRule="auto"/>
        <w:ind w:left="0"/>
        <w:contextualSpacing w:val="0"/>
        <w:jc w:val="both"/>
        <w:rPr>
          <w:rFonts w:ascii="Times New Roman" w:hAnsi="Times New Roman" w:cs="Times New Roman"/>
        </w:rPr>
      </w:pPr>
      <w:r>
        <w:rPr>
          <w:rFonts w:ascii="Times New Roman" w:hAnsi="Times New Roman" w:cs="Times New Roman"/>
          <w:lang w:val="en-GB"/>
        </w:rPr>
        <w:t xml:space="preserve">In Poland the minimum wage has been determined by the Act of 10 October 2002 r. on the minimum remuneration for work since 1 January 2003. Pursuant to the Act, the minimum remuneration is negotiated on an annual basis within the Social Dialogue Council composed of representatives of the government, employees (associations of trade unions), and employers. </w:t>
      </w:r>
    </w:p>
    <w:p w14:paraId="5772B458" w14:textId="77777777" w:rsidR="009A276D" w:rsidRPr="00524209" w:rsidRDefault="009A276D" w:rsidP="009A276D">
      <w:pPr>
        <w:pStyle w:val="ListParagraph"/>
        <w:spacing w:before="120" w:after="120" w:line="276" w:lineRule="auto"/>
        <w:ind w:left="0"/>
        <w:contextualSpacing w:val="0"/>
        <w:jc w:val="both"/>
        <w:rPr>
          <w:rFonts w:ascii="Times New Roman" w:hAnsi="Times New Roman" w:cs="Times New Roman"/>
        </w:rPr>
      </w:pPr>
      <w:r>
        <w:rPr>
          <w:rFonts w:ascii="Times New Roman" w:hAnsi="Times New Roman" w:cs="Times New Roman"/>
          <w:lang w:val="en-GB"/>
        </w:rPr>
        <w:lastRenderedPageBreak/>
        <w:t>The minimum wage amount is determined on the basis of projected and actual macroeconomic values, such as for instance inflation and real gross domestic product (GDP) growth. A detailed mechanism for the calculation of the minimum amount of this remuneration is regulated by the Act.</w:t>
      </w:r>
    </w:p>
    <w:p w14:paraId="667D7C31" w14:textId="77777777" w:rsidR="009A276D" w:rsidRPr="00524209" w:rsidRDefault="009A276D" w:rsidP="009A276D">
      <w:pPr>
        <w:pStyle w:val="ListParagraph"/>
        <w:spacing w:before="120" w:after="120" w:line="276" w:lineRule="auto"/>
        <w:ind w:left="0"/>
        <w:contextualSpacing w:val="0"/>
        <w:jc w:val="both"/>
        <w:rPr>
          <w:rFonts w:ascii="Times New Roman" w:hAnsi="Times New Roman" w:cs="Times New Roman"/>
        </w:rPr>
      </w:pPr>
      <w:r>
        <w:rPr>
          <w:rFonts w:ascii="Times New Roman" w:hAnsi="Times New Roman" w:cs="Times New Roman"/>
          <w:lang w:val="en-GB"/>
        </w:rPr>
        <w:t xml:space="preserve">Minimum remuneration for work in Poland is a nationwide category. It is not diversified according to region, industry, economic sector or professional group. The only criterion for diversification of the minimum salary is short work experience. The Act allows employers to determine wage whose amount is below the applicable minimum for persons in their first year of </w:t>
      </w:r>
      <w:proofErr w:type="gramStart"/>
      <w:r>
        <w:rPr>
          <w:rFonts w:ascii="Times New Roman" w:hAnsi="Times New Roman" w:cs="Times New Roman"/>
          <w:lang w:val="en-GB"/>
        </w:rPr>
        <w:t>employment,</w:t>
      </w:r>
      <w:proofErr w:type="gramEnd"/>
      <w:r>
        <w:rPr>
          <w:rFonts w:ascii="Times New Roman" w:hAnsi="Times New Roman" w:cs="Times New Roman"/>
          <w:lang w:val="en-GB"/>
        </w:rPr>
        <w:t xml:space="preserve"> however, the amount of this remuneration cannot be lower than 80% of the minimum wage applicable that year. </w:t>
      </w:r>
    </w:p>
    <w:p w14:paraId="7712570A" w14:textId="77777777" w:rsidR="009A276D" w:rsidRPr="00524209" w:rsidRDefault="009A276D" w:rsidP="009A276D">
      <w:pPr>
        <w:pStyle w:val="ListParagraph"/>
        <w:spacing w:before="120" w:after="120" w:line="276" w:lineRule="auto"/>
        <w:ind w:left="0"/>
        <w:contextualSpacing w:val="0"/>
        <w:jc w:val="both"/>
        <w:rPr>
          <w:rFonts w:ascii="Times New Roman" w:hAnsi="Times New Roman" w:cs="Times New Roman"/>
        </w:rPr>
      </w:pPr>
      <w:r>
        <w:rPr>
          <w:rFonts w:ascii="Times New Roman" w:hAnsi="Times New Roman" w:cs="Times New Roman"/>
          <w:lang w:val="en-GB"/>
        </w:rPr>
        <w:t>It needs to be noted that in recent years, the ratio of the minimum pay to the average salary in the national economy has remained above 40%, and the minimum remuneration increases at a faster pace than the average pay; this year the ration will be approx. 45.4% (according to forecasts). The minimum wage for 2016 (PLN 1 850) was 131.3% higher than the minimum wage applicable as at the date when the Act entered into force (i.e. PLN 800 as at 1 January 2003), and increased by 5.7% compared to the previous year (PLN 1 750).</w:t>
      </w:r>
    </w:p>
    <w:p w14:paraId="15A20269" w14:textId="77777777" w:rsidR="009A276D" w:rsidRPr="00524209" w:rsidRDefault="009A276D" w:rsidP="009A276D">
      <w:pPr>
        <w:pStyle w:val="ListParagraph"/>
        <w:spacing w:before="120" w:after="120" w:line="276" w:lineRule="auto"/>
        <w:ind w:left="0"/>
        <w:contextualSpacing w:val="0"/>
        <w:jc w:val="both"/>
        <w:rPr>
          <w:rFonts w:ascii="Times New Roman" w:hAnsi="Times New Roman" w:cs="Times New Roman"/>
        </w:rPr>
      </w:pPr>
      <w:r>
        <w:rPr>
          <w:rFonts w:ascii="Times New Roman" w:hAnsi="Times New Roman" w:cs="Times New Roman"/>
          <w:lang w:val="en-GB"/>
        </w:rPr>
        <w:t>The amount of minimum wage in 2017 in Poland, calculated as the minimum resulting from the Act, should be at least PLN 1 862 (increase by 0.65% compared with the remuneration applicable this year, 43.8% in relation to the projected average remuneration in national economy in 2017). However, having regard to the optimistic socio-economic forecasts and macroeconomic indicator levels, the Ministry proposed that the minimum remuneration was higher than the statutory minimum, proposing the amount of PLN 1,920. This proposal is currently the subject of Government work. The Table below presents the developments of minimum remuneration between 2005 and 2017.</w:t>
      </w:r>
    </w:p>
    <w:p w14:paraId="03433FA7" w14:textId="50062449" w:rsidR="009A276D" w:rsidRPr="00524209" w:rsidRDefault="00B050ED" w:rsidP="009A276D">
      <w:pPr>
        <w:pStyle w:val="ListParagraph"/>
        <w:spacing w:before="120" w:after="120" w:line="276" w:lineRule="auto"/>
        <w:ind w:left="0" w:firstLine="360"/>
        <w:jc w:val="both"/>
        <w:rPr>
          <w:rFonts w:ascii="Times New Roman" w:hAnsi="Times New Roman" w:cs="Times New Roman"/>
          <w:b/>
        </w:rPr>
      </w:pPr>
      <w:r>
        <w:rPr>
          <w:rFonts w:ascii="Times New Roman" w:hAnsi="Times New Roman" w:cs="Times New Roman"/>
          <w:b/>
          <w:bCs/>
          <w:lang w:val="en-GB"/>
        </w:rPr>
        <w:t xml:space="preserve">Chart 2. </w:t>
      </w:r>
      <w:r w:rsidR="009A276D">
        <w:rPr>
          <w:rFonts w:ascii="Times New Roman" w:hAnsi="Times New Roman" w:cs="Times New Roman"/>
          <w:b/>
          <w:bCs/>
          <w:lang w:val="en-GB"/>
        </w:rPr>
        <w:t>Minimum remuneration for work between 2005 and 2017</w:t>
      </w:r>
    </w:p>
    <w:tbl>
      <w:tblPr>
        <w:tblW w:w="9661" w:type="dxa"/>
        <w:tblInd w:w="212" w:type="dxa"/>
        <w:tblCellMar>
          <w:left w:w="70" w:type="dxa"/>
          <w:right w:w="70" w:type="dxa"/>
        </w:tblCellMar>
        <w:tblLook w:val="04A0" w:firstRow="1" w:lastRow="0" w:firstColumn="1" w:lastColumn="0" w:noHBand="0" w:noVBand="1"/>
      </w:tblPr>
      <w:tblGrid>
        <w:gridCol w:w="1401"/>
        <w:gridCol w:w="1680"/>
        <w:gridCol w:w="2379"/>
        <w:gridCol w:w="4201"/>
      </w:tblGrid>
      <w:tr w:rsidR="009A276D" w:rsidRPr="00524209" w14:paraId="3127246F" w14:textId="77777777" w:rsidTr="005A4163">
        <w:trPr>
          <w:trHeight w:val="415"/>
        </w:trPr>
        <w:tc>
          <w:tcPr>
            <w:tcW w:w="1401"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45EDA469" w14:textId="77777777" w:rsidR="009A276D" w:rsidRPr="00524209" w:rsidRDefault="009A276D" w:rsidP="005A4163">
            <w:pPr>
              <w:spacing w:line="276" w:lineRule="auto"/>
              <w:jc w:val="both"/>
              <w:rPr>
                <w:rFonts w:ascii="Times New Roman" w:hAnsi="Times New Roman" w:cs="Times New Roman"/>
                <w:b/>
                <w:bCs/>
              </w:rPr>
            </w:pPr>
            <w:r>
              <w:rPr>
                <w:rFonts w:ascii="Times New Roman" w:hAnsi="Times New Roman" w:cs="Times New Roman"/>
                <w:b/>
                <w:bCs/>
                <w:lang w:val="en-GB"/>
              </w:rPr>
              <w:t>Year</w:t>
            </w:r>
          </w:p>
        </w:tc>
        <w:tc>
          <w:tcPr>
            <w:tcW w:w="168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48C93992" w14:textId="77777777" w:rsidR="009A276D" w:rsidRPr="00524209" w:rsidRDefault="009A276D" w:rsidP="005A4163">
            <w:pPr>
              <w:spacing w:line="276" w:lineRule="auto"/>
              <w:jc w:val="both"/>
              <w:rPr>
                <w:rFonts w:ascii="Times New Roman" w:hAnsi="Times New Roman" w:cs="Times New Roman"/>
                <w:b/>
                <w:bCs/>
              </w:rPr>
            </w:pPr>
            <w:r>
              <w:rPr>
                <w:rFonts w:ascii="Times New Roman" w:hAnsi="Times New Roman" w:cs="Times New Roman"/>
                <w:b/>
                <w:bCs/>
                <w:lang w:val="en-GB"/>
              </w:rPr>
              <w:t>MR</w:t>
            </w:r>
            <w:r>
              <w:rPr>
                <w:rFonts w:ascii="Times New Roman" w:hAnsi="Times New Roman" w:cs="Times New Roman"/>
                <w:b/>
                <w:bCs/>
                <w:lang w:val="en-GB"/>
              </w:rPr>
              <w:br/>
              <w:t>in PLN</w:t>
            </w:r>
          </w:p>
        </w:tc>
        <w:tc>
          <w:tcPr>
            <w:tcW w:w="2379" w:type="dxa"/>
            <w:vMerge w:val="restart"/>
            <w:tcBorders>
              <w:top w:val="single" w:sz="8" w:space="0" w:color="auto"/>
              <w:left w:val="single" w:sz="8" w:space="0" w:color="auto"/>
              <w:right w:val="single" w:sz="8" w:space="0" w:color="auto"/>
            </w:tcBorders>
            <w:shd w:val="clear" w:color="000000" w:fill="D9D9D9"/>
            <w:vAlign w:val="center"/>
          </w:tcPr>
          <w:p w14:paraId="6AB27652" w14:textId="77777777" w:rsidR="009A276D" w:rsidRPr="00524209" w:rsidRDefault="009A276D" w:rsidP="005A4163">
            <w:pPr>
              <w:spacing w:line="276" w:lineRule="auto"/>
              <w:jc w:val="both"/>
              <w:rPr>
                <w:rFonts w:ascii="Times New Roman" w:hAnsi="Times New Roman" w:cs="Times New Roman"/>
                <w:b/>
                <w:bCs/>
              </w:rPr>
            </w:pPr>
            <w:r>
              <w:rPr>
                <w:rFonts w:ascii="Times New Roman" w:hAnsi="Times New Roman" w:cs="Times New Roman"/>
                <w:b/>
                <w:bCs/>
                <w:lang w:val="en-GB"/>
              </w:rPr>
              <w:t xml:space="preserve">MR increase </w:t>
            </w:r>
            <w:r>
              <w:rPr>
                <w:rFonts w:ascii="Times New Roman" w:hAnsi="Times New Roman" w:cs="Times New Roman"/>
                <w:b/>
                <w:bCs/>
                <w:lang w:val="en-GB"/>
              </w:rPr>
              <w:br/>
              <w:t>(previous year = 100)</w:t>
            </w:r>
          </w:p>
          <w:p w14:paraId="5B721149" w14:textId="77777777" w:rsidR="009A276D" w:rsidRPr="00524209" w:rsidRDefault="009A276D" w:rsidP="005A4163">
            <w:pPr>
              <w:spacing w:line="276" w:lineRule="auto"/>
              <w:jc w:val="both"/>
              <w:rPr>
                <w:rFonts w:ascii="Times New Roman" w:hAnsi="Times New Roman" w:cs="Times New Roman"/>
                <w:b/>
                <w:bCs/>
              </w:rPr>
            </w:pPr>
            <w:r>
              <w:rPr>
                <w:rFonts w:ascii="Times New Roman" w:hAnsi="Times New Roman" w:cs="Times New Roman"/>
                <w:b/>
                <w:bCs/>
                <w:lang w:val="en-GB"/>
              </w:rPr>
              <w:t>%</w:t>
            </w:r>
          </w:p>
        </w:tc>
        <w:tc>
          <w:tcPr>
            <w:tcW w:w="4201" w:type="dxa"/>
            <w:vMerge w:val="restart"/>
            <w:tcBorders>
              <w:top w:val="single" w:sz="8" w:space="0" w:color="auto"/>
              <w:left w:val="single" w:sz="8" w:space="0" w:color="auto"/>
              <w:right w:val="single" w:sz="8" w:space="0" w:color="auto"/>
            </w:tcBorders>
            <w:shd w:val="clear" w:color="000000" w:fill="D9D9D9"/>
            <w:vAlign w:val="center"/>
          </w:tcPr>
          <w:p w14:paraId="420E1422" w14:textId="77777777" w:rsidR="009A276D" w:rsidRPr="00524209" w:rsidRDefault="009A276D" w:rsidP="005A4163">
            <w:pPr>
              <w:spacing w:line="276" w:lineRule="auto"/>
              <w:jc w:val="both"/>
              <w:rPr>
                <w:rFonts w:ascii="Times New Roman" w:hAnsi="Times New Roman" w:cs="Times New Roman"/>
                <w:b/>
                <w:bCs/>
              </w:rPr>
            </w:pPr>
            <w:r>
              <w:rPr>
                <w:rFonts w:ascii="Times New Roman" w:hAnsi="Times New Roman" w:cs="Times New Roman"/>
                <w:b/>
                <w:bCs/>
                <w:lang w:val="en-GB"/>
              </w:rPr>
              <w:t xml:space="preserve">Relation to the average remuneration </w:t>
            </w:r>
            <w:r>
              <w:rPr>
                <w:rFonts w:ascii="Times New Roman" w:hAnsi="Times New Roman" w:cs="Times New Roman"/>
                <w:b/>
                <w:bCs/>
                <w:lang w:val="en-GB"/>
              </w:rPr>
              <w:br/>
              <w:t>in the national economy (%)</w:t>
            </w:r>
          </w:p>
        </w:tc>
      </w:tr>
      <w:tr w:rsidR="009A276D" w:rsidRPr="00524209" w14:paraId="6A172B8A" w14:textId="77777777" w:rsidTr="005A4163">
        <w:trPr>
          <w:trHeight w:hRule="exact" w:val="229"/>
        </w:trPr>
        <w:tc>
          <w:tcPr>
            <w:tcW w:w="1401" w:type="dxa"/>
            <w:vMerge/>
            <w:tcBorders>
              <w:top w:val="single" w:sz="8" w:space="0" w:color="auto"/>
              <w:left w:val="single" w:sz="8" w:space="0" w:color="auto"/>
              <w:bottom w:val="single" w:sz="8" w:space="0" w:color="000000"/>
              <w:right w:val="single" w:sz="8" w:space="0" w:color="auto"/>
            </w:tcBorders>
            <w:vAlign w:val="center"/>
            <w:hideMark/>
          </w:tcPr>
          <w:p w14:paraId="45AD861F" w14:textId="77777777" w:rsidR="009A276D" w:rsidRPr="00524209" w:rsidRDefault="009A276D" w:rsidP="005A4163">
            <w:pPr>
              <w:spacing w:line="276" w:lineRule="auto"/>
              <w:jc w:val="both"/>
              <w:rPr>
                <w:rFonts w:ascii="Times New Roman" w:hAnsi="Times New Roman" w:cs="Times New Roman"/>
                <w:b/>
                <w:bCs/>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2CFF3E43" w14:textId="77777777" w:rsidR="009A276D" w:rsidRPr="00524209" w:rsidRDefault="009A276D" w:rsidP="005A4163">
            <w:pPr>
              <w:spacing w:line="276" w:lineRule="auto"/>
              <w:jc w:val="both"/>
              <w:rPr>
                <w:rFonts w:ascii="Times New Roman" w:hAnsi="Times New Roman" w:cs="Times New Roman"/>
                <w:b/>
                <w:bCs/>
              </w:rPr>
            </w:pPr>
          </w:p>
        </w:tc>
        <w:tc>
          <w:tcPr>
            <w:tcW w:w="2379" w:type="dxa"/>
            <w:vMerge/>
            <w:tcBorders>
              <w:left w:val="single" w:sz="8" w:space="0" w:color="auto"/>
              <w:right w:val="single" w:sz="8" w:space="0" w:color="auto"/>
            </w:tcBorders>
            <w:vAlign w:val="center"/>
          </w:tcPr>
          <w:p w14:paraId="57045280" w14:textId="77777777" w:rsidR="009A276D" w:rsidRPr="00524209" w:rsidRDefault="009A276D" w:rsidP="005A4163">
            <w:pPr>
              <w:spacing w:line="276" w:lineRule="auto"/>
              <w:jc w:val="both"/>
              <w:rPr>
                <w:rFonts w:ascii="Times New Roman" w:hAnsi="Times New Roman" w:cs="Times New Roman"/>
                <w:b/>
                <w:bCs/>
              </w:rPr>
            </w:pPr>
          </w:p>
        </w:tc>
        <w:tc>
          <w:tcPr>
            <w:tcW w:w="4201" w:type="dxa"/>
            <w:vMerge/>
            <w:tcBorders>
              <w:left w:val="single" w:sz="8" w:space="0" w:color="auto"/>
              <w:right w:val="single" w:sz="8" w:space="0" w:color="auto"/>
            </w:tcBorders>
            <w:vAlign w:val="center"/>
          </w:tcPr>
          <w:p w14:paraId="5BDDE140" w14:textId="77777777" w:rsidR="009A276D" w:rsidRPr="00524209" w:rsidRDefault="009A276D" w:rsidP="005A4163">
            <w:pPr>
              <w:spacing w:line="276" w:lineRule="auto"/>
              <w:jc w:val="both"/>
              <w:rPr>
                <w:rFonts w:ascii="Times New Roman" w:hAnsi="Times New Roman" w:cs="Times New Roman"/>
                <w:b/>
                <w:bCs/>
              </w:rPr>
            </w:pPr>
          </w:p>
        </w:tc>
      </w:tr>
      <w:tr w:rsidR="009A276D" w:rsidRPr="00524209" w14:paraId="27B7A17B" w14:textId="77777777" w:rsidTr="00BA6A38">
        <w:trPr>
          <w:trHeight w:hRule="exact" w:val="215"/>
        </w:trPr>
        <w:tc>
          <w:tcPr>
            <w:tcW w:w="1401" w:type="dxa"/>
            <w:vMerge/>
            <w:tcBorders>
              <w:top w:val="single" w:sz="8" w:space="0" w:color="auto"/>
              <w:left w:val="single" w:sz="8" w:space="0" w:color="auto"/>
              <w:bottom w:val="single" w:sz="8" w:space="0" w:color="000000"/>
              <w:right w:val="single" w:sz="8" w:space="0" w:color="auto"/>
            </w:tcBorders>
            <w:vAlign w:val="center"/>
            <w:hideMark/>
          </w:tcPr>
          <w:p w14:paraId="15EE3E6D" w14:textId="77777777" w:rsidR="009A276D" w:rsidRPr="00524209" w:rsidRDefault="009A276D" w:rsidP="005A4163">
            <w:pPr>
              <w:spacing w:line="276" w:lineRule="auto"/>
              <w:jc w:val="both"/>
              <w:rPr>
                <w:rFonts w:ascii="Times New Roman" w:hAnsi="Times New Roman" w:cs="Times New Roman"/>
                <w:b/>
                <w:bCs/>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6FDDA7A6" w14:textId="77777777" w:rsidR="009A276D" w:rsidRPr="00524209" w:rsidRDefault="009A276D" w:rsidP="005A4163">
            <w:pPr>
              <w:spacing w:line="276" w:lineRule="auto"/>
              <w:jc w:val="both"/>
              <w:rPr>
                <w:rFonts w:ascii="Times New Roman" w:hAnsi="Times New Roman" w:cs="Times New Roman"/>
                <w:b/>
                <w:bCs/>
              </w:rPr>
            </w:pPr>
          </w:p>
        </w:tc>
        <w:tc>
          <w:tcPr>
            <w:tcW w:w="2379" w:type="dxa"/>
            <w:vMerge/>
            <w:tcBorders>
              <w:left w:val="single" w:sz="8" w:space="0" w:color="auto"/>
              <w:bottom w:val="single" w:sz="8" w:space="0" w:color="000000"/>
              <w:right w:val="single" w:sz="8" w:space="0" w:color="auto"/>
            </w:tcBorders>
            <w:vAlign w:val="center"/>
          </w:tcPr>
          <w:p w14:paraId="25757328" w14:textId="77777777" w:rsidR="009A276D" w:rsidRPr="00524209" w:rsidRDefault="009A276D" w:rsidP="005A4163">
            <w:pPr>
              <w:spacing w:line="276" w:lineRule="auto"/>
              <w:jc w:val="both"/>
              <w:rPr>
                <w:rFonts w:ascii="Times New Roman" w:hAnsi="Times New Roman" w:cs="Times New Roman"/>
                <w:b/>
                <w:bCs/>
              </w:rPr>
            </w:pPr>
          </w:p>
        </w:tc>
        <w:tc>
          <w:tcPr>
            <w:tcW w:w="4201" w:type="dxa"/>
            <w:vMerge/>
            <w:tcBorders>
              <w:left w:val="single" w:sz="8" w:space="0" w:color="auto"/>
              <w:bottom w:val="single" w:sz="8" w:space="0" w:color="000000"/>
              <w:right w:val="single" w:sz="8" w:space="0" w:color="auto"/>
            </w:tcBorders>
            <w:vAlign w:val="center"/>
          </w:tcPr>
          <w:p w14:paraId="25CF95EE" w14:textId="77777777" w:rsidR="009A276D" w:rsidRPr="00524209" w:rsidRDefault="009A276D" w:rsidP="005A4163">
            <w:pPr>
              <w:spacing w:line="276" w:lineRule="auto"/>
              <w:jc w:val="both"/>
              <w:rPr>
                <w:rFonts w:ascii="Times New Roman" w:hAnsi="Times New Roman" w:cs="Times New Roman"/>
                <w:b/>
                <w:bCs/>
              </w:rPr>
            </w:pPr>
          </w:p>
        </w:tc>
      </w:tr>
      <w:tr w:rsidR="009A276D" w:rsidRPr="00524209" w14:paraId="7ABE14EE" w14:textId="77777777" w:rsidTr="005A4163">
        <w:trPr>
          <w:trHeight w:hRule="exact" w:val="306"/>
        </w:trPr>
        <w:tc>
          <w:tcPr>
            <w:tcW w:w="1401" w:type="dxa"/>
            <w:tcBorders>
              <w:top w:val="single" w:sz="4" w:space="0" w:color="auto"/>
              <w:left w:val="single" w:sz="8" w:space="0" w:color="auto"/>
              <w:bottom w:val="single" w:sz="4" w:space="0" w:color="auto"/>
              <w:right w:val="single" w:sz="8" w:space="0" w:color="auto"/>
            </w:tcBorders>
            <w:shd w:val="clear" w:color="auto" w:fill="auto"/>
            <w:vAlign w:val="center"/>
          </w:tcPr>
          <w:p w14:paraId="4ABAB33D" w14:textId="77777777" w:rsidR="009A276D" w:rsidRPr="00524209" w:rsidRDefault="009A276D" w:rsidP="005A4163">
            <w:pPr>
              <w:spacing w:line="276" w:lineRule="auto"/>
              <w:jc w:val="both"/>
              <w:rPr>
                <w:rFonts w:ascii="Times New Roman" w:hAnsi="Times New Roman" w:cs="Times New Roman"/>
                <w:b/>
                <w:bCs/>
                <w:i/>
                <w:iCs/>
                <w:color w:val="000000"/>
              </w:rPr>
            </w:pPr>
            <w:r>
              <w:rPr>
                <w:rFonts w:ascii="Times New Roman" w:hAnsi="Times New Roman" w:cs="Times New Roman"/>
                <w:b/>
                <w:bCs/>
                <w:i/>
                <w:iCs/>
                <w:color w:val="000000"/>
                <w:lang w:val="en-GB"/>
              </w:rPr>
              <w:t>2005</w:t>
            </w:r>
          </w:p>
        </w:tc>
        <w:tc>
          <w:tcPr>
            <w:tcW w:w="1680" w:type="dxa"/>
            <w:tcBorders>
              <w:top w:val="single" w:sz="4" w:space="0" w:color="auto"/>
              <w:left w:val="nil"/>
              <w:bottom w:val="single" w:sz="4" w:space="0" w:color="auto"/>
              <w:right w:val="single" w:sz="8" w:space="0" w:color="auto"/>
            </w:tcBorders>
            <w:shd w:val="clear" w:color="auto" w:fill="auto"/>
            <w:vAlign w:val="center"/>
          </w:tcPr>
          <w:p w14:paraId="777B16E7"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849</w:t>
            </w:r>
          </w:p>
        </w:tc>
        <w:tc>
          <w:tcPr>
            <w:tcW w:w="2379" w:type="dxa"/>
            <w:tcBorders>
              <w:top w:val="single" w:sz="4" w:space="0" w:color="auto"/>
              <w:left w:val="single" w:sz="4" w:space="0" w:color="auto"/>
              <w:bottom w:val="single" w:sz="4" w:space="0" w:color="auto"/>
              <w:right w:val="single" w:sz="4" w:space="0" w:color="auto"/>
            </w:tcBorders>
            <w:vAlign w:val="center"/>
          </w:tcPr>
          <w:p w14:paraId="482AA3C3"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3.0</w:t>
            </w:r>
          </w:p>
        </w:tc>
        <w:tc>
          <w:tcPr>
            <w:tcW w:w="4201" w:type="dxa"/>
            <w:tcBorders>
              <w:top w:val="single" w:sz="4" w:space="0" w:color="auto"/>
              <w:left w:val="single" w:sz="8" w:space="0" w:color="auto"/>
              <w:bottom w:val="single" w:sz="4" w:space="0" w:color="auto"/>
              <w:right w:val="single" w:sz="8" w:space="0" w:color="auto"/>
            </w:tcBorders>
            <w:vAlign w:val="center"/>
          </w:tcPr>
          <w:p w14:paraId="26D955D2"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35.7</w:t>
            </w:r>
          </w:p>
        </w:tc>
      </w:tr>
      <w:tr w:rsidR="009A276D" w:rsidRPr="00524209" w14:paraId="58BC8376" w14:textId="77777777" w:rsidTr="005A4163">
        <w:trPr>
          <w:trHeight w:hRule="exact" w:val="306"/>
        </w:trPr>
        <w:tc>
          <w:tcPr>
            <w:tcW w:w="1401" w:type="dxa"/>
            <w:tcBorders>
              <w:top w:val="single" w:sz="4" w:space="0" w:color="auto"/>
              <w:left w:val="single" w:sz="8" w:space="0" w:color="auto"/>
              <w:bottom w:val="single" w:sz="4" w:space="0" w:color="auto"/>
              <w:right w:val="single" w:sz="8" w:space="0" w:color="auto"/>
            </w:tcBorders>
            <w:shd w:val="clear" w:color="auto" w:fill="auto"/>
            <w:vAlign w:val="center"/>
          </w:tcPr>
          <w:p w14:paraId="6935DEC7" w14:textId="77777777" w:rsidR="009A276D" w:rsidRPr="00524209" w:rsidRDefault="009A276D" w:rsidP="005A4163">
            <w:pPr>
              <w:spacing w:line="276" w:lineRule="auto"/>
              <w:jc w:val="both"/>
              <w:rPr>
                <w:rFonts w:ascii="Times New Roman" w:hAnsi="Times New Roman" w:cs="Times New Roman"/>
                <w:b/>
                <w:bCs/>
                <w:i/>
                <w:iCs/>
                <w:color w:val="000000"/>
              </w:rPr>
            </w:pPr>
            <w:r>
              <w:rPr>
                <w:rFonts w:ascii="Times New Roman" w:hAnsi="Times New Roman" w:cs="Times New Roman"/>
                <w:b/>
                <w:bCs/>
                <w:i/>
                <w:iCs/>
                <w:color w:val="000000"/>
                <w:lang w:val="en-GB"/>
              </w:rPr>
              <w:t>2006</w:t>
            </w:r>
          </w:p>
        </w:tc>
        <w:tc>
          <w:tcPr>
            <w:tcW w:w="1680" w:type="dxa"/>
            <w:tcBorders>
              <w:top w:val="single" w:sz="4" w:space="0" w:color="auto"/>
              <w:left w:val="nil"/>
              <w:bottom w:val="single" w:sz="4" w:space="0" w:color="auto"/>
              <w:right w:val="single" w:sz="8" w:space="0" w:color="auto"/>
            </w:tcBorders>
            <w:shd w:val="clear" w:color="auto" w:fill="auto"/>
            <w:vAlign w:val="center"/>
          </w:tcPr>
          <w:p w14:paraId="52B05CEC"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899.10</w:t>
            </w:r>
          </w:p>
        </w:tc>
        <w:tc>
          <w:tcPr>
            <w:tcW w:w="2379" w:type="dxa"/>
            <w:tcBorders>
              <w:top w:val="single" w:sz="4" w:space="0" w:color="auto"/>
              <w:left w:val="single" w:sz="4" w:space="0" w:color="auto"/>
              <w:bottom w:val="single" w:sz="4" w:space="0" w:color="auto"/>
              <w:right w:val="single" w:sz="4" w:space="0" w:color="auto"/>
            </w:tcBorders>
            <w:vAlign w:val="center"/>
          </w:tcPr>
          <w:p w14:paraId="52E9A166"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5.9</w:t>
            </w:r>
          </w:p>
        </w:tc>
        <w:tc>
          <w:tcPr>
            <w:tcW w:w="4201" w:type="dxa"/>
            <w:tcBorders>
              <w:top w:val="single" w:sz="4" w:space="0" w:color="auto"/>
              <w:left w:val="single" w:sz="8" w:space="0" w:color="auto"/>
              <w:bottom w:val="single" w:sz="4" w:space="0" w:color="auto"/>
              <w:right w:val="single" w:sz="8" w:space="0" w:color="auto"/>
            </w:tcBorders>
            <w:vAlign w:val="center"/>
          </w:tcPr>
          <w:p w14:paraId="67E1B3D3"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36.3</w:t>
            </w:r>
          </w:p>
        </w:tc>
      </w:tr>
      <w:tr w:rsidR="009A276D" w:rsidRPr="00524209" w14:paraId="144E5EB3" w14:textId="77777777" w:rsidTr="005A4163">
        <w:trPr>
          <w:trHeight w:hRule="exact" w:val="306"/>
        </w:trPr>
        <w:tc>
          <w:tcPr>
            <w:tcW w:w="1401" w:type="dxa"/>
            <w:tcBorders>
              <w:top w:val="single" w:sz="4" w:space="0" w:color="auto"/>
              <w:left w:val="single" w:sz="8" w:space="0" w:color="auto"/>
              <w:bottom w:val="single" w:sz="4" w:space="0" w:color="auto"/>
              <w:right w:val="single" w:sz="8" w:space="0" w:color="auto"/>
            </w:tcBorders>
            <w:shd w:val="clear" w:color="auto" w:fill="auto"/>
            <w:vAlign w:val="center"/>
          </w:tcPr>
          <w:p w14:paraId="530C2F97" w14:textId="77777777" w:rsidR="009A276D" w:rsidRPr="00524209" w:rsidRDefault="009A276D" w:rsidP="005A4163">
            <w:pPr>
              <w:spacing w:line="276" w:lineRule="auto"/>
              <w:jc w:val="both"/>
              <w:rPr>
                <w:rFonts w:ascii="Times New Roman" w:hAnsi="Times New Roman" w:cs="Times New Roman"/>
                <w:b/>
                <w:bCs/>
                <w:i/>
                <w:iCs/>
                <w:color w:val="000000"/>
              </w:rPr>
            </w:pPr>
            <w:r>
              <w:rPr>
                <w:rFonts w:ascii="Times New Roman" w:hAnsi="Times New Roman" w:cs="Times New Roman"/>
                <w:b/>
                <w:bCs/>
                <w:i/>
                <w:iCs/>
                <w:color w:val="000000"/>
                <w:lang w:val="en-GB"/>
              </w:rPr>
              <w:t>2007</w:t>
            </w:r>
          </w:p>
        </w:tc>
        <w:tc>
          <w:tcPr>
            <w:tcW w:w="1680" w:type="dxa"/>
            <w:tcBorders>
              <w:top w:val="single" w:sz="4" w:space="0" w:color="auto"/>
              <w:left w:val="nil"/>
              <w:bottom w:val="single" w:sz="4" w:space="0" w:color="auto"/>
              <w:right w:val="single" w:sz="8" w:space="0" w:color="auto"/>
            </w:tcBorders>
            <w:shd w:val="clear" w:color="auto" w:fill="auto"/>
            <w:vAlign w:val="center"/>
          </w:tcPr>
          <w:p w14:paraId="158A9903"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936</w:t>
            </w:r>
          </w:p>
        </w:tc>
        <w:tc>
          <w:tcPr>
            <w:tcW w:w="2379" w:type="dxa"/>
            <w:tcBorders>
              <w:top w:val="single" w:sz="4" w:space="0" w:color="auto"/>
              <w:left w:val="single" w:sz="4" w:space="0" w:color="auto"/>
              <w:bottom w:val="single" w:sz="4" w:space="0" w:color="auto"/>
              <w:right w:val="single" w:sz="4" w:space="0" w:color="auto"/>
            </w:tcBorders>
            <w:vAlign w:val="center"/>
          </w:tcPr>
          <w:p w14:paraId="011CC3D0"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4.1</w:t>
            </w:r>
          </w:p>
        </w:tc>
        <w:tc>
          <w:tcPr>
            <w:tcW w:w="4201" w:type="dxa"/>
            <w:tcBorders>
              <w:top w:val="single" w:sz="4" w:space="0" w:color="auto"/>
              <w:left w:val="single" w:sz="8" w:space="0" w:color="auto"/>
              <w:bottom w:val="single" w:sz="4" w:space="0" w:color="auto"/>
              <w:right w:val="single" w:sz="8" w:space="0" w:color="auto"/>
            </w:tcBorders>
            <w:vAlign w:val="center"/>
          </w:tcPr>
          <w:p w14:paraId="4790AD1F"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34.8</w:t>
            </w:r>
          </w:p>
        </w:tc>
      </w:tr>
      <w:tr w:rsidR="009A276D" w:rsidRPr="00524209" w14:paraId="078A544D" w14:textId="77777777" w:rsidTr="005A4163">
        <w:trPr>
          <w:trHeight w:hRule="exact" w:val="306"/>
        </w:trPr>
        <w:tc>
          <w:tcPr>
            <w:tcW w:w="1401" w:type="dxa"/>
            <w:tcBorders>
              <w:top w:val="single" w:sz="4" w:space="0" w:color="auto"/>
              <w:left w:val="single" w:sz="8" w:space="0" w:color="auto"/>
              <w:bottom w:val="single" w:sz="4" w:space="0" w:color="auto"/>
              <w:right w:val="single" w:sz="8" w:space="0" w:color="auto"/>
            </w:tcBorders>
            <w:shd w:val="clear" w:color="auto" w:fill="auto"/>
            <w:vAlign w:val="center"/>
          </w:tcPr>
          <w:p w14:paraId="1D93AF34" w14:textId="77777777" w:rsidR="009A276D" w:rsidRPr="00524209" w:rsidRDefault="009A276D" w:rsidP="005A4163">
            <w:pPr>
              <w:spacing w:line="276" w:lineRule="auto"/>
              <w:jc w:val="both"/>
              <w:rPr>
                <w:rFonts w:ascii="Times New Roman" w:hAnsi="Times New Roman" w:cs="Times New Roman"/>
                <w:b/>
                <w:bCs/>
                <w:i/>
                <w:iCs/>
                <w:color w:val="000000"/>
              </w:rPr>
            </w:pPr>
            <w:r>
              <w:rPr>
                <w:rFonts w:ascii="Times New Roman" w:hAnsi="Times New Roman" w:cs="Times New Roman"/>
                <w:b/>
                <w:bCs/>
                <w:i/>
                <w:iCs/>
                <w:color w:val="000000"/>
                <w:lang w:val="en-GB"/>
              </w:rPr>
              <w:t>2008</w:t>
            </w:r>
          </w:p>
        </w:tc>
        <w:tc>
          <w:tcPr>
            <w:tcW w:w="1680" w:type="dxa"/>
            <w:tcBorders>
              <w:top w:val="single" w:sz="4" w:space="0" w:color="auto"/>
              <w:left w:val="nil"/>
              <w:bottom w:val="single" w:sz="4" w:space="0" w:color="auto"/>
              <w:right w:val="single" w:sz="8" w:space="0" w:color="auto"/>
            </w:tcBorders>
            <w:shd w:val="clear" w:color="auto" w:fill="auto"/>
            <w:vAlign w:val="center"/>
          </w:tcPr>
          <w:p w14:paraId="45B51DE1"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1,126</w:t>
            </w:r>
          </w:p>
        </w:tc>
        <w:tc>
          <w:tcPr>
            <w:tcW w:w="2379" w:type="dxa"/>
            <w:tcBorders>
              <w:top w:val="single" w:sz="4" w:space="0" w:color="auto"/>
              <w:left w:val="single" w:sz="4" w:space="0" w:color="auto"/>
              <w:bottom w:val="single" w:sz="4" w:space="0" w:color="auto"/>
              <w:right w:val="single" w:sz="4" w:space="0" w:color="auto"/>
            </w:tcBorders>
            <w:vAlign w:val="center"/>
          </w:tcPr>
          <w:p w14:paraId="50481F39"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20.3</w:t>
            </w:r>
          </w:p>
        </w:tc>
        <w:tc>
          <w:tcPr>
            <w:tcW w:w="4201" w:type="dxa"/>
            <w:tcBorders>
              <w:top w:val="single" w:sz="4" w:space="0" w:color="auto"/>
              <w:left w:val="single" w:sz="8" w:space="0" w:color="auto"/>
              <w:bottom w:val="single" w:sz="4" w:space="0" w:color="auto"/>
              <w:right w:val="single" w:sz="8" w:space="0" w:color="auto"/>
            </w:tcBorders>
            <w:vAlign w:val="center"/>
          </w:tcPr>
          <w:p w14:paraId="79E2A96B"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38.2</w:t>
            </w:r>
          </w:p>
        </w:tc>
      </w:tr>
      <w:tr w:rsidR="009A276D" w:rsidRPr="00524209" w14:paraId="627AC025" w14:textId="77777777" w:rsidTr="005A4163">
        <w:trPr>
          <w:trHeight w:hRule="exact" w:val="306"/>
        </w:trPr>
        <w:tc>
          <w:tcPr>
            <w:tcW w:w="1401" w:type="dxa"/>
            <w:tcBorders>
              <w:top w:val="single" w:sz="4" w:space="0" w:color="auto"/>
              <w:left w:val="single" w:sz="8" w:space="0" w:color="auto"/>
              <w:bottom w:val="single" w:sz="4" w:space="0" w:color="auto"/>
              <w:right w:val="single" w:sz="8" w:space="0" w:color="auto"/>
            </w:tcBorders>
            <w:shd w:val="clear" w:color="auto" w:fill="auto"/>
            <w:vAlign w:val="center"/>
          </w:tcPr>
          <w:p w14:paraId="60D0CD23" w14:textId="77777777" w:rsidR="009A276D" w:rsidRPr="00524209" w:rsidRDefault="009A276D" w:rsidP="005A4163">
            <w:pPr>
              <w:spacing w:line="276" w:lineRule="auto"/>
              <w:jc w:val="both"/>
              <w:rPr>
                <w:rFonts w:ascii="Times New Roman" w:hAnsi="Times New Roman" w:cs="Times New Roman"/>
                <w:b/>
                <w:bCs/>
                <w:i/>
                <w:iCs/>
                <w:color w:val="000000"/>
              </w:rPr>
            </w:pPr>
            <w:r>
              <w:rPr>
                <w:rFonts w:ascii="Times New Roman" w:hAnsi="Times New Roman" w:cs="Times New Roman"/>
                <w:b/>
                <w:bCs/>
                <w:i/>
                <w:iCs/>
                <w:color w:val="000000"/>
                <w:lang w:val="en-GB"/>
              </w:rPr>
              <w:t>2009</w:t>
            </w:r>
          </w:p>
        </w:tc>
        <w:tc>
          <w:tcPr>
            <w:tcW w:w="1680" w:type="dxa"/>
            <w:tcBorders>
              <w:top w:val="single" w:sz="4" w:space="0" w:color="auto"/>
              <w:left w:val="nil"/>
              <w:bottom w:val="single" w:sz="4" w:space="0" w:color="auto"/>
              <w:right w:val="single" w:sz="8" w:space="0" w:color="auto"/>
            </w:tcBorders>
            <w:shd w:val="clear" w:color="auto" w:fill="auto"/>
            <w:vAlign w:val="center"/>
          </w:tcPr>
          <w:p w14:paraId="455A9646"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1,276</w:t>
            </w:r>
          </w:p>
        </w:tc>
        <w:tc>
          <w:tcPr>
            <w:tcW w:w="2379" w:type="dxa"/>
            <w:tcBorders>
              <w:top w:val="single" w:sz="4" w:space="0" w:color="auto"/>
              <w:left w:val="single" w:sz="4" w:space="0" w:color="auto"/>
              <w:bottom w:val="single" w:sz="4" w:space="0" w:color="auto"/>
              <w:right w:val="single" w:sz="4" w:space="0" w:color="auto"/>
            </w:tcBorders>
            <w:vAlign w:val="center"/>
          </w:tcPr>
          <w:p w14:paraId="3F43DE1C"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13.3</w:t>
            </w:r>
          </w:p>
        </w:tc>
        <w:tc>
          <w:tcPr>
            <w:tcW w:w="4201" w:type="dxa"/>
            <w:tcBorders>
              <w:top w:val="single" w:sz="4" w:space="0" w:color="auto"/>
              <w:left w:val="single" w:sz="8" w:space="0" w:color="auto"/>
              <w:bottom w:val="single" w:sz="4" w:space="0" w:color="auto"/>
              <w:right w:val="single" w:sz="8" w:space="0" w:color="auto"/>
            </w:tcBorders>
            <w:vAlign w:val="center"/>
          </w:tcPr>
          <w:p w14:paraId="29ACBA7B"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41.1</w:t>
            </w:r>
          </w:p>
        </w:tc>
      </w:tr>
      <w:tr w:rsidR="009A276D" w:rsidRPr="00524209" w14:paraId="420AABFE" w14:textId="77777777" w:rsidTr="005A4163">
        <w:trPr>
          <w:trHeight w:hRule="exact" w:val="306"/>
        </w:trPr>
        <w:tc>
          <w:tcPr>
            <w:tcW w:w="140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A2A45E0" w14:textId="77777777" w:rsidR="009A276D" w:rsidRPr="00524209" w:rsidRDefault="009A276D" w:rsidP="005A4163">
            <w:pPr>
              <w:spacing w:line="276" w:lineRule="auto"/>
              <w:jc w:val="both"/>
              <w:rPr>
                <w:rFonts w:ascii="Times New Roman" w:hAnsi="Times New Roman" w:cs="Times New Roman"/>
                <w:b/>
                <w:bCs/>
                <w:i/>
                <w:iCs/>
                <w:color w:val="000000"/>
              </w:rPr>
            </w:pPr>
            <w:r>
              <w:rPr>
                <w:rFonts w:ascii="Times New Roman" w:hAnsi="Times New Roman" w:cs="Times New Roman"/>
                <w:b/>
                <w:bCs/>
                <w:i/>
                <w:iCs/>
                <w:color w:val="000000"/>
                <w:lang w:val="en-GB"/>
              </w:rPr>
              <w:t>2010</w:t>
            </w:r>
          </w:p>
        </w:tc>
        <w:tc>
          <w:tcPr>
            <w:tcW w:w="1680" w:type="dxa"/>
            <w:tcBorders>
              <w:top w:val="single" w:sz="4" w:space="0" w:color="auto"/>
              <w:left w:val="nil"/>
              <w:bottom w:val="single" w:sz="4" w:space="0" w:color="auto"/>
              <w:right w:val="single" w:sz="8" w:space="0" w:color="auto"/>
            </w:tcBorders>
            <w:shd w:val="clear" w:color="auto" w:fill="auto"/>
            <w:vAlign w:val="center"/>
            <w:hideMark/>
          </w:tcPr>
          <w:p w14:paraId="62C77492"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1,317</w:t>
            </w:r>
          </w:p>
        </w:tc>
        <w:tc>
          <w:tcPr>
            <w:tcW w:w="2379" w:type="dxa"/>
            <w:tcBorders>
              <w:top w:val="single" w:sz="4" w:space="0" w:color="auto"/>
              <w:left w:val="single" w:sz="4" w:space="0" w:color="auto"/>
              <w:bottom w:val="single" w:sz="4" w:space="0" w:color="auto"/>
              <w:right w:val="single" w:sz="4" w:space="0" w:color="auto"/>
            </w:tcBorders>
            <w:vAlign w:val="center"/>
          </w:tcPr>
          <w:p w14:paraId="18CFE8D9"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 xml:space="preserve">3.2 </w:t>
            </w:r>
          </w:p>
        </w:tc>
        <w:tc>
          <w:tcPr>
            <w:tcW w:w="4201" w:type="dxa"/>
            <w:tcBorders>
              <w:top w:val="single" w:sz="4" w:space="0" w:color="auto"/>
              <w:left w:val="single" w:sz="8" w:space="0" w:color="auto"/>
              <w:bottom w:val="single" w:sz="4" w:space="0" w:color="auto"/>
              <w:right w:val="single" w:sz="8" w:space="0" w:color="auto"/>
            </w:tcBorders>
            <w:vAlign w:val="center"/>
          </w:tcPr>
          <w:p w14:paraId="7B247E35"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40.8</w:t>
            </w:r>
          </w:p>
        </w:tc>
      </w:tr>
      <w:tr w:rsidR="009A276D" w:rsidRPr="00524209" w14:paraId="0169BBA4" w14:textId="77777777" w:rsidTr="005A4163">
        <w:trPr>
          <w:trHeight w:hRule="exact" w:val="306"/>
        </w:trPr>
        <w:tc>
          <w:tcPr>
            <w:tcW w:w="1401" w:type="dxa"/>
            <w:tcBorders>
              <w:top w:val="nil"/>
              <w:left w:val="single" w:sz="8" w:space="0" w:color="auto"/>
              <w:bottom w:val="single" w:sz="4" w:space="0" w:color="auto"/>
              <w:right w:val="single" w:sz="8" w:space="0" w:color="auto"/>
            </w:tcBorders>
            <w:shd w:val="clear" w:color="auto" w:fill="auto"/>
            <w:vAlign w:val="center"/>
            <w:hideMark/>
          </w:tcPr>
          <w:p w14:paraId="2E7508F7" w14:textId="77777777" w:rsidR="009A276D" w:rsidRPr="00524209" w:rsidRDefault="009A276D" w:rsidP="005A4163">
            <w:pPr>
              <w:spacing w:line="276" w:lineRule="auto"/>
              <w:jc w:val="both"/>
              <w:rPr>
                <w:rFonts w:ascii="Times New Roman" w:hAnsi="Times New Roman" w:cs="Times New Roman"/>
                <w:b/>
                <w:bCs/>
                <w:i/>
                <w:iCs/>
                <w:color w:val="000000"/>
              </w:rPr>
            </w:pPr>
            <w:r>
              <w:rPr>
                <w:rFonts w:ascii="Times New Roman" w:hAnsi="Times New Roman" w:cs="Times New Roman"/>
                <w:b/>
                <w:bCs/>
                <w:i/>
                <w:iCs/>
                <w:color w:val="000000"/>
                <w:lang w:val="en-GB"/>
              </w:rPr>
              <w:t>2011</w:t>
            </w:r>
          </w:p>
        </w:tc>
        <w:tc>
          <w:tcPr>
            <w:tcW w:w="1680" w:type="dxa"/>
            <w:tcBorders>
              <w:top w:val="nil"/>
              <w:left w:val="nil"/>
              <w:bottom w:val="single" w:sz="4" w:space="0" w:color="auto"/>
              <w:right w:val="single" w:sz="8" w:space="0" w:color="auto"/>
            </w:tcBorders>
            <w:shd w:val="clear" w:color="auto" w:fill="auto"/>
            <w:vAlign w:val="center"/>
            <w:hideMark/>
          </w:tcPr>
          <w:p w14:paraId="5AE5AF77"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1,386</w:t>
            </w:r>
          </w:p>
        </w:tc>
        <w:tc>
          <w:tcPr>
            <w:tcW w:w="2379" w:type="dxa"/>
            <w:tcBorders>
              <w:top w:val="nil"/>
              <w:left w:val="single" w:sz="4" w:space="0" w:color="auto"/>
              <w:bottom w:val="single" w:sz="4" w:space="0" w:color="auto"/>
              <w:right w:val="single" w:sz="4" w:space="0" w:color="auto"/>
            </w:tcBorders>
            <w:vAlign w:val="center"/>
          </w:tcPr>
          <w:p w14:paraId="388949DD"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5.2</w:t>
            </w:r>
          </w:p>
        </w:tc>
        <w:tc>
          <w:tcPr>
            <w:tcW w:w="4201" w:type="dxa"/>
            <w:tcBorders>
              <w:top w:val="nil"/>
              <w:left w:val="single" w:sz="8" w:space="0" w:color="auto"/>
              <w:bottom w:val="single" w:sz="4" w:space="0" w:color="auto"/>
              <w:right w:val="single" w:sz="8" w:space="0" w:color="auto"/>
            </w:tcBorders>
            <w:vAlign w:val="center"/>
          </w:tcPr>
          <w:p w14:paraId="05E370C4"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40.8</w:t>
            </w:r>
          </w:p>
        </w:tc>
      </w:tr>
      <w:tr w:rsidR="009A276D" w:rsidRPr="00524209" w14:paraId="2A09B029" w14:textId="77777777" w:rsidTr="005A4163">
        <w:trPr>
          <w:trHeight w:hRule="exact" w:val="306"/>
        </w:trPr>
        <w:tc>
          <w:tcPr>
            <w:tcW w:w="1401" w:type="dxa"/>
            <w:tcBorders>
              <w:top w:val="nil"/>
              <w:left w:val="single" w:sz="8" w:space="0" w:color="auto"/>
              <w:bottom w:val="single" w:sz="4" w:space="0" w:color="auto"/>
              <w:right w:val="single" w:sz="8" w:space="0" w:color="auto"/>
            </w:tcBorders>
            <w:shd w:val="clear" w:color="auto" w:fill="auto"/>
            <w:vAlign w:val="center"/>
            <w:hideMark/>
          </w:tcPr>
          <w:p w14:paraId="50502B0A" w14:textId="77777777" w:rsidR="009A276D" w:rsidRPr="00524209" w:rsidRDefault="009A276D" w:rsidP="005A4163">
            <w:pPr>
              <w:spacing w:line="276" w:lineRule="auto"/>
              <w:jc w:val="both"/>
              <w:rPr>
                <w:rFonts w:ascii="Times New Roman" w:hAnsi="Times New Roman" w:cs="Times New Roman"/>
                <w:b/>
                <w:bCs/>
                <w:i/>
                <w:iCs/>
                <w:color w:val="000000"/>
              </w:rPr>
            </w:pPr>
            <w:r>
              <w:rPr>
                <w:rFonts w:ascii="Times New Roman" w:hAnsi="Times New Roman" w:cs="Times New Roman"/>
                <w:b/>
                <w:bCs/>
                <w:i/>
                <w:iCs/>
                <w:color w:val="000000"/>
                <w:lang w:val="en-GB"/>
              </w:rPr>
              <w:t>2012</w:t>
            </w:r>
          </w:p>
        </w:tc>
        <w:tc>
          <w:tcPr>
            <w:tcW w:w="1680" w:type="dxa"/>
            <w:tcBorders>
              <w:top w:val="nil"/>
              <w:left w:val="nil"/>
              <w:bottom w:val="single" w:sz="4" w:space="0" w:color="auto"/>
              <w:right w:val="single" w:sz="8" w:space="0" w:color="auto"/>
            </w:tcBorders>
            <w:shd w:val="clear" w:color="auto" w:fill="auto"/>
            <w:vAlign w:val="center"/>
            <w:hideMark/>
          </w:tcPr>
          <w:p w14:paraId="2E8FFBC5"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1,500</w:t>
            </w:r>
          </w:p>
        </w:tc>
        <w:tc>
          <w:tcPr>
            <w:tcW w:w="2379" w:type="dxa"/>
            <w:tcBorders>
              <w:top w:val="nil"/>
              <w:left w:val="single" w:sz="4" w:space="0" w:color="auto"/>
              <w:bottom w:val="single" w:sz="4" w:space="0" w:color="auto"/>
              <w:right w:val="single" w:sz="4" w:space="0" w:color="auto"/>
            </w:tcBorders>
            <w:vAlign w:val="center"/>
          </w:tcPr>
          <w:p w14:paraId="64BA9167"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8.2</w:t>
            </w:r>
          </w:p>
        </w:tc>
        <w:tc>
          <w:tcPr>
            <w:tcW w:w="4201" w:type="dxa"/>
            <w:tcBorders>
              <w:top w:val="nil"/>
              <w:left w:val="single" w:sz="8" w:space="0" w:color="auto"/>
              <w:bottom w:val="single" w:sz="4" w:space="0" w:color="auto"/>
              <w:right w:val="single" w:sz="8" w:space="0" w:color="auto"/>
            </w:tcBorders>
            <w:vAlign w:val="center"/>
          </w:tcPr>
          <w:p w14:paraId="6468F847"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42.6</w:t>
            </w:r>
          </w:p>
        </w:tc>
      </w:tr>
      <w:tr w:rsidR="009A276D" w:rsidRPr="00524209" w14:paraId="45A2F8DC" w14:textId="77777777" w:rsidTr="005A4163">
        <w:trPr>
          <w:trHeight w:hRule="exact" w:val="306"/>
        </w:trPr>
        <w:tc>
          <w:tcPr>
            <w:tcW w:w="1401" w:type="dxa"/>
            <w:tcBorders>
              <w:top w:val="nil"/>
              <w:left w:val="single" w:sz="8" w:space="0" w:color="auto"/>
              <w:bottom w:val="nil"/>
              <w:right w:val="single" w:sz="8" w:space="0" w:color="auto"/>
            </w:tcBorders>
            <w:shd w:val="clear" w:color="auto" w:fill="auto"/>
            <w:vAlign w:val="center"/>
            <w:hideMark/>
          </w:tcPr>
          <w:p w14:paraId="50B7CBBE" w14:textId="77777777" w:rsidR="009A276D" w:rsidRPr="00524209" w:rsidRDefault="009A276D" w:rsidP="005A4163">
            <w:pPr>
              <w:spacing w:line="276" w:lineRule="auto"/>
              <w:jc w:val="both"/>
              <w:rPr>
                <w:rFonts w:ascii="Times New Roman" w:hAnsi="Times New Roman" w:cs="Times New Roman"/>
                <w:b/>
                <w:bCs/>
                <w:i/>
                <w:iCs/>
                <w:color w:val="000000"/>
              </w:rPr>
            </w:pPr>
            <w:r>
              <w:rPr>
                <w:rFonts w:ascii="Times New Roman" w:hAnsi="Times New Roman" w:cs="Times New Roman"/>
                <w:b/>
                <w:bCs/>
                <w:i/>
                <w:iCs/>
                <w:color w:val="000000"/>
                <w:lang w:val="en-GB"/>
              </w:rPr>
              <w:t>2013</w:t>
            </w:r>
          </w:p>
        </w:tc>
        <w:tc>
          <w:tcPr>
            <w:tcW w:w="1680" w:type="dxa"/>
            <w:tcBorders>
              <w:top w:val="nil"/>
              <w:left w:val="nil"/>
              <w:bottom w:val="nil"/>
              <w:right w:val="single" w:sz="8" w:space="0" w:color="auto"/>
            </w:tcBorders>
            <w:shd w:val="clear" w:color="auto" w:fill="auto"/>
            <w:vAlign w:val="center"/>
            <w:hideMark/>
          </w:tcPr>
          <w:p w14:paraId="3610105D"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1,600</w:t>
            </w:r>
          </w:p>
        </w:tc>
        <w:tc>
          <w:tcPr>
            <w:tcW w:w="2379" w:type="dxa"/>
            <w:tcBorders>
              <w:top w:val="nil"/>
              <w:left w:val="single" w:sz="4" w:space="0" w:color="auto"/>
              <w:bottom w:val="nil"/>
              <w:right w:val="single" w:sz="4" w:space="0" w:color="auto"/>
            </w:tcBorders>
            <w:vAlign w:val="center"/>
          </w:tcPr>
          <w:p w14:paraId="21509F8C"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6.7</w:t>
            </w:r>
          </w:p>
        </w:tc>
        <w:tc>
          <w:tcPr>
            <w:tcW w:w="4201" w:type="dxa"/>
            <w:tcBorders>
              <w:top w:val="nil"/>
              <w:left w:val="single" w:sz="8" w:space="0" w:color="auto"/>
              <w:bottom w:val="nil"/>
              <w:right w:val="single" w:sz="8" w:space="0" w:color="auto"/>
            </w:tcBorders>
            <w:vAlign w:val="center"/>
          </w:tcPr>
          <w:p w14:paraId="2D057695"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43.8</w:t>
            </w:r>
          </w:p>
        </w:tc>
      </w:tr>
      <w:tr w:rsidR="009A276D" w:rsidRPr="00524209" w14:paraId="0ECB8476" w14:textId="77777777" w:rsidTr="005A4163">
        <w:trPr>
          <w:trHeight w:hRule="exact" w:val="306"/>
        </w:trPr>
        <w:tc>
          <w:tcPr>
            <w:tcW w:w="1401" w:type="dxa"/>
            <w:tcBorders>
              <w:top w:val="single" w:sz="4" w:space="0" w:color="auto"/>
              <w:left w:val="single" w:sz="8" w:space="0" w:color="auto"/>
              <w:bottom w:val="nil"/>
              <w:right w:val="single" w:sz="8" w:space="0" w:color="auto"/>
            </w:tcBorders>
            <w:shd w:val="clear" w:color="auto" w:fill="auto"/>
            <w:vAlign w:val="center"/>
            <w:hideMark/>
          </w:tcPr>
          <w:p w14:paraId="1831FBBF" w14:textId="77777777" w:rsidR="009A276D" w:rsidRPr="00524209" w:rsidRDefault="009A276D" w:rsidP="005A4163">
            <w:pPr>
              <w:spacing w:line="276" w:lineRule="auto"/>
              <w:jc w:val="both"/>
              <w:rPr>
                <w:rFonts w:ascii="Times New Roman" w:hAnsi="Times New Roman" w:cs="Times New Roman"/>
                <w:b/>
                <w:bCs/>
                <w:i/>
                <w:iCs/>
                <w:color w:val="000000"/>
              </w:rPr>
            </w:pPr>
            <w:r>
              <w:rPr>
                <w:rFonts w:ascii="Times New Roman" w:hAnsi="Times New Roman" w:cs="Times New Roman"/>
                <w:b/>
                <w:bCs/>
                <w:i/>
                <w:iCs/>
                <w:color w:val="000000"/>
                <w:lang w:val="en-GB"/>
              </w:rPr>
              <w:t>2014</w:t>
            </w:r>
          </w:p>
        </w:tc>
        <w:tc>
          <w:tcPr>
            <w:tcW w:w="1680" w:type="dxa"/>
            <w:tcBorders>
              <w:top w:val="single" w:sz="4" w:space="0" w:color="auto"/>
              <w:left w:val="nil"/>
              <w:bottom w:val="nil"/>
              <w:right w:val="single" w:sz="8" w:space="0" w:color="auto"/>
            </w:tcBorders>
            <w:shd w:val="clear" w:color="auto" w:fill="auto"/>
            <w:vAlign w:val="center"/>
            <w:hideMark/>
          </w:tcPr>
          <w:p w14:paraId="50939079"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1,680</w:t>
            </w:r>
          </w:p>
        </w:tc>
        <w:tc>
          <w:tcPr>
            <w:tcW w:w="2379" w:type="dxa"/>
            <w:tcBorders>
              <w:top w:val="single" w:sz="4" w:space="0" w:color="auto"/>
              <w:left w:val="single" w:sz="4" w:space="0" w:color="auto"/>
              <w:bottom w:val="nil"/>
              <w:right w:val="single" w:sz="4" w:space="0" w:color="auto"/>
            </w:tcBorders>
            <w:vAlign w:val="center"/>
          </w:tcPr>
          <w:p w14:paraId="481A53BD"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5.0</w:t>
            </w:r>
          </w:p>
        </w:tc>
        <w:tc>
          <w:tcPr>
            <w:tcW w:w="4201" w:type="dxa"/>
            <w:tcBorders>
              <w:top w:val="single" w:sz="4" w:space="0" w:color="auto"/>
              <w:left w:val="single" w:sz="8" w:space="0" w:color="auto"/>
              <w:bottom w:val="nil"/>
              <w:right w:val="single" w:sz="8" w:space="0" w:color="auto"/>
            </w:tcBorders>
            <w:vAlign w:val="center"/>
          </w:tcPr>
          <w:p w14:paraId="350B5513"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44.4</w:t>
            </w:r>
          </w:p>
        </w:tc>
      </w:tr>
      <w:tr w:rsidR="009A276D" w:rsidRPr="00524209" w14:paraId="07F9F2FE" w14:textId="77777777" w:rsidTr="005A4163">
        <w:trPr>
          <w:trHeight w:hRule="exact" w:val="306"/>
        </w:trPr>
        <w:tc>
          <w:tcPr>
            <w:tcW w:w="140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0A54C14" w14:textId="77777777" w:rsidR="009A276D" w:rsidRPr="00524209" w:rsidRDefault="009A276D" w:rsidP="005A4163">
            <w:pPr>
              <w:spacing w:line="276" w:lineRule="auto"/>
              <w:jc w:val="both"/>
              <w:rPr>
                <w:rFonts w:ascii="Times New Roman" w:hAnsi="Times New Roman" w:cs="Times New Roman"/>
                <w:b/>
                <w:bCs/>
                <w:i/>
                <w:iCs/>
                <w:color w:val="000000"/>
              </w:rPr>
            </w:pPr>
            <w:r>
              <w:rPr>
                <w:rFonts w:ascii="Times New Roman" w:hAnsi="Times New Roman" w:cs="Times New Roman"/>
                <w:b/>
                <w:bCs/>
                <w:i/>
                <w:iCs/>
                <w:color w:val="000000"/>
                <w:lang w:val="en-GB"/>
              </w:rPr>
              <w:t>2015</w:t>
            </w:r>
          </w:p>
        </w:tc>
        <w:tc>
          <w:tcPr>
            <w:tcW w:w="1680" w:type="dxa"/>
            <w:tcBorders>
              <w:top w:val="single" w:sz="4" w:space="0" w:color="auto"/>
              <w:left w:val="nil"/>
              <w:bottom w:val="single" w:sz="4" w:space="0" w:color="auto"/>
              <w:right w:val="single" w:sz="8" w:space="0" w:color="auto"/>
            </w:tcBorders>
            <w:shd w:val="clear" w:color="auto" w:fill="auto"/>
            <w:vAlign w:val="center"/>
            <w:hideMark/>
          </w:tcPr>
          <w:p w14:paraId="5064715C"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1,750</w:t>
            </w:r>
          </w:p>
        </w:tc>
        <w:tc>
          <w:tcPr>
            <w:tcW w:w="2379" w:type="dxa"/>
            <w:tcBorders>
              <w:top w:val="single" w:sz="4" w:space="0" w:color="auto"/>
              <w:left w:val="single" w:sz="4" w:space="0" w:color="auto"/>
              <w:bottom w:val="single" w:sz="4" w:space="0" w:color="auto"/>
              <w:right w:val="single" w:sz="4" w:space="0" w:color="auto"/>
            </w:tcBorders>
            <w:vAlign w:val="center"/>
          </w:tcPr>
          <w:p w14:paraId="385DA4F3"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4.2</w:t>
            </w:r>
          </w:p>
        </w:tc>
        <w:tc>
          <w:tcPr>
            <w:tcW w:w="4201" w:type="dxa"/>
            <w:tcBorders>
              <w:top w:val="single" w:sz="4" w:space="0" w:color="auto"/>
              <w:left w:val="single" w:sz="8" w:space="0" w:color="auto"/>
              <w:bottom w:val="single" w:sz="4" w:space="0" w:color="auto"/>
              <w:right w:val="single" w:sz="8" w:space="0" w:color="auto"/>
            </w:tcBorders>
            <w:vAlign w:val="center"/>
          </w:tcPr>
          <w:p w14:paraId="7B8DBF89"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 xml:space="preserve">44.9 </w:t>
            </w:r>
          </w:p>
        </w:tc>
      </w:tr>
      <w:tr w:rsidR="009A276D" w:rsidRPr="00524209" w14:paraId="732E9B16" w14:textId="77777777" w:rsidTr="005A4163">
        <w:trPr>
          <w:trHeight w:hRule="exact" w:val="306"/>
        </w:trPr>
        <w:tc>
          <w:tcPr>
            <w:tcW w:w="1401" w:type="dxa"/>
            <w:tcBorders>
              <w:top w:val="single" w:sz="4" w:space="0" w:color="auto"/>
              <w:left w:val="single" w:sz="8" w:space="0" w:color="auto"/>
              <w:bottom w:val="single" w:sz="4" w:space="0" w:color="auto"/>
              <w:right w:val="single" w:sz="8" w:space="0" w:color="auto"/>
            </w:tcBorders>
            <w:shd w:val="clear" w:color="auto" w:fill="auto"/>
            <w:vAlign w:val="center"/>
          </w:tcPr>
          <w:p w14:paraId="1AEBB64B" w14:textId="77777777" w:rsidR="009A276D" w:rsidRPr="00524209" w:rsidRDefault="009A276D" w:rsidP="005A4163">
            <w:pPr>
              <w:spacing w:line="276" w:lineRule="auto"/>
              <w:jc w:val="both"/>
              <w:rPr>
                <w:rFonts w:ascii="Times New Roman" w:hAnsi="Times New Roman" w:cs="Times New Roman"/>
                <w:b/>
                <w:bCs/>
                <w:i/>
                <w:iCs/>
                <w:color w:val="000000"/>
              </w:rPr>
            </w:pPr>
            <w:r>
              <w:rPr>
                <w:rFonts w:ascii="Times New Roman" w:hAnsi="Times New Roman" w:cs="Times New Roman"/>
                <w:b/>
                <w:bCs/>
                <w:i/>
                <w:iCs/>
                <w:color w:val="000000"/>
                <w:lang w:val="en-GB"/>
              </w:rPr>
              <w:t>2016</w:t>
            </w:r>
          </w:p>
        </w:tc>
        <w:tc>
          <w:tcPr>
            <w:tcW w:w="1680" w:type="dxa"/>
            <w:tcBorders>
              <w:top w:val="single" w:sz="4" w:space="0" w:color="auto"/>
              <w:left w:val="nil"/>
              <w:bottom w:val="single" w:sz="4" w:space="0" w:color="auto"/>
              <w:right w:val="single" w:sz="8" w:space="0" w:color="auto"/>
            </w:tcBorders>
            <w:shd w:val="clear" w:color="auto" w:fill="auto"/>
            <w:vAlign w:val="center"/>
          </w:tcPr>
          <w:p w14:paraId="5FBD21AD"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1,850</w:t>
            </w:r>
          </w:p>
        </w:tc>
        <w:tc>
          <w:tcPr>
            <w:tcW w:w="2379" w:type="dxa"/>
            <w:tcBorders>
              <w:top w:val="single" w:sz="4" w:space="0" w:color="auto"/>
              <w:left w:val="single" w:sz="4" w:space="0" w:color="auto"/>
              <w:bottom w:val="single" w:sz="4" w:space="0" w:color="auto"/>
              <w:right w:val="single" w:sz="4" w:space="0" w:color="auto"/>
            </w:tcBorders>
            <w:vAlign w:val="center"/>
          </w:tcPr>
          <w:p w14:paraId="75C1E028"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5.7</w:t>
            </w:r>
          </w:p>
        </w:tc>
        <w:tc>
          <w:tcPr>
            <w:tcW w:w="4201" w:type="dxa"/>
            <w:tcBorders>
              <w:top w:val="single" w:sz="4" w:space="0" w:color="auto"/>
              <w:left w:val="single" w:sz="8" w:space="0" w:color="auto"/>
              <w:bottom w:val="single" w:sz="4" w:space="0" w:color="auto"/>
              <w:right w:val="single" w:sz="8" w:space="0" w:color="auto"/>
            </w:tcBorders>
            <w:vAlign w:val="center"/>
          </w:tcPr>
          <w:p w14:paraId="29C15778" w14:textId="4C7F522D" w:rsidR="009A276D" w:rsidRPr="00524209" w:rsidRDefault="00EA10F7"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45.4 (forecast</w:t>
            </w:r>
            <w:r w:rsidR="009A276D">
              <w:rPr>
                <w:rFonts w:ascii="Times New Roman" w:hAnsi="Times New Roman" w:cs="Times New Roman"/>
                <w:color w:val="000000"/>
                <w:lang w:val="en-GB"/>
              </w:rPr>
              <w:t>)</w:t>
            </w:r>
            <w:r w:rsidR="009A276D">
              <w:rPr>
                <w:rStyle w:val="FootnoteReference"/>
                <w:rFonts w:ascii="Times New Roman" w:hAnsi="Times New Roman" w:cs="Times New Roman"/>
                <w:color w:val="000000"/>
                <w:lang w:val="en-GB"/>
              </w:rPr>
              <w:footnoteReference w:id="4"/>
            </w:r>
          </w:p>
          <w:p w14:paraId="79455083" w14:textId="77777777" w:rsidR="009A276D" w:rsidRPr="00524209" w:rsidRDefault="009A276D" w:rsidP="005A4163">
            <w:pPr>
              <w:spacing w:line="276" w:lineRule="auto"/>
              <w:jc w:val="both"/>
              <w:rPr>
                <w:rFonts w:ascii="Times New Roman" w:hAnsi="Times New Roman" w:cs="Times New Roman"/>
                <w:bCs/>
                <w:color w:val="000000"/>
              </w:rPr>
            </w:pPr>
          </w:p>
        </w:tc>
      </w:tr>
      <w:tr w:rsidR="009A276D" w:rsidRPr="00524209" w14:paraId="7F64C17C" w14:textId="77777777" w:rsidTr="005A4163">
        <w:trPr>
          <w:trHeight w:hRule="exact" w:val="306"/>
        </w:trPr>
        <w:tc>
          <w:tcPr>
            <w:tcW w:w="1401" w:type="dxa"/>
            <w:tcBorders>
              <w:top w:val="single" w:sz="4" w:space="0" w:color="auto"/>
              <w:left w:val="single" w:sz="8" w:space="0" w:color="auto"/>
              <w:bottom w:val="single" w:sz="4" w:space="0" w:color="auto"/>
              <w:right w:val="single" w:sz="8" w:space="0" w:color="auto"/>
            </w:tcBorders>
            <w:shd w:val="clear" w:color="auto" w:fill="auto"/>
            <w:vAlign w:val="center"/>
          </w:tcPr>
          <w:p w14:paraId="5E00919A" w14:textId="77777777" w:rsidR="009A276D" w:rsidRPr="00524209" w:rsidRDefault="009A276D" w:rsidP="005A4163">
            <w:pPr>
              <w:spacing w:line="276" w:lineRule="auto"/>
              <w:jc w:val="both"/>
              <w:rPr>
                <w:rFonts w:ascii="Times New Roman" w:hAnsi="Times New Roman" w:cs="Times New Roman"/>
                <w:b/>
                <w:bCs/>
                <w:i/>
                <w:iCs/>
                <w:color w:val="000000"/>
              </w:rPr>
            </w:pPr>
            <w:r>
              <w:rPr>
                <w:rFonts w:ascii="Times New Roman" w:hAnsi="Times New Roman" w:cs="Times New Roman"/>
                <w:b/>
                <w:bCs/>
                <w:i/>
                <w:iCs/>
                <w:color w:val="000000"/>
                <w:lang w:val="en-GB"/>
              </w:rPr>
              <w:t>2017 (proposal)</w:t>
            </w:r>
          </w:p>
        </w:tc>
        <w:tc>
          <w:tcPr>
            <w:tcW w:w="1680" w:type="dxa"/>
            <w:tcBorders>
              <w:top w:val="single" w:sz="4" w:space="0" w:color="auto"/>
              <w:left w:val="nil"/>
              <w:bottom w:val="single" w:sz="4" w:space="0" w:color="auto"/>
              <w:right w:val="single" w:sz="8" w:space="0" w:color="auto"/>
            </w:tcBorders>
            <w:shd w:val="clear" w:color="auto" w:fill="auto"/>
            <w:vAlign w:val="center"/>
          </w:tcPr>
          <w:p w14:paraId="56DEAF77"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 xml:space="preserve">1,920 </w:t>
            </w:r>
          </w:p>
        </w:tc>
        <w:tc>
          <w:tcPr>
            <w:tcW w:w="2379" w:type="dxa"/>
            <w:tcBorders>
              <w:top w:val="single" w:sz="4" w:space="0" w:color="auto"/>
              <w:left w:val="single" w:sz="4" w:space="0" w:color="auto"/>
              <w:bottom w:val="single" w:sz="4" w:space="0" w:color="auto"/>
              <w:right w:val="single" w:sz="4" w:space="0" w:color="auto"/>
            </w:tcBorders>
            <w:vAlign w:val="center"/>
          </w:tcPr>
          <w:p w14:paraId="37FE3F00"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3.8</w:t>
            </w:r>
          </w:p>
        </w:tc>
        <w:tc>
          <w:tcPr>
            <w:tcW w:w="4201" w:type="dxa"/>
            <w:tcBorders>
              <w:top w:val="single" w:sz="4" w:space="0" w:color="auto"/>
              <w:left w:val="single" w:sz="8" w:space="0" w:color="auto"/>
              <w:bottom w:val="single" w:sz="4" w:space="0" w:color="auto"/>
              <w:right w:val="single" w:sz="8" w:space="0" w:color="auto"/>
            </w:tcBorders>
            <w:vAlign w:val="center"/>
          </w:tcPr>
          <w:p w14:paraId="2FC3A384" w14:textId="77777777" w:rsidR="009A276D" w:rsidRPr="00524209" w:rsidRDefault="009A276D" w:rsidP="005A4163">
            <w:pPr>
              <w:spacing w:line="276" w:lineRule="auto"/>
              <w:jc w:val="both"/>
              <w:rPr>
                <w:rFonts w:ascii="Times New Roman" w:hAnsi="Times New Roman" w:cs="Times New Roman"/>
                <w:bCs/>
                <w:color w:val="000000"/>
              </w:rPr>
            </w:pPr>
            <w:r>
              <w:rPr>
                <w:rFonts w:ascii="Times New Roman" w:hAnsi="Times New Roman" w:cs="Times New Roman"/>
                <w:color w:val="000000"/>
                <w:lang w:val="en-GB"/>
              </w:rPr>
              <w:t>45.2</w:t>
            </w:r>
          </w:p>
        </w:tc>
      </w:tr>
    </w:tbl>
    <w:p w14:paraId="575FBDA3" w14:textId="77777777" w:rsidR="009A276D" w:rsidRPr="00524209" w:rsidRDefault="009A276D" w:rsidP="009A276D">
      <w:pPr>
        <w:spacing w:before="120" w:after="120" w:line="276" w:lineRule="auto"/>
        <w:jc w:val="both"/>
        <w:rPr>
          <w:rFonts w:ascii="Times New Roman" w:hAnsi="Times New Roman" w:cs="Times New Roman"/>
        </w:rPr>
      </w:pPr>
    </w:p>
    <w:p w14:paraId="0EFAFF58" w14:textId="77777777" w:rsidR="009A276D" w:rsidRPr="00524209" w:rsidRDefault="009A276D" w:rsidP="009A276D">
      <w:pPr>
        <w:spacing w:before="120" w:after="120" w:line="276" w:lineRule="auto"/>
        <w:jc w:val="both"/>
        <w:rPr>
          <w:rFonts w:ascii="Times New Roman" w:hAnsi="Times New Roman" w:cs="Times New Roman"/>
        </w:rPr>
      </w:pPr>
      <w:r>
        <w:rPr>
          <w:rFonts w:ascii="Times New Roman" w:hAnsi="Times New Roman" w:cs="Times New Roman"/>
          <w:lang w:val="en-GB"/>
        </w:rPr>
        <w:lastRenderedPageBreak/>
        <w:t xml:space="preserve">The above regulation applies only to employees, i.e. persons employed on the basis of an </w:t>
      </w:r>
      <w:r w:rsidRPr="00E27B90">
        <w:rPr>
          <w:rFonts w:ascii="Times New Roman" w:hAnsi="Times New Roman" w:cs="Times New Roman"/>
          <w:lang w:val="en-GB"/>
        </w:rPr>
        <w:t>employment relationship. A separate issue is the remuneration of persons providing work based on civil law contracts.</w:t>
      </w:r>
      <w:r>
        <w:rPr>
          <w:rFonts w:ascii="Times New Roman" w:hAnsi="Times New Roman" w:cs="Times New Roman"/>
          <w:lang w:val="en-GB"/>
        </w:rPr>
        <w:t xml:space="preserve"> </w:t>
      </w:r>
    </w:p>
    <w:p w14:paraId="1CA3BF90" w14:textId="77777777" w:rsidR="009A276D" w:rsidRPr="00EA10F7" w:rsidRDefault="009A276D" w:rsidP="009A276D">
      <w:pPr>
        <w:spacing w:before="120" w:after="120" w:line="276" w:lineRule="auto"/>
        <w:jc w:val="both"/>
        <w:rPr>
          <w:rFonts w:ascii="Times New Roman" w:hAnsi="Times New Roman" w:cs="Times New Roman"/>
        </w:rPr>
      </w:pPr>
      <w:r w:rsidRPr="00EA10F7">
        <w:rPr>
          <w:rFonts w:ascii="Times New Roman" w:hAnsi="Times New Roman" w:cs="Times New Roman"/>
          <w:lang w:val="en-GB"/>
        </w:rPr>
        <w:t xml:space="preserve">The level of minimum wage guarantee formation will also be impacted by the entry into force of the provisions of the bill amending the Act on the minimum remuneration for work and certain other acts proceeded by the Ministry. </w:t>
      </w:r>
    </w:p>
    <w:p w14:paraId="50F8C53D" w14:textId="77777777" w:rsidR="009A276D" w:rsidRPr="00524209" w:rsidRDefault="009A276D" w:rsidP="009A276D">
      <w:pPr>
        <w:spacing w:before="120" w:after="120" w:line="276" w:lineRule="auto"/>
        <w:jc w:val="both"/>
        <w:rPr>
          <w:rFonts w:ascii="Times New Roman" w:hAnsi="Times New Roman" w:cs="Times New Roman"/>
        </w:rPr>
      </w:pPr>
      <w:r w:rsidRPr="00EA10F7">
        <w:rPr>
          <w:rFonts w:ascii="Times New Roman" w:hAnsi="Times New Roman" w:cs="Times New Roman"/>
          <w:lang w:val="en-GB"/>
        </w:rPr>
        <w:t>As part of efforts to counter the abuse of civil law contracts and protect the persons who receive remunerations at the lowest level, the Ministry took up legislative work aimed at introduction of a guarantee of the minimum remuneration also for certain contracts concluded on the basis of the civil law to the current legal order. In practice, there are situations where a person performing work on the basis of a civil contract has a fixed hourly rate at a level much lower than the minimum remuneration due for work within the framework of an employment relationship; civil law contracts often replace the employment relationship and become a practice aimed at reducing the costs of employment. The planned solutions also provide for removing the possibility of establishing a minimum wage at a level lower than the valid minimum remuneration for those with short work experience (i.e. 80% of the minimum remuneration). Also the elements of the minimum remuneration will change (exclusion of allowance for work at night from the current scope), which will result in a more fair and transparent shape of this remuneration and (in some cases)</w:t>
      </w:r>
      <w:r>
        <w:rPr>
          <w:rFonts w:ascii="Times New Roman" w:hAnsi="Times New Roman" w:cs="Times New Roman"/>
          <w:lang w:val="en-GB"/>
        </w:rPr>
        <w:t xml:space="preserve"> increased remuneration. </w:t>
      </w:r>
      <w:proofErr w:type="spellStart"/>
      <w:r w:rsidRPr="009A276D">
        <w:rPr>
          <w:rFonts w:ascii="Times New Roman" w:hAnsi="Times New Roman" w:cs="Times New Roman"/>
          <w:lang w:val="pl-PL"/>
        </w:rPr>
        <w:t>These</w:t>
      </w:r>
      <w:proofErr w:type="spellEnd"/>
      <w:r w:rsidRPr="009A276D">
        <w:rPr>
          <w:rFonts w:ascii="Times New Roman" w:hAnsi="Times New Roman" w:cs="Times New Roman"/>
          <w:lang w:val="pl-PL"/>
        </w:rPr>
        <w:t xml:space="preserve"> </w:t>
      </w:r>
      <w:proofErr w:type="spellStart"/>
      <w:r w:rsidRPr="009A276D">
        <w:rPr>
          <w:rFonts w:ascii="Times New Roman" w:hAnsi="Times New Roman" w:cs="Times New Roman"/>
          <w:lang w:val="pl-PL"/>
        </w:rPr>
        <w:t>regulations</w:t>
      </w:r>
      <w:proofErr w:type="spellEnd"/>
      <w:r w:rsidRPr="009A276D">
        <w:rPr>
          <w:rFonts w:ascii="Times New Roman" w:hAnsi="Times New Roman" w:cs="Times New Roman"/>
          <w:lang w:val="pl-PL"/>
        </w:rPr>
        <w:t xml:space="preserve"> </w:t>
      </w:r>
      <w:proofErr w:type="spellStart"/>
      <w:r w:rsidRPr="009A276D">
        <w:rPr>
          <w:rFonts w:ascii="Times New Roman" w:hAnsi="Times New Roman" w:cs="Times New Roman"/>
          <w:lang w:val="pl-PL"/>
        </w:rPr>
        <w:t>will</w:t>
      </w:r>
      <w:proofErr w:type="spellEnd"/>
      <w:r w:rsidRPr="009A276D">
        <w:rPr>
          <w:rFonts w:ascii="Times New Roman" w:hAnsi="Times New Roman" w:cs="Times New Roman"/>
          <w:lang w:val="pl-PL"/>
        </w:rPr>
        <w:t xml:space="preserve"> </w:t>
      </w:r>
      <w:proofErr w:type="spellStart"/>
      <w:r w:rsidRPr="009A276D">
        <w:rPr>
          <w:rFonts w:ascii="Times New Roman" w:hAnsi="Times New Roman" w:cs="Times New Roman"/>
          <w:lang w:val="pl-PL"/>
        </w:rPr>
        <w:t>enter</w:t>
      </w:r>
      <w:proofErr w:type="spellEnd"/>
      <w:r w:rsidRPr="009A276D">
        <w:rPr>
          <w:rFonts w:ascii="Times New Roman" w:hAnsi="Times New Roman" w:cs="Times New Roman"/>
          <w:lang w:val="pl-PL"/>
        </w:rPr>
        <w:t xml:space="preserve"> </w:t>
      </w:r>
      <w:proofErr w:type="spellStart"/>
      <w:r w:rsidRPr="009A276D">
        <w:rPr>
          <w:rFonts w:ascii="Times New Roman" w:hAnsi="Times New Roman" w:cs="Times New Roman"/>
          <w:lang w:val="pl-PL"/>
        </w:rPr>
        <w:t>into</w:t>
      </w:r>
      <w:proofErr w:type="spellEnd"/>
      <w:r w:rsidRPr="009A276D">
        <w:rPr>
          <w:rFonts w:ascii="Times New Roman" w:hAnsi="Times New Roman" w:cs="Times New Roman"/>
          <w:lang w:val="pl-PL"/>
        </w:rPr>
        <w:t xml:space="preserve"> </w:t>
      </w:r>
      <w:proofErr w:type="spellStart"/>
      <w:r w:rsidRPr="009A276D">
        <w:rPr>
          <w:rFonts w:ascii="Times New Roman" w:hAnsi="Times New Roman" w:cs="Times New Roman"/>
          <w:lang w:val="pl-PL"/>
        </w:rPr>
        <w:t>force</w:t>
      </w:r>
      <w:proofErr w:type="spellEnd"/>
      <w:r w:rsidRPr="009A276D">
        <w:rPr>
          <w:rFonts w:ascii="Times New Roman" w:hAnsi="Times New Roman" w:cs="Times New Roman"/>
          <w:lang w:val="pl-PL"/>
        </w:rPr>
        <w:t xml:space="preserve"> on 1 January 2017.</w:t>
      </w:r>
    </w:p>
    <w:p w14:paraId="1003C7B0" w14:textId="77777777" w:rsidR="00720483" w:rsidRPr="000B5A4D" w:rsidRDefault="00720483" w:rsidP="000B5A4D">
      <w:pPr>
        <w:spacing w:before="120" w:after="120" w:line="276" w:lineRule="auto"/>
        <w:jc w:val="both"/>
        <w:rPr>
          <w:rFonts w:asciiTheme="majorHAnsi" w:hAnsiTheme="majorHAnsi"/>
        </w:rPr>
      </w:pPr>
    </w:p>
    <w:p w14:paraId="36FAF6E4" w14:textId="0DAA070C" w:rsidR="00BD4E72" w:rsidRDefault="007B28B8" w:rsidP="003764FE">
      <w:pPr>
        <w:pStyle w:val="NormalWeb"/>
        <w:numPr>
          <w:ilvl w:val="0"/>
          <w:numId w:val="1"/>
        </w:numPr>
        <w:ind w:left="426"/>
        <w:rPr>
          <w:rFonts w:asciiTheme="majorHAnsi" w:hAnsiTheme="majorHAnsi"/>
          <w:b/>
          <w:sz w:val="28"/>
          <w:szCs w:val="28"/>
          <w:lang w:val="en-AU"/>
        </w:rPr>
      </w:pPr>
      <w:r>
        <w:rPr>
          <w:rFonts w:asciiTheme="majorHAnsi" w:hAnsiTheme="majorHAnsi"/>
          <w:b/>
          <w:sz w:val="28"/>
          <w:szCs w:val="28"/>
          <w:lang w:val="en-AU"/>
        </w:rPr>
        <w:t>SOCIAL AND VOCATIONAL INTEGRATION OF MIGRANT WORKERS</w:t>
      </w:r>
    </w:p>
    <w:p w14:paraId="4D6A9F01" w14:textId="7B3FE75E" w:rsidR="00E12CB0" w:rsidRPr="00B050ED" w:rsidRDefault="00B050ED" w:rsidP="00E12CB0">
      <w:pPr>
        <w:pStyle w:val="NormalWeb"/>
        <w:ind w:left="426"/>
        <w:rPr>
          <w:rFonts w:asciiTheme="majorHAnsi" w:hAnsiTheme="majorHAnsi"/>
          <w:b/>
          <w:sz w:val="24"/>
          <w:szCs w:val="24"/>
          <w:lang w:val="en-AU"/>
        </w:rPr>
      </w:pPr>
      <w:r w:rsidRPr="00B050ED">
        <w:rPr>
          <w:rFonts w:asciiTheme="majorHAnsi" w:hAnsiTheme="majorHAnsi"/>
          <w:b/>
          <w:sz w:val="24"/>
          <w:szCs w:val="24"/>
          <w:lang w:val="en-AU"/>
        </w:rPr>
        <w:t>3.1.</w:t>
      </w:r>
      <w:r w:rsidRPr="00B050ED">
        <w:rPr>
          <w:rFonts w:ascii="Times New Roman" w:hAnsi="Times New Roman" w:cstheme="minorBidi"/>
          <w:b/>
          <w:bCs/>
          <w:sz w:val="24"/>
          <w:szCs w:val="24"/>
          <w:lang w:val="en-GB"/>
        </w:rPr>
        <w:t xml:space="preserve"> </w:t>
      </w:r>
      <w:r w:rsidRPr="00B050ED">
        <w:rPr>
          <w:rFonts w:asciiTheme="majorHAnsi" w:hAnsiTheme="majorHAnsi"/>
          <w:b/>
          <w:bCs/>
          <w:sz w:val="24"/>
          <w:szCs w:val="24"/>
          <w:lang w:val="en-GB"/>
        </w:rPr>
        <w:t>SOCIAL INTEGRATION OF MIGRANT WORKERS</w:t>
      </w:r>
    </w:p>
    <w:p w14:paraId="48090001" w14:textId="2A26754B" w:rsidR="00E12CB0" w:rsidRPr="00524209" w:rsidRDefault="00E12CB0" w:rsidP="00B03066">
      <w:pPr>
        <w:spacing w:after="200" w:line="276" w:lineRule="auto"/>
        <w:contextualSpacing/>
        <w:jc w:val="both"/>
        <w:rPr>
          <w:rFonts w:ascii="Times New Roman" w:hAnsi="Times New Roman" w:cs="Times New Roman"/>
          <w:bCs/>
          <w:iCs/>
        </w:rPr>
      </w:pPr>
      <w:r>
        <w:rPr>
          <w:rFonts w:ascii="Times New Roman" w:hAnsi="Times New Roman" w:cs="Times New Roman"/>
          <w:lang w:val="en-GB"/>
        </w:rPr>
        <w:t xml:space="preserve">The underlying regulation of the Polish social assistance system is the Act of 12 March 2004 on social assistance. It defines the general objective of social assistance: “to enable persons and families to overcome difficult situations which they are unable to handle using their own rights, resources, and possibilities.” Social assistance is the last resort of the social security system. It is therefore not a specific system of social protection intended for </w:t>
      </w:r>
      <w:r w:rsidR="00C95A2C">
        <w:rPr>
          <w:rFonts w:ascii="Times New Roman" w:hAnsi="Times New Roman" w:cs="Times New Roman"/>
          <w:lang w:val="en-GB"/>
        </w:rPr>
        <w:t>those</w:t>
      </w:r>
      <w:r>
        <w:rPr>
          <w:rFonts w:ascii="Times New Roman" w:hAnsi="Times New Roman" w:cs="Times New Roman"/>
          <w:lang w:val="en-GB"/>
        </w:rPr>
        <w:t xml:space="preserve"> who work, are in various forms of employment or are occupationally active.</w:t>
      </w:r>
    </w:p>
    <w:p w14:paraId="1C51FB2F" w14:textId="77777777" w:rsidR="00E12CB0" w:rsidRPr="00524209" w:rsidRDefault="00E12CB0" w:rsidP="00B03066">
      <w:pPr>
        <w:spacing w:after="200" w:line="276" w:lineRule="auto"/>
        <w:contextualSpacing/>
        <w:jc w:val="both"/>
        <w:rPr>
          <w:rFonts w:ascii="Times New Roman" w:hAnsi="Times New Roman" w:cs="Times New Roman"/>
          <w:bCs/>
          <w:iCs/>
        </w:rPr>
      </w:pPr>
      <w:r>
        <w:rPr>
          <w:rFonts w:ascii="Times New Roman" w:hAnsi="Times New Roman" w:cs="Times New Roman"/>
          <w:lang w:val="en-GB"/>
        </w:rPr>
        <w:t>The basic condition for the grant of cash benefits from social assistance is the income criterion, i.e. income per person/family may not exceed a certain threshold. In accordance with the provisions of the above Act, income is the sum of monthly revenue (unless the Act stipulates otherwise, decreased by: monthly personal income tax, health insurance contributions referred to in the regulations on health care benefits financed from public funds and social security specified in separate regulations, and the amount of alimony provided to other people) – regardless of the title and the source.</w:t>
      </w:r>
    </w:p>
    <w:p w14:paraId="101E053B" w14:textId="77777777" w:rsidR="00E12CB0" w:rsidRPr="00524209" w:rsidRDefault="00E12CB0" w:rsidP="00B03066">
      <w:pPr>
        <w:spacing w:after="200" w:line="276" w:lineRule="auto"/>
        <w:contextualSpacing/>
        <w:jc w:val="both"/>
        <w:rPr>
          <w:rFonts w:ascii="Times New Roman" w:hAnsi="Times New Roman" w:cs="Times New Roman"/>
          <w:bCs/>
          <w:iCs/>
        </w:rPr>
      </w:pPr>
    </w:p>
    <w:p w14:paraId="6ABB6306" w14:textId="77777777" w:rsidR="00E12CB0" w:rsidRPr="00524209" w:rsidRDefault="00E12CB0" w:rsidP="00B03066">
      <w:pPr>
        <w:spacing w:after="200" w:line="276" w:lineRule="auto"/>
        <w:contextualSpacing/>
        <w:jc w:val="both"/>
        <w:rPr>
          <w:rFonts w:ascii="Times New Roman" w:hAnsi="Times New Roman" w:cs="Times New Roman"/>
          <w:bCs/>
          <w:iCs/>
        </w:rPr>
      </w:pPr>
      <w:r>
        <w:rPr>
          <w:rFonts w:ascii="Times New Roman" w:hAnsi="Times New Roman" w:cs="Times New Roman"/>
          <w:lang w:val="en-GB"/>
        </w:rPr>
        <w:t>Unless international agreements stipulate otherwise, the following have the right to welfare benefits:</w:t>
      </w:r>
    </w:p>
    <w:p w14:paraId="31D2DF08" w14:textId="77777777" w:rsidR="00E12CB0" w:rsidRPr="00524209" w:rsidRDefault="00E12CB0" w:rsidP="00B03066">
      <w:pPr>
        <w:spacing w:after="200" w:line="276" w:lineRule="auto"/>
        <w:contextualSpacing/>
        <w:jc w:val="both"/>
        <w:rPr>
          <w:rFonts w:ascii="Times New Roman" w:hAnsi="Times New Roman" w:cs="Times New Roman"/>
          <w:bCs/>
          <w:iCs/>
        </w:rPr>
      </w:pPr>
      <w:r>
        <w:rPr>
          <w:rFonts w:ascii="Times New Roman" w:hAnsi="Times New Roman" w:cs="Times New Roman"/>
          <w:lang w:val="en-GB"/>
        </w:rPr>
        <w:t>1) People with Polish citizenship domiciled and residing in the territory of the Republic of Poland;</w:t>
      </w:r>
    </w:p>
    <w:p w14:paraId="01C3076F" w14:textId="77777777" w:rsidR="00E12CB0" w:rsidRPr="00524209" w:rsidRDefault="00E12CB0" w:rsidP="00B03066">
      <w:pPr>
        <w:spacing w:after="200" w:line="276" w:lineRule="auto"/>
        <w:contextualSpacing/>
        <w:jc w:val="both"/>
        <w:rPr>
          <w:rFonts w:ascii="Times New Roman" w:hAnsi="Times New Roman" w:cs="Times New Roman"/>
          <w:bCs/>
          <w:iCs/>
        </w:rPr>
      </w:pPr>
      <w:r>
        <w:rPr>
          <w:rFonts w:ascii="Times New Roman" w:hAnsi="Times New Roman" w:cs="Times New Roman"/>
          <w:lang w:val="en-GB"/>
        </w:rPr>
        <w:t>2) Foreigners domiciled and residing in the territory of the Republic of Poland:</w:t>
      </w:r>
    </w:p>
    <w:p w14:paraId="3200D26A" w14:textId="77777777" w:rsidR="00E12CB0" w:rsidRPr="00524209" w:rsidRDefault="00E12CB0" w:rsidP="00B03066">
      <w:pPr>
        <w:spacing w:after="200" w:line="276" w:lineRule="auto"/>
        <w:contextualSpacing/>
        <w:jc w:val="both"/>
        <w:rPr>
          <w:rFonts w:ascii="Times New Roman" w:hAnsi="Times New Roman" w:cs="Times New Roman"/>
          <w:bCs/>
          <w:iCs/>
        </w:rPr>
      </w:pPr>
      <w:r>
        <w:rPr>
          <w:rFonts w:ascii="Times New Roman" w:hAnsi="Times New Roman" w:cs="Times New Roman"/>
          <w:lang w:val="en-GB"/>
        </w:rPr>
        <w:lastRenderedPageBreak/>
        <w:t>(a) On the basis of a permanent residence permit, a permit for the stay of a long-term resident of the European Union or a temporary residence permit or in connection obtaining a refugee status or subsidiary protection in the Republic of Poland,</w:t>
      </w:r>
    </w:p>
    <w:p w14:paraId="649502FA" w14:textId="77777777" w:rsidR="00E12CB0" w:rsidRPr="00524209" w:rsidRDefault="00E12CB0" w:rsidP="00B03066">
      <w:pPr>
        <w:spacing w:after="200" w:line="276" w:lineRule="auto"/>
        <w:contextualSpacing/>
        <w:jc w:val="both"/>
        <w:rPr>
          <w:rFonts w:ascii="Times New Roman" w:hAnsi="Times New Roman" w:cs="Times New Roman"/>
          <w:bCs/>
          <w:iCs/>
        </w:rPr>
      </w:pPr>
      <w:r>
        <w:rPr>
          <w:rFonts w:ascii="Times New Roman" w:hAnsi="Times New Roman" w:cs="Times New Roman"/>
          <w:lang w:val="en-GB"/>
        </w:rPr>
        <w:t xml:space="preserve">(b) In connection with obtaining a permission to stay on humanitarian grounds or consent for tolerated stay – in the form of shelter, food, necessary clothes and targeted </w:t>
      </w:r>
      <w:proofErr w:type="gramStart"/>
      <w:r>
        <w:rPr>
          <w:rFonts w:ascii="Times New Roman" w:hAnsi="Times New Roman" w:cs="Times New Roman"/>
          <w:lang w:val="en-GB"/>
        </w:rPr>
        <w:t>benefit  in</w:t>
      </w:r>
      <w:proofErr w:type="gramEnd"/>
      <w:r>
        <w:rPr>
          <w:rFonts w:ascii="Times New Roman" w:hAnsi="Times New Roman" w:cs="Times New Roman"/>
          <w:lang w:val="en-GB"/>
        </w:rPr>
        <w:t xml:space="preserve"> the Republic of Poland;</w:t>
      </w:r>
    </w:p>
    <w:p w14:paraId="43A012D4" w14:textId="77777777" w:rsidR="00E12CB0" w:rsidRPr="00524209" w:rsidRDefault="00E12CB0" w:rsidP="00B03066">
      <w:pPr>
        <w:spacing w:after="200" w:line="276" w:lineRule="auto"/>
        <w:contextualSpacing/>
        <w:jc w:val="both"/>
        <w:rPr>
          <w:rFonts w:ascii="Times New Roman" w:hAnsi="Times New Roman" w:cs="Times New Roman"/>
          <w:bCs/>
          <w:iCs/>
        </w:rPr>
      </w:pPr>
      <w:r>
        <w:rPr>
          <w:rFonts w:ascii="Times New Roman" w:hAnsi="Times New Roman" w:cs="Times New Roman"/>
          <w:lang w:val="en-GB"/>
        </w:rPr>
        <w:t>3) Citizens of Member States of the European Union, Member States of the European Free Trade Agreement (EFTA) – parties to the agreement on the European Economic Area or of the Swiss Confederation and their family members with the right of residence or the right of permanent residence in the territory of the Republic of Poland domiciled and residing in the territory of the Republic of Poland.</w:t>
      </w:r>
    </w:p>
    <w:p w14:paraId="6EFF18F8" w14:textId="77777777" w:rsidR="00E12CB0" w:rsidRDefault="00E12CB0" w:rsidP="00B03066">
      <w:pPr>
        <w:pStyle w:val="NormalWeb"/>
        <w:spacing w:line="276" w:lineRule="auto"/>
        <w:jc w:val="both"/>
        <w:rPr>
          <w:rFonts w:ascii="Times New Roman" w:hAnsi="Times New Roman"/>
          <w:sz w:val="24"/>
          <w:szCs w:val="24"/>
          <w:lang w:val="en-GB"/>
        </w:rPr>
      </w:pPr>
      <w:r>
        <w:rPr>
          <w:rFonts w:ascii="Times New Roman" w:hAnsi="Times New Roman"/>
          <w:sz w:val="24"/>
          <w:szCs w:val="24"/>
          <w:lang w:val="en-GB"/>
        </w:rPr>
        <w:t>In addition, on the basis of the provisions of the Act on social assistance a foreigner who was granted international protection in the territory of the Republic of Poland (refugee status or subsidiary protection) is granted aid to support the process of his/her integration. It includes, among others, a cash benefit for maintenance and to cover the expenses related to learning Polish. Support is provided under an individual integration programme.</w:t>
      </w:r>
    </w:p>
    <w:p w14:paraId="2291F8AC" w14:textId="552D0DE0" w:rsidR="00B050ED" w:rsidRPr="005B689E" w:rsidRDefault="00B050ED" w:rsidP="005B689E">
      <w:pPr>
        <w:pStyle w:val="NormalWeb"/>
        <w:rPr>
          <w:rFonts w:asciiTheme="majorHAnsi" w:hAnsiTheme="majorHAnsi"/>
          <w:b/>
          <w:sz w:val="24"/>
          <w:szCs w:val="24"/>
        </w:rPr>
      </w:pPr>
      <w:r w:rsidRPr="005B689E">
        <w:rPr>
          <w:rFonts w:asciiTheme="majorHAnsi" w:hAnsiTheme="majorHAnsi"/>
          <w:b/>
          <w:sz w:val="24"/>
          <w:szCs w:val="24"/>
          <w:lang w:val="en-AU"/>
        </w:rPr>
        <w:t>3.2.</w:t>
      </w:r>
      <w:r w:rsidRPr="005B689E">
        <w:rPr>
          <w:rFonts w:ascii="Times New Roman" w:hAnsi="Times New Roman" w:cstheme="minorBidi"/>
          <w:b/>
          <w:bCs/>
          <w:sz w:val="24"/>
          <w:szCs w:val="24"/>
          <w:lang w:val="en-GB"/>
        </w:rPr>
        <w:t xml:space="preserve"> </w:t>
      </w:r>
      <w:r w:rsidRPr="005B689E">
        <w:rPr>
          <w:rFonts w:asciiTheme="majorHAnsi" w:hAnsiTheme="majorHAnsi"/>
          <w:b/>
          <w:sz w:val="24"/>
          <w:szCs w:val="24"/>
        </w:rPr>
        <w:t>IMPACTS OF MIGRANTS TO SOCIAL SECURITY SYSTEM</w:t>
      </w:r>
    </w:p>
    <w:p w14:paraId="7E93B851" w14:textId="77777777" w:rsidR="001C0E1B" w:rsidRPr="0041402A" w:rsidRDefault="001C0E1B" w:rsidP="0041402A">
      <w:pPr>
        <w:spacing w:after="200" w:line="276" w:lineRule="auto"/>
        <w:contextualSpacing/>
        <w:jc w:val="both"/>
        <w:rPr>
          <w:rFonts w:ascii="Times New Roman" w:hAnsi="Times New Roman" w:cs="Times New Roman"/>
          <w:bCs/>
          <w:iCs/>
          <w:lang w:val="en-US"/>
        </w:rPr>
      </w:pPr>
      <w:r w:rsidRPr="0041402A">
        <w:rPr>
          <w:rFonts w:ascii="Times New Roman" w:hAnsi="Times New Roman" w:cs="Times New Roman"/>
          <w:bCs/>
          <w:iCs/>
          <w:lang w:val="en-US"/>
        </w:rPr>
        <w:t xml:space="preserve">Some categories of unemployed or job seeking third country nationals (for example permanent residents, refugees, long-term EU residents) are entitled to various forms of support provided by Polish public employment services such as, among others, job placement and professional counseling. Since May 1, 2014 the scope of categories who could be beneficiaries of public employment services support has been broadened by </w:t>
      </w:r>
      <w:proofErr w:type="spellStart"/>
      <w:r w:rsidRPr="0041402A">
        <w:rPr>
          <w:rFonts w:ascii="Times New Roman" w:hAnsi="Times New Roman" w:cs="Times New Roman"/>
          <w:bCs/>
          <w:iCs/>
          <w:lang w:val="en-US"/>
        </w:rPr>
        <w:t>eg</w:t>
      </w:r>
      <w:proofErr w:type="spellEnd"/>
      <w:r w:rsidRPr="0041402A">
        <w:rPr>
          <w:rFonts w:ascii="Times New Roman" w:hAnsi="Times New Roman" w:cs="Times New Roman"/>
          <w:bCs/>
          <w:iCs/>
          <w:lang w:val="en-US"/>
        </w:rPr>
        <w:t xml:space="preserve">. </w:t>
      </w:r>
      <w:proofErr w:type="gramStart"/>
      <w:r w:rsidRPr="0041402A">
        <w:rPr>
          <w:rFonts w:ascii="Times New Roman" w:hAnsi="Times New Roman" w:cs="Times New Roman"/>
          <w:bCs/>
          <w:iCs/>
          <w:lang w:val="en-US"/>
        </w:rPr>
        <w:t>foreigners</w:t>
      </w:r>
      <w:proofErr w:type="gramEnd"/>
      <w:r w:rsidRPr="0041402A">
        <w:rPr>
          <w:rFonts w:ascii="Times New Roman" w:hAnsi="Times New Roman" w:cs="Times New Roman"/>
          <w:bCs/>
          <w:iCs/>
          <w:lang w:val="en-US"/>
        </w:rPr>
        <w:t xml:space="preserve"> residing on the territory of Poland on the basis of visa for the purpose of work. </w:t>
      </w:r>
    </w:p>
    <w:p w14:paraId="6757A0B7" w14:textId="77777777" w:rsidR="001C0E1B" w:rsidRPr="0041402A" w:rsidRDefault="001C0E1B" w:rsidP="0041402A">
      <w:pPr>
        <w:spacing w:after="200" w:line="276" w:lineRule="auto"/>
        <w:contextualSpacing/>
        <w:jc w:val="both"/>
        <w:rPr>
          <w:rFonts w:ascii="Times New Roman" w:hAnsi="Times New Roman" w:cs="Times New Roman"/>
          <w:bCs/>
          <w:iCs/>
          <w:lang w:val="en-US"/>
        </w:rPr>
      </w:pPr>
      <w:r w:rsidRPr="0041402A">
        <w:rPr>
          <w:rFonts w:ascii="Times New Roman" w:hAnsi="Times New Roman" w:cs="Times New Roman"/>
          <w:bCs/>
          <w:iCs/>
          <w:lang w:val="en-US"/>
        </w:rPr>
        <w:t xml:space="preserve">The vast majority of foreigners working in Poland are citizens of Ukraine performing short-term work </w:t>
      </w:r>
      <w:proofErr w:type="gramStart"/>
      <w:r w:rsidRPr="0041402A">
        <w:rPr>
          <w:rFonts w:ascii="Times New Roman" w:hAnsi="Times New Roman" w:cs="Times New Roman"/>
          <w:bCs/>
          <w:iCs/>
          <w:lang w:val="en-US"/>
        </w:rPr>
        <w:t>on  the</w:t>
      </w:r>
      <w:proofErr w:type="gramEnd"/>
      <w:r w:rsidRPr="0041402A">
        <w:rPr>
          <w:rFonts w:ascii="Times New Roman" w:hAnsi="Times New Roman" w:cs="Times New Roman"/>
          <w:bCs/>
          <w:iCs/>
          <w:lang w:val="en-US"/>
        </w:rPr>
        <w:t xml:space="preserve"> basis of declaration on intention to entrust work to foreigner. The basis of their stay in </w:t>
      </w:r>
      <w:proofErr w:type="gramStart"/>
      <w:r w:rsidRPr="0041402A">
        <w:rPr>
          <w:rFonts w:ascii="Times New Roman" w:hAnsi="Times New Roman" w:cs="Times New Roman"/>
          <w:bCs/>
          <w:iCs/>
          <w:lang w:val="en-US"/>
        </w:rPr>
        <w:t>Poland  the</w:t>
      </w:r>
      <w:proofErr w:type="gramEnd"/>
      <w:r w:rsidRPr="0041402A">
        <w:rPr>
          <w:rFonts w:ascii="Times New Roman" w:hAnsi="Times New Roman" w:cs="Times New Roman"/>
          <w:bCs/>
          <w:iCs/>
          <w:lang w:val="en-US"/>
        </w:rPr>
        <w:t xml:space="preserve"> is predominantly visa for the purpose of work. </w:t>
      </w:r>
    </w:p>
    <w:p w14:paraId="2C4C9873" w14:textId="2E9F52E8" w:rsidR="001C0E1B" w:rsidRPr="0041402A" w:rsidRDefault="001C0E1B" w:rsidP="0041402A">
      <w:pPr>
        <w:spacing w:after="200" w:line="276" w:lineRule="auto"/>
        <w:contextualSpacing/>
        <w:jc w:val="both"/>
        <w:rPr>
          <w:rFonts w:ascii="Times New Roman" w:hAnsi="Times New Roman" w:cs="Times New Roman"/>
          <w:b/>
          <w:lang w:val="en-US"/>
        </w:rPr>
      </w:pPr>
      <w:r w:rsidRPr="0041402A">
        <w:rPr>
          <w:rFonts w:ascii="Times New Roman" w:hAnsi="Times New Roman" w:cs="Times New Roman"/>
          <w:bCs/>
          <w:iCs/>
          <w:lang w:val="en-US"/>
        </w:rPr>
        <w:t xml:space="preserve">The </w:t>
      </w:r>
      <w:proofErr w:type="gramStart"/>
      <w:r w:rsidRPr="0041402A">
        <w:rPr>
          <w:rFonts w:ascii="Times New Roman" w:hAnsi="Times New Roman" w:cs="Times New Roman"/>
          <w:bCs/>
          <w:iCs/>
          <w:lang w:val="en-US"/>
        </w:rPr>
        <w:t>above mentioned</w:t>
      </w:r>
      <w:proofErr w:type="gramEnd"/>
      <w:r w:rsidRPr="0041402A">
        <w:rPr>
          <w:rFonts w:ascii="Times New Roman" w:hAnsi="Times New Roman" w:cs="Times New Roman"/>
          <w:bCs/>
          <w:iCs/>
          <w:lang w:val="en-US"/>
        </w:rPr>
        <w:t xml:space="preserve"> categories of third country residents have an access to labour market services (i.e. Labour Office services, vocational advisory services and job information, support in active job seeking and participation in training organized by labour offices), and they will also be subject to health insurance, i.e. they will be able to benefit from free health-care services. They will also be entitled to unemployment benefits if they fulfil the requirements for being granted the entitlement (in principle they must work and pay contributions to the Labour Fund for the total number of 365 days within the period of 18 months prior to registration).</w:t>
      </w:r>
    </w:p>
    <w:p w14:paraId="70A21669" w14:textId="77777777" w:rsidR="0041402A" w:rsidRDefault="001C0E1B" w:rsidP="0041402A">
      <w:pPr>
        <w:spacing w:after="200" w:line="276" w:lineRule="auto"/>
        <w:contextualSpacing/>
        <w:jc w:val="both"/>
        <w:rPr>
          <w:rFonts w:ascii="Times New Roman" w:hAnsi="Times New Roman" w:cs="Times New Roman"/>
          <w:bCs/>
          <w:iCs/>
          <w:lang w:val="en-US"/>
        </w:rPr>
      </w:pPr>
      <w:r w:rsidRPr="0041402A">
        <w:rPr>
          <w:rFonts w:ascii="Times New Roman" w:hAnsi="Times New Roman" w:cs="Times New Roman"/>
          <w:bCs/>
          <w:iCs/>
          <w:lang w:val="en-US"/>
        </w:rPr>
        <w:t xml:space="preserve">According to the principle adopted in the Polish law, all social security benefits, except for social assistance and unemployment </w:t>
      </w:r>
      <w:proofErr w:type="gramStart"/>
      <w:r w:rsidRPr="0041402A">
        <w:rPr>
          <w:rFonts w:ascii="Times New Roman" w:hAnsi="Times New Roman" w:cs="Times New Roman"/>
          <w:bCs/>
          <w:iCs/>
          <w:lang w:val="en-US"/>
        </w:rPr>
        <w:t>benefits,</w:t>
      </w:r>
      <w:proofErr w:type="gramEnd"/>
      <w:r w:rsidRPr="0041402A">
        <w:rPr>
          <w:rFonts w:ascii="Times New Roman" w:hAnsi="Times New Roman" w:cs="Times New Roman"/>
          <w:bCs/>
          <w:iCs/>
          <w:lang w:val="en-US"/>
        </w:rPr>
        <w:t xml:space="preserve"> are transferred abroad to the domicile of a person (a foreigner or a Polish national) who is entitled to those benefits only if Poland has signed a bilateral social security agreement with the country of domicile of the pensioner concerned. In other cases the benefits are not subject to transfer and the way they are taken up depend on the type of benefit.</w:t>
      </w:r>
    </w:p>
    <w:p w14:paraId="6588874C" w14:textId="1542BD1F" w:rsidR="001C0E1B" w:rsidRPr="0041402A" w:rsidRDefault="001C0E1B" w:rsidP="0041402A">
      <w:pPr>
        <w:spacing w:after="200" w:line="276" w:lineRule="auto"/>
        <w:contextualSpacing/>
        <w:jc w:val="both"/>
        <w:rPr>
          <w:rFonts w:ascii="Times New Roman" w:hAnsi="Times New Roman" w:cs="Times New Roman"/>
          <w:bCs/>
          <w:iCs/>
          <w:lang w:val="en-US"/>
        </w:rPr>
      </w:pPr>
      <w:r w:rsidRPr="0041402A">
        <w:rPr>
          <w:rFonts w:ascii="Times New Roman" w:hAnsi="Times New Roman" w:cs="Times New Roman"/>
          <w:bCs/>
          <w:iCs/>
          <w:lang w:val="en-US"/>
        </w:rPr>
        <w:t xml:space="preserve">Poland has entered into only a few international bilateral agreements concerning the coordination of social security schemes. It is worth noting </w:t>
      </w:r>
      <w:proofErr w:type="gramStart"/>
      <w:r w:rsidRPr="0041402A">
        <w:rPr>
          <w:rFonts w:ascii="Times New Roman" w:hAnsi="Times New Roman" w:cs="Times New Roman"/>
          <w:bCs/>
          <w:iCs/>
          <w:lang w:val="en-US"/>
        </w:rPr>
        <w:t>that  Poland</w:t>
      </w:r>
      <w:proofErr w:type="gramEnd"/>
      <w:r w:rsidRPr="0041402A">
        <w:rPr>
          <w:rFonts w:ascii="Times New Roman" w:hAnsi="Times New Roman" w:cs="Times New Roman"/>
          <w:bCs/>
          <w:iCs/>
          <w:lang w:val="en-US"/>
        </w:rPr>
        <w:t xml:space="preserve"> has signed such an agreement with Ukraine (2012),  the country of origin of the biggest population of migrants staying in Poland.</w:t>
      </w:r>
    </w:p>
    <w:p w14:paraId="781F271D" w14:textId="20AFCABB" w:rsidR="003D2B93" w:rsidRPr="0041402A" w:rsidRDefault="00476D63" w:rsidP="00C86509">
      <w:pPr>
        <w:pStyle w:val="NormalWeb"/>
        <w:spacing w:before="0" w:beforeAutospacing="0" w:after="0" w:afterAutospacing="0" w:line="276" w:lineRule="auto"/>
        <w:rPr>
          <w:rFonts w:ascii="Times New Roman" w:hAnsi="Times New Roman"/>
          <w:sz w:val="24"/>
          <w:szCs w:val="24"/>
          <w:lang w:val="en-US"/>
        </w:rPr>
      </w:pPr>
      <w:r w:rsidRPr="0041402A">
        <w:rPr>
          <w:rFonts w:ascii="Times New Roman" w:hAnsi="Times New Roman"/>
          <w:sz w:val="24"/>
          <w:szCs w:val="24"/>
          <w:lang w:val="en-US"/>
        </w:rPr>
        <w:lastRenderedPageBreak/>
        <w:t>Principle</w:t>
      </w:r>
      <w:r w:rsidR="00813A37" w:rsidRPr="0041402A">
        <w:rPr>
          <w:rFonts w:ascii="Times New Roman" w:hAnsi="Times New Roman"/>
          <w:sz w:val="24"/>
          <w:szCs w:val="24"/>
          <w:lang w:val="en-US"/>
        </w:rPr>
        <w:t xml:space="preserve"> of social security system in Poland</w:t>
      </w:r>
      <w:r w:rsidRPr="0041402A">
        <w:rPr>
          <w:rFonts w:ascii="Times New Roman" w:hAnsi="Times New Roman"/>
          <w:sz w:val="24"/>
          <w:szCs w:val="24"/>
          <w:lang w:val="en-US"/>
        </w:rPr>
        <w:t xml:space="preserve"> is e</w:t>
      </w:r>
      <w:r w:rsidR="0007379D" w:rsidRPr="0041402A">
        <w:rPr>
          <w:rFonts w:ascii="Times New Roman" w:hAnsi="Times New Roman"/>
          <w:sz w:val="24"/>
          <w:szCs w:val="24"/>
          <w:lang w:val="en-US"/>
        </w:rPr>
        <w:t xml:space="preserve">qual treatment irrespective of </w:t>
      </w:r>
      <w:r w:rsidR="00813A37" w:rsidRPr="0041402A">
        <w:rPr>
          <w:rFonts w:ascii="Times New Roman" w:hAnsi="Times New Roman"/>
          <w:sz w:val="24"/>
          <w:szCs w:val="24"/>
          <w:lang w:val="en-US"/>
        </w:rPr>
        <w:t>nationality,</w:t>
      </w:r>
      <w:r w:rsidRPr="0041402A">
        <w:rPr>
          <w:rFonts w:ascii="Times New Roman" w:hAnsi="Times New Roman"/>
          <w:sz w:val="24"/>
          <w:szCs w:val="24"/>
          <w:lang w:val="en-US"/>
        </w:rPr>
        <w:t xml:space="preserve"> citizenship and place of living w</w:t>
      </w:r>
      <w:r w:rsidR="003D2B93" w:rsidRPr="0041402A">
        <w:rPr>
          <w:rFonts w:ascii="Times New Roman" w:hAnsi="Times New Roman"/>
          <w:sz w:val="24"/>
          <w:szCs w:val="24"/>
          <w:lang w:val="en-US"/>
        </w:rPr>
        <w:t>ith regard to:</w:t>
      </w:r>
    </w:p>
    <w:p w14:paraId="5E2C804A" w14:textId="77777777" w:rsidR="007D59FD" w:rsidRPr="0041402A" w:rsidRDefault="00813A37" w:rsidP="00C86509">
      <w:pPr>
        <w:pStyle w:val="NormalWeb"/>
        <w:numPr>
          <w:ilvl w:val="0"/>
          <w:numId w:val="15"/>
        </w:numPr>
        <w:spacing w:before="0" w:beforeAutospacing="0" w:after="0" w:afterAutospacing="0" w:line="276" w:lineRule="auto"/>
        <w:rPr>
          <w:rFonts w:ascii="Times New Roman" w:hAnsi="Times New Roman"/>
          <w:sz w:val="24"/>
          <w:szCs w:val="24"/>
          <w:lang w:val="en-US"/>
        </w:rPr>
      </w:pPr>
      <w:proofErr w:type="gramStart"/>
      <w:r w:rsidRPr="0041402A">
        <w:rPr>
          <w:rFonts w:ascii="Times New Roman" w:hAnsi="Times New Roman"/>
          <w:sz w:val="24"/>
          <w:szCs w:val="24"/>
          <w:lang w:val="en-US"/>
        </w:rPr>
        <w:t>conditions</w:t>
      </w:r>
      <w:proofErr w:type="gramEnd"/>
      <w:r w:rsidRPr="0041402A">
        <w:rPr>
          <w:rFonts w:ascii="Times New Roman" w:hAnsi="Times New Roman"/>
          <w:sz w:val="24"/>
          <w:szCs w:val="24"/>
          <w:lang w:val="en-US"/>
        </w:rPr>
        <w:t xml:space="preserve"> of affiliation to insurance,</w:t>
      </w:r>
    </w:p>
    <w:p w14:paraId="6C42815B" w14:textId="77777777" w:rsidR="007D59FD" w:rsidRPr="0041402A" w:rsidRDefault="00813A37" w:rsidP="00C86509">
      <w:pPr>
        <w:pStyle w:val="NormalWeb"/>
        <w:numPr>
          <w:ilvl w:val="0"/>
          <w:numId w:val="15"/>
        </w:numPr>
        <w:spacing w:before="0" w:beforeAutospacing="0" w:after="0" w:afterAutospacing="0" w:line="276" w:lineRule="auto"/>
        <w:rPr>
          <w:rFonts w:ascii="Times New Roman" w:hAnsi="Times New Roman"/>
          <w:sz w:val="24"/>
          <w:szCs w:val="24"/>
          <w:lang w:val="en-US"/>
        </w:rPr>
      </w:pPr>
      <w:proofErr w:type="gramStart"/>
      <w:r w:rsidRPr="0041402A">
        <w:rPr>
          <w:rFonts w:ascii="Times New Roman" w:hAnsi="Times New Roman"/>
          <w:sz w:val="24"/>
          <w:szCs w:val="24"/>
          <w:lang w:val="en-US"/>
        </w:rPr>
        <w:t>obligations</w:t>
      </w:r>
      <w:proofErr w:type="gramEnd"/>
      <w:r w:rsidRPr="0041402A">
        <w:rPr>
          <w:rFonts w:ascii="Times New Roman" w:hAnsi="Times New Roman"/>
          <w:sz w:val="24"/>
          <w:szCs w:val="24"/>
          <w:lang w:val="en-US"/>
        </w:rPr>
        <w:t xml:space="preserve"> of </w:t>
      </w:r>
      <w:proofErr w:type="spellStart"/>
      <w:r w:rsidRPr="0041402A">
        <w:rPr>
          <w:rFonts w:ascii="Times New Roman" w:hAnsi="Times New Roman"/>
          <w:sz w:val="24"/>
          <w:szCs w:val="24"/>
          <w:lang w:val="en-US"/>
        </w:rPr>
        <w:t>calcuation</w:t>
      </w:r>
      <w:proofErr w:type="spellEnd"/>
      <w:r w:rsidRPr="0041402A">
        <w:rPr>
          <w:rFonts w:ascii="Times New Roman" w:hAnsi="Times New Roman"/>
          <w:sz w:val="24"/>
          <w:szCs w:val="24"/>
          <w:lang w:val="en-US"/>
        </w:rPr>
        <w:t xml:space="preserve"> and payment of social security contributions, </w:t>
      </w:r>
    </w:p>
    <w:p w14:paraId="4BBCCC9C" w14:textId="77777777" w:rsidR="00C86509" w:rsidRDefault="00813A37" w:rsidP="00C86509">
      <w:pPr>
        <w:pStyle w:val="NormalWeb"/>
        <w:numPr>
          <w:ilvl w:val="0"/>
          <w:numId w:val="15"/>
        </w:numPr>
        <w:spacing w:before="0" w:beforeAutospacing="0" w:after="0" w:afterAutospacing="0" w:line="276" w:lineRule="auto"/>
        <w:rPr>
          <w:rFonts w:ascii="Times New Roman" w:hAnsi="Times New Roman"/>
          <w:sz w:val="24"/>
          <w:szCs w:val="24"/>
          <w:lang w:val="pl-PL"/>
        </w:rPr>
      </w:pPr>
      <w:proofErr w:type="spellStart"/>
      <w:r w:rsidRPr="0041402A">
        <w:rPr>
          <w:rFonts w:ascii="Times New Roman" w:hAnsi="Times New Roman"/>
          <w:sz w:val="24"/>
          <w:szCs w:val="24"/>
          <w:lang w:val="pl-PL"/>
        </w:rPr>
        <w:t>calculation</w:t>
      </w:r>
      <w:proofErr w:type="spellEnd"/>
      <w:r w:rsidRPr="0041402A">
        <w:rPr>
          <w:rFonts w:ascii="Times New Roman" w:hAnsi="Times New Roman"/>
          <w:sz w:val="24"/>
          <w:szCs w:val="24"/>
          <w:lang w:val="pl-PL"/>
        </w:rPr>
        <w:t xml:space="preserve"> of </w:t>
      </w:r>
      <w:proofErr w:type="spellStart"/>
      <w:r w:rsidRPr="0041402A">
        <w:rPr>
          <w:rFonts w:ascii="Times New Roman" w:hAnsi="Times New Roman"/>
          <w:sz w:val="24"/>
          <w:szCs w:val="24"/>
          <w:lang w:val="pl-PL"/>
        </w:rPr>
        <w:t>benefits</w:t>
      </w:r>
      <w:proofErr w:type="spellEnd"/>
      <w:r w:rsidRPr="0041402A">
        <w:rPr>
          <w:rFonts w:ascii="Times New Roman" w:hAnsi="Times New Roman"/>
          <w:sz w:val="24"/>
          <w:szCs w:val="24"/>
          <w:lang w:val="pl-PL"/>
        </w:rPr>
        <w:t>,</w:t>
      </w:r>
    </w:p>
    <w:p w14:paraId="346F0572" w14:textId="25024FB2" w:rsidR="00B050ED" w:rsidRPr="00C86509" w:rsidRDefault="00813A37" w:rsidP="00C86509">
      <w:pPr>
        <w:pStyle w:val="NormalWeb"/>
        <w:numPr>
          <w:ilvl w:val="0"/>
          <w:numId w:val="15"/>
        </w:numPr>
        <w:spacing w:before="0" w:beforeAutospacing="0" w:after="0" w:afterAutospacing="0" w:line="276" w:lineRule="auto"/>
        <w:rPr>
          <w:rFonts w:ascii="Times New Roman" w:hAnsi="Times New Roman"/>
          <w:sz w:val="24"/>
          <w:szCs w:val="24"/>
          <w:lang w:val="en-US"/>
        </w:rPr>
      </w:pPr>
      <w:proofErr w:type="gramStart"/>
      <w:r w:rsidRPr="00C86509">
        <w:rPr>
          <w:rFonts w:ascii="Times New Roman" w:hAnsi="Times New Roman"/>
          <w:sz w:val="24"/>
          <w:szCs w:val="24"/>
          <w:lang w:val="en-US"/>
        </w:rPr>
        <w:t>periods</w:t>
      </w:r>
      <w:proofErr w:type="gramEnd"/>
      <w:r w:rsidRPr="00C86509">
        <w:rPr>
          <w:rFonts w:ascii="Times New Roman" w:hAnsi="Times New Roman"/>
          <w:sz w:val="24"/>
          <w:szCs w:val="24"/>
          <w:lang w:val="en-US"/>
        </w:rPr>
        <w:t xml:space="preserve"> of payment of benefits and preservation of rights to them.</w:t>
      </w:r>
      <w:r w:rsidR="00476D63" w:rsidRPr="00C86509">
        <w:rPr>
          <w:rFonts w:ascii="Times New Roman" w:hAnsi="Times New Roman"/>
          <w:b/>
          <w:sz w:val="24"/>
          <w:szCs w:val="24"/>
          <w:lang w:val="en-US"/>
        </w:rPr>
        <w:t xml:space="preserve"> </w:t>
      </w:r>
    </w:p>
    <w:p w14:paraId="30619D0E" w14:textId="7083FADB" w:rsidR="00B050ED" w:rsidRPr="0041402A" w:rsidRDefault="00AC2F3C" w:rsidP="00B050ED">
      <w:pPr>
        <w:pStyle w:val="NormalWeb"/>
        <w:spacing w:line="276" w:lineRule="auto"/>
        <w:rPr>
          <w:rFonts w:ascii="Times New Roman" w:hAnsi="Times New Roman"/>
          <w:b/>
          <w:sz w:val="24"/>
          <w:szCs w:val="24"/>
          <w:lang w:val="en-US"/>
        </w:rPr>
      </w:pPr>
      <w:r>
        <w:rPr>
          <w:rFonts w:ascii="Times New Roman" w:hAnsi="Times New Roman"/>
          <w:b/>
          <w:sz w:val="24"/>
          <w:szCs w:val="24"/>
          <w:lang w:val="en-US"/>
        </w:rPr>
        <w:t xml:space="preserve">Chart 3. </w:t>
      </w:r>
      <w:r w:rsidR="00B050ED" w:rsidRPr="0041402A">
        <w:rPr>
          <w:rFonts w:ascii="Times New Roman" w:hAnsi="Times New Roman"/>
          <w:b/>
          <w:sz w:val="24"/>
          <w:szCs w:val="24"/>
          <w:lang w:val="en-US"/>
        </w:rPr>
        <w:t>Insured persons of nationality other than Polish Q2 2015</w:t>
      </w:r>
    </w:p>
    <w:p w14:paraId="764D7AF9" w14:textId="1820B36B" w:rsidR="00B61AFA" w:rsidRPr="0041402A" w:rsidRDefault="00B050ED" w:rsidP="0041402A">
      <w:pPr>
        <w:pStyle w:val="NormalWeb"/>
        <w:numPr>
          <w:ilvl w:val="0"/>
          <w:numId w:val="15"/>
        </w:numPr>
        <w:spacing w:line="276" w:lineRule="auto"/>
        <w:rPr>
          <w:rFonts w:ascii="Times New Roman" w:hAnsi="Times New Roman"/>
          <w:sz w:val="24"/>
          <w:szCs w:val="24"/>
          <w:lang w:val="en-US"/>
        </w:rPr>
      </w:pPr>
      <w:r w:rsidRPr="0041402A">
        <w:rPr>
          <w:rFonts w:ascii="Times New Roman" w:hAnsi="Times New Roman"/>
          <w:noProof/>
          <w:sz w:val="24"/>
          <w:szCs w:val="24"/>
          <w:lang w:val="en-US"/>
        </w:rPr>
        <w:drawing>
          <wp:inline distT="0" distB="0" distL="0" distR="0" wp14:anchorId="398FCC6A" wp14:editId="5CA1CF5B">
            <wp:extent cx="5565140" cy="243586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5140" cy="2435860"/>
                    </a:xfrm>
                    <a:prstGeom prst="rect">
                      <a:avLst/>
                    </a:prstGeom>
                    <a:noFill/>
                  </pic:spPr>
                </pic:pic>
              </a:graphicData>
            </a:graphic>
          </wp:inline>
        </w:drawing>
      </w:r>
    </w:p>
    <w:p w14:paraId="26008086" w14:textId="500B87CA" w:rsidR="003D2B93" w:rsidRPr="0041402A" w:rsidRDefault="001E24EC" w:rsidP="0041402A">
      <w:pPr>
        <w:pStyle w:val="NormalWeb"/>
        <w:spacing w:line="276" w:lineRule="auto"/>
        <w:rPr>
          <w:rFonts w:ascii="Times New Roman" w:hAnsi="Times New Roman"/>
          <w:b/>
          <w:sz w:val="24"/>
          <w:szCs w:val="24"/>
          <w:lang w:val="en-US"/>
        </w:rPr>
      </w:pPr>
      <w:r w:rsidRPr="0041402A">
        <w:rPr>
          <w:rFonts w:ascii="Times New Roman" w:hAnsi="Times New Roman"/>
          <w:sz w:val="24"/>
          <w:szCs w:val="24"/>
          <w:lang w:val="en-US"/>
        </w:rPr>
        <w:br w:type="textWrapping" w:clear="all"/>
      </w:r>
      <w:r w:rsidR="00AC2F3C">
        <w:rPr>
          <w:rFonts w:ascii="Times New Roman" w:hAnsi="Times New Roman"/>
          <w:b/>
          <w:sz w:val="24"/>
          <w:szCs w:val="24"/>
          <w:lang w:val="en-US"/>
        </w:rPr>
        <w:t xml:space="preserve">Chart 4. </w:t>
      </w:r>
      <w:r w:rsidRPr="0041402A">
        <w:rPr>
          <w:rFonts w:ascii="Times New Roman" w:hAnsi="Times New Roman"/>
          <w:b/>
          <w:sz w:val="24"/>
          <w:szCs w:val="24"/>
          <w:lang w:val="en-US"/>
        </w:rPr>
        <w:t>Insured persons of nationality other than Polish Q1 2012</w:t>
      </w:r>
    </w:p>
    <w:p w14:paraId="1C32DAD1" w14:textId="114B2A78" w:rsidR="001E24EC" w:rsidRPr="0041402A" w:rsidRDefault="001E24EC" w:rsidP="0041402A">
      <w:pPr>
        <w:pStyle w:val="NormalWeb"/>
        <w:spacing w:line="276" w:lineRule="auto"/>
        <w:rPr>
          <w:rFonts w:ascii="Times New Roman" w:hAnsi="Times New Roman"/>
          <w:sz w:val="24"/>
          <w:szCs w:val="24"/>
          <w:lang w:val="en-US"/>
        </w:rPr>
      </w:pPr>
      <w:r w:rsidRPr="0041402A">
        <w:rPr>
          <w:rFonts w:ascii="Times New Roman" w:hAnsi="Times New Roman"/>
          <w:noProof/>
          <w:sz w:val="24"/>
          <w:szCs w:val="24"/>
          <w:lang w:val="en-US"/>
        </w:rPr>
        <w:drawing>
          <wp:inline distT="0" distB="0" distL="0" distR="0" wp14:anchorId="4C13BAF4" wp14:editId="1FE144F3">
            <wp:extent cx="5345300" cy="2340004"/>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5300" cy="2340004"/>
                    </a:xfrm>
                    <a:prstGeom prst="rect">
                      <a:avLst/>
                    </a:prstGeom>
                    <a:noFill/>
                  </pic:spPr>
                </pic:pic>
              </a:graphicData>
            </a:graphic>
          </wp:inline>
        </w:drawing>
      </w:r>
    </w:p>
    <w:p w14:paraId="00150A5A" w14:textId="77777777" w:rsidR="00E63DF5" w:rsidRPr="0041402A" w:rsidRDefault="00E63DF5" w:rsidP="0041402A">
      <w:pPr>
        <w:pStyle w:val="NormalWeb"/>
        <w:spacing w:line="276" w:lineRule="auto"/>
        <w:jc w:val="both"/>
        <w:rPr>
          <w:rFonts w:ascii="Times New Roman" w:hAnsi="Times New Roman"/>
          <w:sz w:val="24"/>
          <w:szCs w:val="24"/>
          <w:lang w:val="en-US"/>
        </w:rPr>
      </w:pPr>
      <w:r w:rsidRPr="0041402A">
        <w:rPr>
          <w:rFonts w:ascii="Times New Roman" w:hAnsi="Times New Roman"/>
          <w:sz w:val="24"/>
          <w:szCs w:val="24"/>
          <w:lang w:val="en-US"/>
        </w:rPr>
        <w:t xml:space="preserve">Coordination of social security systems </w:t>
      </w:r>
      <w:proofErr w:type="gramStart"/>
      <w:r w:rsidRPr="0041402A">
        <w:rPr>
          <w:rFonts w:ascii="Times New Roman" w:hAnsi="Times New Roman"/>
          <w:sz w:val="24"/>
          <w:szCs w:val="24"/>
          <w:lang w:val="en-US"/>
        </w:rPr>
        <w:t>include</w:t>
      </w:r>
      <w:proofErr w:type="gramEnd"/>
      <w:r w:rsidRPr="0041402A">
        <w:rPr>
          <w:rFonts w:ascii="Times New Roman" w:hAnsi="Times New Roman"/>
          <w:sz w:val="24"/>
          <w:szCs w:val="24"/>
          <w:lang w:val="en-US"/>
        </w:rPr>
        <w:t xml:space="preserve"> regulations that complement the internal law in Poland, in order to protect persons employed abroad in the field of social security. </w:t>
      </w:r>
      <w:r w:rsidRPr="0041402A">
        <w:rPr>
          <w:rFonts w:ascii="Times New Roman" w:hAnsi="Times New Roman"/>
          <w:sz w:val="24"/>
          <w:szCs w:val="24"/>
          <w:lang w:val="en"/>
        </w:rPr>
        <w:t>These regulations - by ensuring the harmonious coexistence of the social security systems of individual states - are designed to protect the interests of migrants who take up employment and have periods of insurance completed in the territory of different countries.</w:t>
      </w:r>
    </w:p>
    <w:p w14:paraId="423AC01D" w14:textId="77777777" w:rsidR="00E63DF5" w:rsidRPr="0041402A" w:rsidRDefault="00E63DF5" w:rsidP="0041402A">
      <w:pPr>
        <w:pStyle w:val="NormalWeb"/>
        <w:spacing w:line="276" w:lineRule="auto"/>
        <w:jc w:val="both"/>
        <w:rPr>
          <w:rFonts w:ascii="Times New Roman" w:hAnsi="Times New Roman"/>
          <w:sz w:val="24"/>
          <w:szCs w:val="24"/>
          <w:lang w:val="en-US"/>
        </w:rPr>
      </w:pPr>
      <w:r w:rsidRPr="0041402A">
        <w:rPr>
          <w:rFonts w:ascii="Times New Roman" w:hAnsi="Times New Roman"/>
          <w:sz w:val="24"/>
          <w:szCs w:val="24"/>
          <w:lang w:val="en"/>
        </w:rPr>
        <w:t xml:space="preserve">Within the European Union (EU) coordination of social security systems provide rules in the rank of the regulations of the Council and the Parliament. </w:t>
      </w:r>
      <w:r w:rsidRPr="0041402A">
        <w:rPr>
          <w:rFonts w:ascii="Times New Roman" w:hAnsi="Times New Roman"/>
          <w:sz w:val="24"/>
          <w:szCs w:val="24"/>
          <w:lang w:val="en-US"/>
        </w:rPr>
        <w:t xml:space="preserve"> </w:t>
      </w:r>
      <w:r w:rsidRPr="0041402A">
        <w:rPr>
          <w:rFonts w:ascii="Times New Roman" w:hAnsi="Times New Roman"/>
          <w:bCs/>
          <w:sz w:val="24"/>
          <w:szCs w:val="24"/>
        </w:rPr>
        <w:t xml:space="preserve">The rules are laid down in the following two </w:t>
      </w:r>
      <w:r w:rsidRPr="0041402A">
        <w:rPr>
          <w:rFonts w:ascii="Times New Roman" w:hAnsi="Times New Roman"/>
          <w:bCs/>
          <w:sz w:val="24"/>
          <w:szCs w:val="24"/>
        </w:rPr>
        <w:lastRenderedPageBreak/>
        <w:t>major legal acts:</w:t>
      </w:r>
      <w:r w:rsidRPr="0041402A">
        <w:rPr>
          <w:rFonts w:ascii="Times New Roman" w:hAnsi="Times New Roman"/>
          <w:sz w:val="24"/>
          <w:szCs w:val="24"/>
        </w:rPr>
        <w:t xml:space="preserve"> </w:t>
      </w:r>
      <w:r w:rsidRPr="0041402A">
        <w:rPr>
          <w:rFonts w:ascii="Times New Roman" w:hAnsi="Times New Roman"/>
          <w:bCs/>
          <w:sz w:val="24"/>
          <w:szCs w:val="24"/>
        </w:rPr>
        <w:t>REGULATION (EC) No 883/2004 OF THE EUROPEAN PARLIAMENT AND OF THE COUNCIL of 29 April 2004 on the coordination of social security systems and REGULATION (EC) No 987/2009 OF THE EUROPEAN PARLIAMENT AND OF THE COUNCIL of 16 September 2009 laying down the procedure for implementing Regulation (EC) No 883/2004 on the coordination of social security systems.</w:t>
      </w:r>
    </w:p>
    <w:p w14:paraId="62E8F2D3" w14:textId="77777777" w:rsidR="00E63DF5" w:rsidRPr="0041402A" w:rsidRDefault="00E63DF5" w:rsidP="0041402A">
      <w:pPr>
        <w:pStyle w:val="NormalWeb"/>
        <w:spacing w:line="276" w:lineRule="auto"/>
        <w:jc w:val="both"/>
        <w:rPr>
          <w:rFonts w:ascii="Times New Roman" w:hAnsi="Times New Roman"/>
          <w:sz w:val="24"/>
          <w:szCs w:val="24"/>
          <w:lang w:val="en-US"/>
        </w:rPr>
      </w:pPr>
      <w:r w:rsidRPr="0041402A">
        <w:rPr>
          <w:rFonts w:ascii="Times New Roman" w:hAnsi="Times New Roman"/>
          <w:bCs/>
          <w:sz w:val="24"/>
          <w:szCs w:val="24"/>
        </w:rPr>
        <w:t>These regulations are binding in the EU, as well as</w:t>
      </w:r>
      <w:r w:rsidRPr="0041402A">
        <w:rPr>
          <w:rFonts w:ascii="Times New Roman" w:hAnsi="Times New Roman"/>
          <w:sz w:val="24"/>
          <w:szCs w:val="24"/>
        </w:rPr>
        <w:t xml:space="preserve"> in </w:t>
      </w:r>
      <w:r w:rsidRPr="0041402A">
        <w:rPr>
          <w:rFonts w:ascii="Times New Roman" w:hAnsi="Times New Roman"/>
          <w:bCs/>
          <w:sz w:val="24"/>
          <w:szCs w:val="24"/>
        </w:rPr>
        <w:t>the European Economic Area (Iceland, Lichtenstein, Norway) and in Switzerland.</w:t>
      </w:r>
    </w:p>
    <w:p w14:paraId="1DB86B69" w14:textId="2BC1532D" w:rsidR="00E63DF5" w:rsidRPr="0041402A" w:rsidRDefault="00E63DF5" w:rsidP="00C86509">
      <w:pPr>
        <w:pStyle w:val="NormalWeb"/>
        <w:spacing w:before="0" w:beforeAutospacing="0" w:after="0" w:afterAutospacing="0" w:line="276" w:lineRule="auto"/>
        <w:jc w:val="both"/>
        <w:rPr>
          <w:rFonts w:ascii="Times New Roman" w:hAnsi="Times New Roman"/>
          <w:sz w:val="24"/>
          <w:szCs w:val="24"/>
          <w:lang w:val="en-US"/>
        </w:rPr>
      </w:pPr>
      <w:r w:rsidRPr="0041402A">
        <w:rPr>
          <w:rFonts w:ascii="Times New Roman" w:hAnsi="Times New Roman"/>
          <w:bCs/>
          <w:sz w:val="24"/>
          <w:szCs w:val="24"/>
        </w:rPr>
        <w:t>The key principles, upon which the coordination of social</w:t>
      </w:r>
      <w:r w:rsidR="00C86509">
        <w:rPr>
          <w:rFonts w:ascii="Times New Roman" w:hAnsi="Times New Roman"/>
          <w:bCs/>
          <w:sz w:val="24"/>
          <w:szCs w:val="24"/>
        </w:rPr>
        <w:t xml:space="preserve"> security systems is based, are</w:t>
      </w:r>
      <w:r w:rsidRPr="0041402A">
        <w:rPr>
          <w:rFonts w:ascii="Times New Roman" w:hAnsi="Times New Roman"/>
          <w:bCs/>
          <w:sz w:val="24"/>
          <w:szCs w:val="24"/>
        </w:rPr>
        <w:t>:</w:t>
      </w:r>
    </w:p>
    <w:p w14:paraId="010E20CC" w14:textId="79ED49A1" w:rsidR="00E63DF5" w:rsidRPr="0041402A" w:rsidRDefault="00E63DF5" w:rsidP="00C86509">
      <w:pPr>
        <w:pStyle w:val="NormalWeb"/>
        <w:numPr>
          <w:ilvl w:val="0"/>
          <w:numId w:val="16"/>
        </w:numPr>
        <w:spacing w:before="0" w:beforeAutospacing="0" w:after="0" w:afterAutospacing="0" w:line="276" w:lineRule="auto"/>
        <w:jc w:val="both"/>
        <w:rPr>
          <w:rFonts w:ascii="Times New Roman" w:hAnsi="Times New Roman"/>
          <w:sz w:val="24"/>
          <w:szCs w:val="24"/>
          <w:lang w:val="pl-PL"/>
        </w:rPr>
      </w:pPr>
      <w:proofErr w:type="gramStart"/>
      <w:r w:rsidRPr="0041402A">
        <w:rPr>
          <w:rFonts w:ascii="Times New Roman" w:hAnsi="Times New Roman"/>
          <w:sz w:val="24"/>
          <w:szCs w:val="24"/>
          <w:lang w:val="en-US"/>
        </w:rPr>
        <w:t>principle</w:t>
      </w:r>
      <w:proofErr w:type="gramEnd"/>
      <w:r w:rsidRPr="0041402A">
        <w:rPr>
          <w:rFonts w:ascii="Times New Roman" w:hAnsi="Times New Roman"/>
          <w:sz w:val="24"/>
          <w:szCs w:val="24"/>
          <w:lang w:val="en-US"/>
        </w:rPr>
        <w:t xml:space="preserve"> of equal treatment</w:t>
      </w:r>
      <w:r w:rsidRPr="0041402A">
        <w:rPr>
          <w:rFonts w:ascii="Times New Roman" w:hAnsi="Times New Roman"/>
          <w:sz w:val="24"/>
          <w:szCs w:val="24"/>
          <w:lang w:val="pl-PL"/>
        </w:rPr>
        <w:t>,</w:t>
      </w:r>
      <w:r w:rsidRPr="0041402A">
        <w:rPr>
          <w:rFonts w:ascii="Times New Roman" w:hAnsi="Times New Roman"/>
          <w:sz w:val="24"/>
          <w:szCs w:val="24"/>
          <w:lang w:val="en-US"/>
        </w:rPr>
        <w:t xml:space="preserve"> </w:t>
      </w:r>
    </w:p>
    <w:p w14:paraId="160CE031" w14:textId="77777777" w:rsidR="00E63DF5" w:rsidRPr="0041402A" w:rsidRDefault="00E63DF5" w:rsidP="00C86509">
      <w:pPr>
        <w:pStyle w:val="NormalWeb"/>
        <w:numPr>
          <w:ilvl w:val="0"/>
          <w:numId w:val="16"/>
        </w:numPr>
        <w:spacing w:before="0" w:beforeAutospacing="0" w:after="0" w:afterAutospacing="0" w:line="276" w:lineRule="auto"/>
        <w:jc w:val="both"/>
        <w:rPr>
          <w:rFonts w:ascii="Times New Roman" w:hAnsi="Times New Roman"/>
          <w:sz w:val="24"/>
          <w:szCs w:val="24"/>
          <w:lang w:val="en-US"/>
        </w:rPr>
      </w:pPr>
      <w:proofErr w:type="gramStart"/>
      <w:r w:rsidRPr="0041402A">
        <w:rPr>
          <w:rFonts w:ascii="Times New Roman" w:hAnsi="Times New Roman"/>
          <w:sz w:val="24"/>
          <w:szCs w:val="24"/>
          <w:lang w:val="en-US"/>
        </w:rPr>
        <w:t>principle</w:t>
      </w:r>
      <w:proofErr w:type="gramEnd"/>
      <w:r w:rsidRPr="0041402A">
        <w:rPr>
          <w:rFonts w:ascii="Times New Roman" w:hAnsi="Times New Roman"/>
          <w:sz w:val="24"/>
          <w:szCs w:val="24"/>
          <w:lang w:val="en-US"/>
        </w:rPr>
        <w:t xml:space="preserve"> of  single applicable legislation (as a general rule, applicable legislation is determined on the basis of place of work),</w:t>
      </w:r>
    </w:p>
    <w:p w14:paraId="0701867B" w14:textId="77777777" w:rsidR="00E63DF5" w:rsidRPr="0041402A" w:rsidRDefault="00E63DF5" w:rsidP="00C86509">
      <w:pPr>
        <w:pStyle w:val="NormalWeb"/>
        <w:numPr>
          <w:ilvl w:val="0"/>
          <w:numId w:val="16"/>
        </w:numPr>
        <w:spacing w:before="0" w:beforeAutospacing="0" w:after="0" w:afterAutospacing="0" w:line="276" w:lineRule="auto"/>
        <w:jc w:val="both"/>
        <w:rPr>
          <w:rFonts w:ascii="Times New Roman" w:hAnsi="Times New Roman"/>
          <w:sz w:val="24"/>
          <w:szCs w:val="24"/>
          <w:lang w:val="en-US"/>
        </w:rPr>
      </w:pPr>
      <w:proofErr w:type="gramStart"/>
      <w:r w:rsidRPr="0041402A">
        <w:rPr>
          <w:rFonts w:ascii="Times New Roman" w:hAnsi="Times New Roman"/>
          <w:sz w:val="24"/>
          <w:szCs w:val="24"/>
          <w:lang w:val="en-US"/>
        </w:rPr>
        <w:t>principle</w:t>
      </w:r>
      <w:proofErr w:type="gramEnd"/>
      <w:r w:rsidRPr="0041402A">
        <w:rPr>
          <w:rFonts w:ascii="Times New Roman" w:hAnsi="Times New Roman"/>
          <w:sz w:val="24"/>
          <w:szCs w:val="24"/>
          <w:lang w:val="en-US"/>
        </w:rPr>
        <w:t xml:space="preserve"> of aggregation of insurance periods,</w:t>
      </w:r>
    </w:p>
    <w:p w14:paraId="2EAF9515" w14:textId="2BFD04AA" w:rsidR="00E63DF5" w:rsidRDefault="00E63DF5" w:rsidP="00C86509">
      <w:pPr>
        <w:pStyle w:val="NormalWeb"/>
        <w:numPr>
          <w:ilvl w:val="0"/>
          <w:numId w:val="16"/>
        </w:numPr>
        <w:spacing w:before="0" w:beforeAutospacing="0" w:after="0" w:afterAutospacing="0" w:line="276" w:lineRule="auto"/>
        <w:jc w:val="both"/>
        <w:rPr>
          <w:rFonts w:ascii="Times New Roman" w:hAnsi="Times New Roman"/>
          <w:sz w:val="24"/>
          <w:szCs w:val="24"/>
          <w:lang w:val="en-US"/>
        </w:rPr>
      </w:pPr>
      <w:proofErr w:type="gramStart"/>
      <w:r w:rsidRPr="0041402A">
        <w:rPr>
          <w:rFonts w:ascii="Times New Roman" w:hAnsi="Times New Roman"/>
          <w:sz w:val="24"/>
          <w:szCs w:val="24"/>
          <w:lang w:val="en-US"/>
        </w:rPr>
        <w:t>principle</w:t>
      </w:r>
      <w:proofErr w:type="gramEnd"/>
      <w:r w:rsidRPr="0041402A">
        <w:rPr>
          <w:rFonts w:ascii="Times New Roman" w:hAnsi="Times New Roman"/>
          <w:sz w:val="24"/>
          <w:szCs w:val="24"/>
          <w:lang w:val="en-US"/>
        </w:rPr>
        <w:t xml:space="preserve"> of retention of acquired rights  (principle of export of benefits).</w:t>
      </w:r>
    </w:p>
    <w:p w14:paraId="2C6C016B" w14:textId="77777777" w:rsidR="00C86509" w:rsidRPr="0041402A" w:rsidRDefault="00C86509" w:rsidP="005E66E9">
      <w:pPr>
        <w:pStyle w:val="NormalWeb"/>
        <w:spacing w:before="0" w:beforeAutospacing="0" w:after="0" w:afterAutospacing="0" w:line="276" w:lineRule="auto"/>
        <w:ind w:left="720"/>
        <w:jc w:val="both"/>
        <w:rPr>
          <w:rFonts w:ascii="Times New Roman" w:hAnsi="Times New Roman"/>
          <w:sz w:val="24"/>
          <w:szCs w:val="24"/>
          <w:lang w:val="en-US"/>
        </w:rPr>
      </w:pPr>
    </w:p>
    <w:p w14:paraId="20F703D9" w14:textId="77777777" w:rsidR="00E63DF5" w:rsidRPr="0041402A" w:rsidRDefault="00E63DF5" w:rsidP="005E66E9">
      <w:pPr>
        <w:pStyle w:val="NormalWeb"/>
        <w:spacing w:before="0" w:beforeAutospacing="0" w:after="0" w:afterAutospacing="0" w:line="276" w:lineRule="auto"/>
        <w:jc w:val="both"/>
        <w:rPr>
          <w:rFonts w:ascii="Times New Roman" w:hAnsi="Times New Roman"/>
          <w:sz w:val="24"/>
          <w:szCs w:val="24"/>
          <w:lang w:val="en-US"/>
        </w:rPr>
      </w:pPr>
      <w:r w:rsidRPr="0041402A">
        <w:rPr>
          <w:rFonts w:ascii="Times New Roman" w:hAnsi="Times New Roman"/>
          <w:sz w:val="24"/>
          <w:szCs w:val="24"/>
          <w:lang w:val="en-US"/>
        </w:rPr>
        <w:t>I</w:t>
      </w:r>
      <w:r w:rsidRPr="0041402A">
        <w:rPr>
          <w:rFonts w:ascii="Times New Roman" w:hAnsi="Times New Roman"/>
          <w:sz w:val="24"/>
          <w:szCs w:val="24"/>
          <w:lang w:val="en"/>
        </w:rPr>
        <w:t>n relations with other countries coordination of social security systems is established by ratified bilateral agreements on social security.</w:t>
      </w:r>
      <w:r w:rsidRPr="0041402A">
        <w:rPr>
          <w:rFonts w:ascii="Times New Roman" w:hAnsi="Times New Roman"/>
          <w:sz w:val="24"/>
          <w:szCs w:val="24"/>
          <w:lang w:val="en-US"/>
        </w:rPr>
        <w:t xml:space="preserve"> These agreements set specific rules in relation </w:t>
      </w:r>
      <w:proofErr w:type="gramStart"/>
      <w:r w:rsidRPr="0041402A">
        <w:rPr>
          <w:rFonts w:ascii="Times New Roman" w:hAnsi="Times New Roman"/>
          <w:sz w:val="24"/>
          <w:szCs w:val="24"/>
          <w:lang w:val="en-US"/>
        </w:rPr>
        <w:t>between  Poland</w:t>
      </w:r>
      <w:proofErr w:type="gramEnd"/>
      <w:r w:rsidRPr="0041402A">
        <w:rPr>
          <w:rFonts w:ascii="Times New Roman" w:hAnsi="Times New Roman"/>
          <w:sz w:val="24"/>
          <w:szCs w:val="24"/>
          <w:lang w:val="en-US"/>
        </w:rPr>
        <w:t xml:space="preserve"> and a third country as regards:</w:t>
      </w:r>
    </w:p>
    <w:p w14:paraId="3F5B5EAB" w14:textId="77777777" w:rsidR="00E63DF5" w:rsidRPr="0041402A" w:rsidRDefault="00E63DF5" w:rsidP="005E66E9">
      <w:pPr>
        <w:pStyle w:val="NormalWeb"/>
        <w:numPr>
          <w:ilvl w:val="0"/>
          <w:numId w:val="17"/>
        </w:numPr>
        <w:spacing w:before="0" w:beforeAutospacing="0" w:after="0" w:afterAutospacing="0" w:line="276" w:lineRule="auto"/>
        <w:rPr>
          <w:rFonts w:ascii="Times New Roman" w:hAnsi="Times New Roman"/>
          <w:sz w:val="24"/>
          <w:szCs w:val="24"/>
          <w:lang w:val="pl-PL"/>
        </w:rPr>
      </w:pPr>
      <w:proofErr w:type="spellStart"/>
      <w:r w:rsidRPr="0041402A">
        <w:rPr>
          <w:rFonts w:ascii="Times New Roman" w:hAnsi="Times New Roman"/>
          <w:sz w:val="24"/>
          <w:szCs w:val="24"/>
          <w:lang w:val="pl-PL"/>
        </w:rPr>
        <w:t>legislation</w:t>
      </w:r>
      <w:proofErr w:type="spellEnd"/>
      <w:r w:rsidRPr="0041402A">
        <w:rPr>
          <w:rFonts w:ascii="Times New Roman" w:hAnsi="Times New Roman"/>
          <w:sz w:val="24"/>
          <w:szCs w:val="24"/>
          <w:lang w:val="pl-PL"/>
        </w:rPr>
        <w:t xml:space="preserve"> </w:t>
      </w:r>
      <w:proofErr w:type="spellStart"/>
      <w:r w:rsidRPr="0041402A">
        <w:rPr>
          <w:rFonts w:ascii="Times New Roman" w:hAnsi="Times New Roman"/>
          <w:sz w:val="24"/>
          <w:szCs w:val="24"/>
          <w:lang w:val="pl-PL"/>
        </w:rPr>
        <w:t>applicable</w:t>
      </w:r>
      <w:proofErr w:type="spellEnd"/>
      <w:r w:rsidRPr="0041402A">
        <w:rPr>
          <w:rFonts w:ascii="Times New Roman" w:hAnsi="Times New Roman"/>
          <w:sz w:val="24"/>
          <w:szCs w:val="24"/>
          <w:lang w:val="pl-PL"/>
        </w:rPr>
        <w:t>,</w:t>
      </w:r>
    </w:p>
    <w:p w14:paraId="2F4BA0DC" w14:textId="77777777" w:rsidR="00E63DF5" w:rsidRPr="0041402A" w:rsidRDefault="00E63DF5" w:rsidP="005E66E9">
      <w:pPr>
        <w:pStyle w:val="NormalWeb"/>
        <w:numPr>
          <w:ilvl w:val="0"/>
          <w:numId w:val="17"/>
        </w:numPr>
        <w:spacing w:before="0" w:beforeAutospacing="0" w:after="0" w:afterAutospacing="0" w:line="276" w:lineRule="auto"/>
        <w:rPr>
          <w:rFonts w:ascii="Times New Roman" w:hAnsi="Times New Roman"/>
          <w:sz w:val="24"/>
          <w:szCs w:val="24"/>
          <w:lang w:val="pl-PL"/>
        </w:rPr>
      </w:pPr>
      <w:proofErr w:type="spellStart"/>
      <w:r w:rsidRPr="0041402A">
        <w:rPr>
          <w:rFonts w:ascii="Times New Roman" w:hAnsi="Times New Roman"/>
          <w:sz w:val="24"/>
          <w:szCs w:val="24"/>
          <w:lang w:val="pl-PL"/>
        </w:rPr>
        <w:t>recognition</w:t>
      </w:r>
      <w:proofErr w:type="spellEnd"/>
      <w:r w:rsidRPr="0041402A">
        <w:rPr>
          <w:rFonts w:ascii="Times New Roman" w:hAnsi="Times New Roman"/>
          <w:sz w:val="24"/>
          <w:szCs w:val="24"/>
          <w:lang w:val="pl-PL"/>
        </w:rPr>
        <w:t xml:space="preserve"> of </w:t>
      </w:r>
      <w:proofErr w:type="spellStart"/>
      <w:r w:rsidRPr="0041402A">
        <w:rPr>
          <w:rFonts w:ascii="Times New Roman" w:hAnsi="Times New Roman"/>
          <w:sz w:val="24"/>
          <w:szCs w:val="24"/>
          <w:lang w:val="pl-PL"/>
        </w:rPr>
        <w:t>periods</w:t>
      </w:r>
      <w:proofErr w:type="spellEnd"/>
      <w:r w:rsidRPr="0041402A">
        <w:rPr>
          <w:rFonts w:ascii="Times New Roman" w:hAnsi="Times New Roman"/>
          <w:sz w:val="24"/>
          <w:szCs w:val="24"/>
          <w:lang w:val="pl-PL"/>
        </w:rPr>
        <w:t>,</w:t>
      </w:r>
    </w:p>
    <w:p w14:paraId="0366F07E" w14:textId="77777777" w:rsidR="00E63DF5" w:rsidRPr="0041402A" w:rsidRDefault="00E63DF5" w:rsidP="005E66E9">
      <w:pPr>
        <w:pStyle w:val="NormalWeb"/>
        <w:numPr>
          <w:ilvl w:val="0"/>
          <w:numId w:val="17"/>
        </w:numPr>
        <w:spacing w:before="0" w:beforeAutospacing="0" w:after="0" w:afterAutospacing="0" w:line="276" w:lineRule="auto"/>
        <w:rPr>
          <w:rFonts w:ascii="Times New Roman" w:hAnsi="Times New Roman"/>
          <w:sz w:val="24"/>
          <w:szCs w:val="24"/>
          <w:lang w:val="pl-PL"/>
        </w:rPr>
      </w:pPr>
      <w:proofErr w:type="spellStart"/>
      <w:r w:rsidRPr="0041402A">
        <w:rPr>
          <w:rFonts w:ascii="Times New Roman" w:hAnsi="Times New Roman"/>
          <w:sz w:val="24"/>
          <w:szCs w:val="24"/>
          <w:lang w:val="pl-PL"/>
        </w:rPr>
        <w:t>transfers</w:t>
      </w:r>
      <w:proofErr w:type="spellEnd"/>
      <w:r w:rsidRPr="0041402A">
        <w:rPr>
          <w:rFonts w:ascii="Times New Roman" w:hAnsi="Times New Roman"/>
          <w:sz w:val="24"/>
          <w:szCs w:val="24"/>
          <w:lang w:val="pl-PL"/>
        </w:rPr>
        <w:t xml:space="preserve"> of </w:t>
      </w:r>
      <w:proofErr w:type="spellStart"/>
      <w:r w:rsidRPr="0041402A">
        <w:rPr>
          <w:rFonts w:ascii="Times New Roman" w:hAnsi="Times New Roman"/>
          <w:sz w:val="24"/>
          <w:szCs w:val="24"/>
          <w:lang w:val="pl-PL"/>
        </w:rPr>
        <w:t>benefits</w:t>
      </w:r>
      <w:proofErr w:type="spellEnd"/>
      <w:r w:rsidRPr="0041402A">
        <w:rPr>
          <w:rFonts w:ascii="Times New Roman" w:hAnsi="Times New Roman"/>
          <w:sz w:val="24"/>
          <w:szCs w:val="24"/>
          <w:lang w:val="pl-PL"/>
        </w:rPr>
        <w:t>.</w:t>
      </w:r>
    </w:p>
    <w:p w14:paraId="1F24B9B6" w14:textId="5F31E653" w:rsidR="00E63DF5" w:rsidRPr="0041402A" w:rsidRDefault="00E63DF5" w:rsidP="0041402A">
      <w:pPr>
        <w:pStyle w:val="NormalWeb"/>
        <w:spacing w:line="276" w:lineRule="auto"/>
        <w:jc w:val="both"/>
        <w:rPr>
          <w:rFonts w:ascii="Times New Roman" w:hAnsi="Times New Roman"/>
          <w:sz w:val="24"/>
          <w:szCs w:val="24"/>
        </w:rPr>
      </w:pPr>
      <w:r w:rsidRPr="0041402A">
        <w:rPr>
          <w:rFonts w:ascii="Times New Roman" w:hAnsi="Times New Roman"/>
          <w:sz w:val="24"/>
          <w:szCs w:val="24"/>
        </w:rPr>
        <w:t>Currently, Poland is bound by bilateral agreements on social securi</w:t>
      </w:r>
      <w:r w:rsidR="0041402A">
        <w:rPr>
          <w:rFonts w:ascii="Times New Roman" w:hAnsi="Times New Roman"/>
          <w:sz w:val="24"/>
          <w:szCs w:val="24"/>
        </w:rPr>
        <w:t>ty with the following countries</w:t>
      </w:r>
      <w:r w:rsidRPr="0041402A">
        <w:rPr>
          <w:rFonts w:ascii="Times New Roman" w:hAnsi="Times New Roman"/>
          <w:sz w:val="24"/>
          <w:szCs w:val="24"/>
        </w:rPr>
        <w:t>: the former Federal Republic of Yugoslavia (concerns Bosnia and Hercegovina, Serbia and Montenegro), Macedonia, USA, Canada, South Korea, Australia, Ukraine and Moldova.</w:t>
      </w:r>
    </w:p>
    <w:p w14:paraId="5EF54DD6" w14:textId="78ECF689" w:rsidR="00E63DF5" w:rsidRPr="0041402A" w:rsidRDefault="00E63DF5" w:rsidP="0041402A">
      <w:pPr>
        <w:pStyle w:val="NormalWeb"/>
        <w:spacing w:line="276" w:lineRule="auto"/>
        <w:jc w:val="both"/>
        <w:rPr>
          <w:rFonts w:ascii="Times New Roman" w:hAnsi="Times New Roman"/>
          <w:sz w:val="24"/>
          <w:szCs w:val="24"/>
          <w:lang w:val="en-US"/>
        </w:rPr>
      </w:pPr>
      <w:r w:rsidRPr="0041402A">
        <w:rPr>
          <w:rFonts w:ascii="Times New Roman" w:hAnsi="Times New Roman"/>
          <w:sz w:val="24"/>
          <w:szCs w:val="24"/>
        </w:rPr>
        <w:t xml:space="preserve">Impact of migrants on finance of social security </w:t>
      </w:r>
      <w:r w:rsidRPr="0041402A">
        <w:rPr>
          <w:rFonts w:ascii="Times New Roman" w:hAnsi="Times New Roman"/>
          <w:sz w:val="24"/>
          <w:szCs w:val="24"/>
          <w:lang w:val="en-US"/>
        </w:rPr>
        <w:t>in short term is positive, due to broadening the basis of contributions, in the long te</w:t>
      </w:r>
      <w:r w:rsidR="0041402A">
        <w:rPr>
          <w:rFonts w:ascii="Times New Roman" w:hAnsi="Times New Roman"/>
          <w:sz w:val="24"/>
          <w:szCs w:val="24"/>
          <w:lang w:val="en-US"/>
        </w:rPr>
        <w:t xml:space="preserve">rm is neutral due to increased </w:t>
      </w:r>
      <w:r w:rsidRPr="0041402A">
        <w:rPr>
          <w:rFonts w:ascii="Times New Roman" w:hAnsi="Times New Roman"/>
          <w:sz w:val="24"/>
          <w:szCs w:val="24"/>
          <w:lang w:val="en-US"/>
        </w:rPr>
        <w:t>entitlements to benefits.</w:t>
      </w:r>
    </w:p>
    <w:p w14:paraId="24436280" w14:textId="5DEA1B29" w:rsidR="007B28B8" w:rsidRPr="00E31087" w:rsidRDefault="00E31087" w:rsidP="00E31087">
      <w:pPr>
        <w:pStyle w:val="NormalWeb"/>
        <w:numPr>
          <w:ilvl w:val="0"/>
          <w:numId w:val="1"/>
        </w:numPr>
        <w:ind w:left="426"/>
        <w:rPr>
          <w:rFonts w:asciiTheme="majorHAnsi" w:hAnsiTheme="majorHAnsi"/>
          <w:b/>
          <w:sz w:val="28"/>
          <w:szCs w:val="28"/>
          <w:lang w:val="en-AU"/>
        </w:rPr>
      </w:pPr>
      <w:r w:rsidRPr="00E31087">
        <w:rPr>
          <w:rFonts w:asciiTheme="majorHAnsi" w:hAnsiTheme="majorHAnsi"/>
          <w:b/>
          <w:sz w:val="28"/>
          <w:szCs w:val="28"/>
        </w:rPr>
        <w:t>POLISH PENSION SYSTEM – PRINCIPLES AND REFORMS</w:t>
      </w:r>
    </w:p>
    <w:p w14:paraId="7D266396" w14:textId="77777777" w:rsidR="00EF5584" w:rsidRPr="00170D3A" w:rsidRDefault="00EF5584" w:rsidP="00170D3A">
      <w:pPr>
        <w:pStyle w:val="Default"/>
        <w:spacing w:before="120" w:line="276" w:lineRule="auto"/>
        <w:jc w:val="both"/>
        <w:rPr>
          <w:b/>
          <w:lang w:val="en-US"/>
        </w:rPr>
      </w:pPr>
      <w:r w:rsidRPr="00170D3A">
        <w:rPr>
          <w:b/>
          <w:lang w:val="en-US"/>
        </w:rPr>
        <w:t>General description of the system</w:t>
      </w:r>
    </w:p>
    <w:p w14:paraId="44C77E0F" w14:textId="77777777" w:rsidR="00EF5584" w:rsidRPr="00170D3A" w:rsidRDefault="00EF5584" w:rsidP="00170D3A">
      <w:pPr>
        <w:spacing w:before="120" w:after="120" w:line="276" w:lineRule="auto"/>
        <w:jc w:val="both"/>
        <w:rPr>
          <w:rFonts w:ascii="Times New Roman" w:hAnsi="Times New Roman" w:cs="Times New Roman"/>
          <w:bCs/>
          <w:color w:val="262626"/>
          <w:lang w:val="en-US"/>
        </w:rPr>
      </w:pPr>
      <w:r w:rsidRPr="00170D3A">
        <w:rPr>
          <w:rFonts w:ascii="Times New Roman" w:hAnsi="Times New Roman" w:cs="Times New Roman"/>
          <w:bCs/>
          <w:color w:val="262626"/>
          <w:lang w:val="en-US"/>
        </w:rPr>
        <w:t xml:space="preserve">There are two major contributory-based pension systems in Poland. Employees, persons performing work on the basis of certain civil-law contracts and self-employed outside agriculture, are covered by the general statutory pension system. In 2015 the general scheme covered 14.8 million insured people. </w:t>
      </w:r>
    </w:p>
    <w:p w14:paraId="343BD600" w14:textId="77777777" w:rsidR="00EF5584" w:rsidRPr="00170D3A" w:rsidRDefault="00EF5584" w:rsidP="00170D3A">
      <w:pPr>
        <w:spacing w:before="120" w:after="120" w:line="276" w:lineRule="auto"/>
        <w:jc w:val="both"/>
        <w:rPr>
          <w:rFonts w:ascii="Times New Roman" w:hAnsi="Times New Roman" w:cs="Times New Roman"/>
          <w:b/>
          <w:lang w:val="en-US"/>
        </w:rPr>
      </w:pPr>
      <w:r w:rsidRPr="00170D3A">
        <w:rPr>
          <w:rFonts w:ascii="Times New Roman" w:hAnsi="Times New Roman" w:cs="Times New Roman"/>
          <w:bCs/>
          <w:color w:val="262626"/>
          <w:lang w:val="en-US"/>
        </w:rPr>
        <w:t xml:space="preserve">Farmers have a separate Agricultural Social Insurance Fund (KRUS, </w:t>
      </w:r>
      <w:proofErr w:type="spellStart"/>
      <w:r w:rsidRPr="00170D3A">
        <w:rPr>
          <w:rFonts w:ascii="Times New Roman" w:hAnsi="Times New Roman" w:cs="Times New Roman"/>
          <w:bCs/>
          <w:i/>
          <w:color w:val="262626"/>
          <w:lang w:val="en-US"/>
        </w:rPr>
        <w:t>Kasa</w:t>
      </w:r>
      <w:proofErr w:type="spellEnd"/>
      <w:r w:rsidRPr="00170D3A">
        <w:rPr>
          <w:rFonts w:ascii="Times New Roman" w:hAnsi="Times New Roman" w:cs="Times New Roman"/>
          <w:bCs/>
          <w:i/>
          <w:color w:val="262626"/>
          <w:lang w:val="en-US"/>
        </w:rPr>
        <w:t xml:space="preserve"> </w:t>
      </w:r>
      <w:proofErr w:type="spellStart"/>
      <w:r w:rsidRPr="00170D3A">
        <w:rPr>
          <w:rFonts w:ascii="Times New Roman" w:hAnsi="Times New Roman" w:cs="Times New Roman"/>
          <w:bCs/>
          <w:i/>
          <w:color w:val="262626"/>
          <w:lang w:val="en-US"/>
        </w:rPr>
        <w:t>Rolniczego</w:t>
      </w:r>
      <w:proofErr w:type="spellEnd"/>
      <w:r w:rsidRPr="00170D3A">
        <w:rPr>
          <w:rFonts w:ascii="Times New Roman" w:hAnsi="Times New Roman" w:cs="Times New Roman"/>
          <w:bCs/>
          <w:i/>
          <w:color w:val="262626"/>
          <w:lang w:val="en-US"/>
        </w:rPr>
        <w:t xml:space="preserve"> </w:t>
      </w:r>
      <w:proofErr w:type="spellStart"/>
      <w:r w:rsidRPr="00170D3A">
        <w:rPr>
          <w:rFonts w:ascii="Times New Roman" w:hAnsi="Times New Roman" w:cs="Times New Roman"/>
          <w:bCs/>
          <w:i/>
          <w:color w:val="262626"/>
          <w:lang w:val="en-US"/>
        </w:rPr>
        <w:t>Ubezpieczenia</w:t>
      </w:r>
      <w:proofErr w:type="spellEnd"/>
      <w:r w:rsidRPr="00170D3A">
        <w:rPr>
          <w:rFonts w:ascii="Times New Roman" w:hAnsi="Times New Roman" w:cs="Times New Roman"/>
          <w:bCs/>
          <w:i/>
          <w:color w:val="262626"/>
          <w:lang w:val="en-US"/>
        </w:rPr>
        <w:t xml:space="preserve"> </w:t>
      </w:r>
      <w:proofErr w:type="spellStart"/>
      <w:r w:rsidRPr="00170D3A">
        <w:rPr>
          <w:rFonts w:ascii="Times New Roman" w:hAnsi="Times New Roman" w:cs="Times New Roman"/>
          <w:bCs/>
          <w:i/>
          <w:color w:val="262626"/>
          <w:lang w:val="en-US"/>
        </w:rPr>
        <w:t>Społecznego</w:t>
      </w:r>
      <w:proofErr w:type="spellEnd"/>
      <w:r w:rsidRPr="00170D3A">
        <w:rPr>
          <w:rFonts w:ascii="Times New Roman" w:hAnsi="Times New Roman" w:cs="Times New Roman"/>
          <w:bCs/>
          <w:color w:val="262626"/>
          <w:lang w:val="en-US"/>
        </w:rPr>
        <w:t>) with 1.4 million of insured. KRUS is financed mainly from taxes and only in small part from contributions. There are also separate tax-financed schemes for ‘uniformed services’ such as military, police and prison service, as well as state provision for</w:t>
      </w:r>
      <w:r w:rsidRPr="00170D3A">
        <w:rPr>
          <w:rFonts w:ascii="Times New Roman" w:hAnsi="Times New Roman" w:cs="Times New Roman"/>
          <w:b/>
          <w:lang w:val="en-US"/>
        </w:rPr>
        <w:t xml:space="preserve"> </w:t>
      </w:r>
      <w:r w:rsidRPr="00170D3A">
        <w:rPr>
          <w:rFonts w:ascii="Times New Roman" w:hAnsi="Times New Roman" w:cs="Times New Roman"/>
          <w:bCs/>
          <w:color w:val="262626"/>
          <w:lang w:val="en-US"/>
        </w:rPr>
        <w:t>judges and prosecutors.</w:t>
      </w:r>
    </w:p>
    <w:p w14:paraId="768D7B97" w14:textId="77777777" w:rsidR="00EF5584" w:rsidRPr="00170D3A" w:rsidRDefault="00EF5584" w:rsidP="00170D3A">
      <w:pPr>
        <w:widowControl w:val="0"/>
        <w:autoSpaceDE w:val="0"/>
        <w:autoSpaceDN w:val="0"/>
        <w:adjustRightInd w:val="0"/>
        <w:spacing w:line="276" w:lineRule="auto"/>
        <w:jc w:val="both"/>
        <w:rPr>
          <w:rFonts w:ascii="Times New Roman" w:hAnsi="Times New Roman" w:cs="Times New Roman"/>
          <w:bCs/>
          <w:color w:val="262626"/>
          <w:lang w:val="en-US"/>
        </w:rPr>
      </w:pPr>
      <w:r w:rsidRPr="00170D3A">
        <w:rPr>
          <w:rFonts w:ascii="Times New Roman" w:hAnsi="Times New Roman" w:cs="Times New Roman"/>
          <w:bCs/>
          <w:color w:val="262626"/>
          <w:lang w:val="en-US"/>
        </w:rPr>
        <w:t>On 1 January 1999 the old-age pension scheme reform came into force. As a result since 1999 two old-age pension schemes have been jointly in operation in Poland:</w:t>
      </w:r>
    </w:p>
    <w:p w14:paraId="2CCB3589" w14:textId="77777777" w:rsidR="00EF5584" w:rsidRPr="00170D3A" w:rsidRDefault="00EF5584" w:rsidP="00170D3A">
      <w:pPr>
        <w:pStyle w:val="ListParagraph"/>
        <w:widowControl w:val="0"/>
        <w:numPr>
          <w:ilvl w:val="0"/>
          <w:numId w:val="20"/>
        </w:numPr>
        <w:autoSpaceDE w:val="0"/>
        <w:autoSpaceDN w:val="0"/>
        <w:adjustRightInd w:val="0"/>
        <w:spacing w:line="276" w:lineRule="auto"/>
        <w:jc w:val="both"/>
        <w:rPr>
          <w:rFonts w:ascii="Times New Roman" w:hAnsi="Times New Roman" w:cs="Times New Roman"/>
          <w:bCs/>
          <w:color w:val="262626"/>
          <w:lang w:val="en-US"/>
        </w:rPr>
      </w:pPr>
      <w:proofErr w:type="gramStart"/>
      <w:r w:rsidRPr="00170D3A">
        <w:rPr>
          <w:rFonts w:ascii="Times New Roman" w:hAnsi="Times New Roman" w:cs="Times New Roman"/>
          <w:bCs/>
          <w:color w:val="262626"/>
          <w:lang w:val="en-US"/>
        </w:rPr>
        <w:lastRenderedPageBreak/>
        <w:t>pension</w:t>
      </w:r>
      <w:proofErr w:type="gramEnd"/>
      <w:r w:rsidRPr="00170D3A">
        <w:rPr>
          <w:rFonts w:ascii="Times New Roman" w:hAnsi="Times New Roman" w:cs="Times New Roman"/>
          <w:bCs/>
          <w:color w:val="262626"/>
          <w:lang w:val="en-US"/>
        </w:rPr>
        <w:t xml:space="preserve"> scheme operating under the earlier rules – for persons born before 1 January 1949,</w:t>
      </w:r>
    </w:p>
    <w:p w14:paraId="0AD18EFB" w14:textId="77777777" w:rsidR="00EF5584" w:rsidRPr="00170D3A" w:rsidRDefault="00EF5584" w:rsidP="00170D3A">
      <w:pPr>
        <w:pStyle w:val="ListParagraph"/>
        <w:widowControl w:val="0"/>
        <w:numPr>
          <w:ilvl w:val="0"/>
          <w:numId w:val="20"/>
        </w:numPr>
        <w:autoSpaceDE w:val="0"/>
        <w:autoSpaceDN w:val="0"/>
        <w:adjustRightInd w:val="0"/>
        <w:spacing w:line="276" w:lineRule="auto"/>
        <w:jc w:val="both"/>
        <w:rPr>
          <w:rFonts w:ascii="Times New Roman" w:hAnsi="Times New Roman" w:cs="Times New Roman"/>
          <w:bCs/>
          <w:color w:val="262626"/>
          <w:lang w:val="en-US"/>
        </w:rPr>
      </w:pPr>
      <w:proofErr w:type="gramStart"/>
      <w:r w:rsidRPr="00170D3A">
        <w:rPr>
          <w:rFonts w:ascii="Times New Roman" w:hAnsi="Times New Roman" w:cs="Times New Roman"/>
          <w:bCs/>
          <w:color w:val="262626"/>
          <w:lang w:val="en-US"/>
        </w:rPr>
        <w:t>pension</w:t>
      </w:r>
      <w:proofErr w:type="gramEnd"/>
      <w:r w:rsidRPr="00170D3A">
        <w:rPr>
          <w:rFonts w:ascii="Times New Roman" w:hAnsi="Times New Roman" w:cs="Times New Roman"/>
          <w:bCs/>
          <w:color w:val="262626"/>
          <w:lang w:val="en-US"/>
        </w:rPr>
        <w:t xml:space="preserve"> scheme operating under the new rules– for persons born after 31 December 1948.</w:t>
      </w:r>
    </w:p>
    <w:p w14:paraId="1BCE0602" w14:textId="6548E6BB" w:rsidR="00EF5584" w:rsidRPr="00E71A66" w:rsidRDefault="00EF5584" w:rsidP="00E71A66">
      <w:pPr>
        <w:spacing w:before="120" w:after="120" w:line="276" w:lineRule="auto"/>
        <w:jc w:val="both"/>
        <w:rPr>
          <w:rFonts w:ascii="Times New Roman" w:hAnsi="Times New Roman" w:cs="Times New Roman"/>
          <w:bCs/>
          <w:color w:val="262626"/>
          <w:lang w:val="en-US"/>
        </w:rPr>
      </w:pPr>
      <w:r w:rsidRPr="00170D3A">
        <w:rPr>
          <w:rFonts w:ascii="Times New Roman" w:hAnsi="Times New Roman" w:cs="Times New Roman"/>
          <w:bCs/>
          <w:color w:val="262626"/>
          <w:lang w:val="en-US"/>
        </w:rPr>
        <w:t>Persons born after 31 December 1948 but before 1 January 1969 had the option to stay in the pay-as-you-go pension system only or join the new pension system, consisting of pay-as-you-go scheme (first pillar) and funded component (second pillar). These persons could join the new pension system by 31 December 1999.</w:t>
      </w:r>
    </w:p>
    <w:p w14:paraId="49C93386" w14:textId="77777777" w:rsidR="00EF5584" w:rsidRPr="00170D3A" w:rsidRDefault="00EF5584" w:rsidP="00170D3A">
      <w:pPr>
        <w:pStyle w:val="Default"/>
        <w:spacing w:before="120" w:line="276" w:lineRule="auto"/>
        <w:jc w:val="both"/>
        <w:rPr>
          <w:b/>
          <w:lang w:val="en-US"/>
        </w:rPr>
      </w:pPr>
      <w:r w:rsidRPr="00170D3A">
        <w:rPr>
          <w:b/>
          <w:lang w:val="en-US"/>
        </w:rPr>
        <w:t>Construction of the system after reform</w:t>
      </w:r>
    </w:p>
    <w:p w14:paraId="46CA6961" w14:textId="77777777" w:rsidR="00EF5584" w:rsidRPr="00170D3A" w:rsidRDefault="00EF5584" w:rsidP="00170D3A">
      <w:pPr>
        <w:spacing w:before="120" w:after="120" w:line="276" w:lineRule="auto"/>
        <w:jc w:val="both"/>
        <w:rPr>
          <w:rFonts w:ascii="Times New Roman" w:hAnsi="Times New Roman" w:cs="Times New Roman"/>
          <w:bCs/>
          <w:color w:val="262626"/>
          <w:lang w:val="en-US"/>
        </w:rPr>
      </w:pPr>
      <w:r w:rsidRPr="00170D3A">
        <w:rPr>
          <w:rFonts w:ascii="Times New Roman" w:hAnsi="Times New Roman" w:cs="Times New Roman"/>
          <w:bCs/>
          <w:color w:val="262626"/>
          <w:lang w:val="en-US"/>
        </w:rPr>
        <w:t>The reformed pension system consists of III pillars.</w:t>
      </w:r>
    </w:p>
    <w:p w14:paraId="5E3995F0" w14:textId="77777777" w:rsidR="00EF5584" w:rsidRPr="00170D3A" w:rsidRDefault="00EF5584" w:rsidP="00170D3A">
      <w:pPr>
        <w:spacing w:before="120" w:after="120" w:line="276" w:lineRule="auto"/>
        <w:jc w:val="both"/>
        <w:rPr>
          <w:rFonts w:ascii="Times New Roman" w:hAnsi="Times New Roman" w:cs="Times New Roman"/>
          <w:bCs/>
          <w:i/>
          <w:color w:val="262626"/>
          <w:lang w:val="en-US"/>
        </w:rPr>
      </w:pPr>
      <w:r w:rsidRPr="00170D3A">
        <w:rPr>
          <w:rFonts w:ascii="Times New Roman" w:hAnsi="Times New Roman" w:cs="Times New Roman"/>
          <w:bCs/>
          <w:i/>
          <w:color w:val="262626"/>
          <w:lang w:val="en-US"/>
        </w:rPr>
        <w:t>I pillar</w:t>
      </w:r>
    </w:p>
    <w:p w14:paraId="623A0103" w14:textId="77777777" w:rsidR="00EF5584" w:rsidRPr="00170D3A" w:rsidRDefault="00EF5584" w:rsidP="00170D3A">
      <w:pPr>
        <w:spacing w:before="120" w:after="120" w:line="276" w:lineRule="auto"/>
        <w:jc w:val="both"/>
        <w:rPr>
          <w:rFonts w:ascii="Times New Roman" w:hAnsi="Times New Roman" w:cs="Times New Roman"/>
          <w:bCs/>
          <w:color w:val="262626"/>
          <w:lang w:val="en-US"/>
        </w:rPr>
      </w:pPr>
      <w:r w:rsidRPr="00170D3A">
        <w:rPr>
          <w:rFonts w:ascii="Times New Roman" w:hAnsi="Times New Roman" w:cs="Times New Roman"/>
          <w:bCs/>
          <w:color w:val="262626"/>
          <w:lang w:val="en-US"/>
        </w:rPr>
        <w:t xml:space="preserve">The first pillar is pay-as-you-go scheme administered by public institution – Social Insurance Institution (ZUS, </w:t>
      </w:r>
      <w:proofErr w:type="spellStart"/>
      <w:r w:rsidRPr="00170D3A">
        <w:rPr>
          <w:rFonts w:ascii="Times New Roman" w:hAnsi="Times New Roman" w:cs="Times New Roman"/>
          <w:bCs/>
          <w:i/>
          <w:color w:val="262626"/>
          <w:lang w:val="en-US"/>
        </w:rPr>
        <w:t>Zakład</w:t>
      </w:r>
      <w:proofErr w:type="spellEnd"/>
      <w:r w:rsidRPr="00170D3A">
        <w:rPr>
          <w:rFonts w:ascii="Times New Roman" w:hAnsi="Times New Roman" w:cs="Times New Roman"/>
          <w:bCs/>
          <w:i/>
          <w:color w:val="262626"/>
          <w:lang w:val="en-US"/>
        </w:rPr>
        <w:t xml:space="preserve"> </w:t>
      </w:r>
      <w:proofErr w:type="spellStart"/>
      <w:r w:rsidRPr="00170D3A">
        <w:rPr>
          <w:rFonts w:ascii="Times New Roman" w:hAnsi="Times New Roman" w:cs="Times New Roman"/>
          <w:bCs/>
          <w:i/>
          <w:color w:val="262626"/>
          <w:lang w:val="en-US"/>
        </w:rPr>
        <w:t>Ubezpieczeń</w:t>
      </w:r>
      <w:proofErr w:type="spellEnd"/>
      <w:r w:rsidRPr="00170D3A">
        <w:rPr>
          <w:rFonts w:ascii="Times New Roman" w:hAnsi="Times New Roman" w:cs="Times New Roman"/>
          <w:bCs/>
          <w:i/>
          <w:color w:val="262626"/>
          <w:lang w:val="en-US"/>
        </w:rPr>
        <w:t xml:space="preserve"> </w:t>
      </w:r>
      <w:proofErr w:type="spellStart"/>
      <w:r w:rsidRPr="00170D3A">
        <w:rPr>
          <w:rFonts w:ascii="Times New Roman" w:hAnsi="Times New Roman" w:cs="Times New Roman"/>
          <w:bCs/>
          <w:i/>
          <w:color w:val="262626"/>
          <w:lang w:val="en-US"/>
        </w:rPr>
        <w:t>Społecznych</w:t>
      </w:r>
      <w:proofErr w:type="spellEnd"/>
      <w:r w:rsidRPr="00170D3A">
        <w:rPr>
          <w:rFonts w:ascii="Times New Roman" w:hAnsi="Times New Roman" w:cs="Times New Roman"/>
          <w:bCs/>
          <w:color w:val="262626"/>
          <w:lang w:val="en-US"/>
        </w:rPr>
        <w:t xml:space="preserve">). It is based on the notional defined contribution principle, which means, that every single insured person has individual account for the purposes of accruing pension rights, and their entitlements stem from the amount of contribution paid, instead of the length of periods of insurance.  </w:t>
      </w:r>
    </w:p>
    <w:p w14:paraId="6645AE59" w14:textId="77777777" w:rsidR="00EF5584" w:rsidRPr="00170D3A" w:rsidRDefault="00EF5584" w:rsidP="00170D3A">
      <w:pPr>
        <w:spacing w:before="120" w:after="120" w:line="276" w:lineRule="auto"/>
        <w:jc w:val="both"/>
        <w:rPr>
          <w:rFonts w:ascii="Times New Roman" w:hAnsi="Times New Roman" w:cs="Times New Roman"/>
          <w:bCs/>
          <w:i/>
          <w:color w:val="262626"/>
          <w:lang w:val="en-US"/>
        </w:rPr>
      </w:pPr>
      <w:r w:rsidRPr="00170D3A">
        <w:rPr>
          <w:rFonts w:ascii="Times New Roman" w:hAnsi="Times New Roman" w:cs="Times New Roman"/>
          <w:bCs/>
          <w:i/>
          <w:color w:val="262626"/>
          <w:lang w:val="en-US"/>
        </w:rPr>
        <w:t>II pillar</w:t>
      </w:r>
    </w:p>
    <w:p w14:paraId="1A3E7981" w14:textId="77777777" w:rsidR="00EF5584" w:rsidRPr="00170D3A" w:rsidRDefault="00EF5584" w:rsidP="00170D3A">
      <w:pPr>
        <w:spacing w:before="120" w:after="120" w:line="276" w:lineRule="auto"/>
        <w:jc w:val="both"/>
        <w:rPr>
          <w:rFonts w:ascii="Times New Roman" w:hAnsi="Times New Roman" w:cs="Times New Roman"/>
          <w:bCs/>
          <w:color w:val="262626"/>
          <w:lang w:val="en-US"/>
        </w:rPr>
      </w:pPr>
      <w:r w:rsidRPr="00170D3A">
        <w:rPr>
          <w:rFonts w:ascii="Times New Roman" w:hAnsi="Times New Roman" w:cs="Times New Roman"/>
          <w:bCs/>
          <w:color w:val="262626"/>
          <w:lang w:val="en-US"/>
        </w:rPr>
        <w:t xml:space="preserve">Second pillar is made up of two parts: open pension funds and a subaccount in ZUS. </w:t>
      </w:r>
    </w:p>
    <w:p w14:paraId="69C8164A" w14:textId="77777777" w:rsidR="00EF5584" w:rsidRPr="00170D3A" w:rsidRDefault="00EF5584" w:rsidP="00170D3A">
      <w:pPr>
        <w:spacing w:before="120" w:after="120" w:line="276" w:lineRule="auto"/>
        <w:jc w:val="both"/>
        <w:rPr>
          <w:rFonts w:ascii="Times New Roman" w:hAnsi="Times New Roman" w:cs="Times New Roman"/>
          <w:bCs/>
          <w:color w:val="262626"/>
          <w:lang w:val="en-US"/>
        </w:rPr>
      </w:pPr>
      <w:proofErr w:type="gramStart"/>
      <w:r w:rsidRPr="00170D3A">
        <w:rPr>
          <w:rFonts w:ascii="Times New Roman" w:hAnsi="Times New Roman" w:cs="Times New Roman"/>
          <w:bCs/>
          <w:color w:val="262626"/>
          <w:lang w:val="en-US"/>
        </w:rPr>
        <w:t>The open pension funds (OFE) are managed by private investment companies – general pension societies</w:t>
      </w:r>
      <w:proofErr w:type="gramEnd"/>
      <w:r w:rsidRPr="00170D3A">
        <w:rPr>
          <w:rFonts w:ascii="Times New Roman" w:hAnsi="Times New Roman" w:cs="Times New Roman"/>
          <w:bCs/>
          <w:color w:val="262626"/>
          <w:lang w:val="en-US"/>
        </w:rPr>
        <w:t xml:space="preserve"> (PTE, </w:t>
      </w:r>
      <w:proofErr w:type="spellStart"/>
      <w:r w:rsidRPr="00170D3A">
        <w:rPr>
          <w:rFonts w:ascii="Times New Roman" w:hAnsi="Times New Roman" w:cs="Times New Roman"/>
          <w:bCs/>
          <w:color w:val="262626"/>
          <w:lang w:val="en-US"/>
        </w:rPr>
        <w:t>powszechne</w:t>
      </w:r>
      <w:proofErr w:type="spellEnd"/>
      <w:r w:rsidRPr="00170D3A">
        <w:rPr>
          <w:rFonts w:ascii="Times New Roman" w:hAnsi="Times New Roman" w:cs="Times New Roman"/>
          <w:bCs/>
          <w:color w:val="262626"/>
          <w:lang w:val="en-US"/>
        </w:rPr>
        <w:t xml:space="preserve"> </w:t>
      </w:r>
      <w:proofErr w:type="spellStart"/>
      <w:r w:rsidRPr="00170D3A">
        <w:rPr>
          <w:rFonts w:ascii="Times New Roman" w:hAnsi="Times New Roman" w:cs="Times New Roman"/>
          <w:bCs/>
          <w:color w:val="262626"/>
          <w:lang w:val="en-US"/>
        </w:rPr>
        <w:t>towarzystwa</w:t>
      </w:r>
      <w:proofErr w:type="spellEnd"/>
      <w:r w:rsidRPr="00170D3A">
        <w:rPr>
          <w:rFonts w:ascii="Times New Roman" w:hAnsi="Times New Roman" w:cs="Times New Roman"/>
          <w:bCs/>
          <w:color w:val="262626"/>
          <w:lang w:val="en-US"/>
        </w:rPr>
        <w:t xml:space="preserve"> </w:t>
      </w:r>
      <w:proofErr w:type="spellStart"/>
      <w:r w:rsidRPr="00170D3A">
        <w:rPr>
          <w:rFonts w:ascii="Times New Roman" w:hAnsi="Times New Roman" w:cs="Times New Roman"/>
          <w:bCs/>
          <w:color w:val="262626"/>
          <w:lang w:val="en-US"/>
        </w:rPr>
        <w:t>emerytalne</w:t>
      </w:r>
      <w:proofErr w:type="spellEnd"/>
      <w:r w:rsidRPr="00170D3A">
        <w:rPr>
          <w:rFonts w:ascii="Times New Roman" w:hAnsi="Times New Roman" w:cs="Times New Roman"/>
          <w:bCs/>
          <w:color w:val="262626"/>
          <w:lang w:val="en-US"/>
        </w:rPr>
        <w:t xml:space="preserve">). At the end of 2015 there were 12 of these with a combined membership of 16.5 million. The value of combined assets was PLN 139.9 billion. Before 31 January 2014 membership of an OFE was compulsory for those born after 31 December 1968. </w:t>
      </w:r>
    </w:p>
    <w:p w14:paraId="3C0BF936" w14:textId="77777777" w:rsidR="00EF5584" w:rsidRPr="00170D3A" w:rsidRDefault="00EF5584" w:rsidP="00170D3A">
      <w:pPr>
        <w:spacing w:before="120" w:after="120" w:line="276" w:lineRule="auto"/>
        <w:jc w:val="both"/>
        <w:rPr>
          <w:rFonts w:ascii="Times New Roman" w:hAnsi="Times New Roman" w:cs="Times New Roman"/>
          <w:bCs/>
          <w:color w:val="262626"/>
          <w:lang w:val="en-US"/>
        </w:rPr>
      </w:pPr>
      <w:r w:rsidRPr="00170D3A">
        <w:rPr>
          <w:rFonts w:ascii="Times New Roman" w:hAnsi="Times New Roman" w:cs="Times New Roman"/>
          <w:bCs/>
          <w:color w:val="262626"/>
          <w:lang w:val="en-US"/>
        </w:rPr>
        <w:t>Since 1 February 2014 those starting work for the first time may choose whether they want to join some OFE or have the contribution paid to ZUS only. Persons who had already become OFE members could decide in the period from 1 April to 31 July 2014 whether a part of their contribution shall be transferred to an OFE, or the whole amount of contribution shall remain in ZUS. Another so called “transfer window”, i.e. the period in which the insured could change its decision regarding the payment of contributions to pension funds, took place between 1 April and 31 July 2016. Next are planned at intervals of 4 years.</w:t>
      </w:r>
    </w:p>
    <w:p w14:paraId="32646EC6" w14:textId="77777777" w:rsidR="00EF5584" w:rsidRPr="00170D3A" w:rsidRDefault="00EF5584" w:rsidP="00170D3A">
      <w:pPr>
        <w:spacing w:before="120" w:after="120" w:line="276" w:lineRule="auto"/>
        <w:jc w:val="both"/>
        <w:rPr>
          <w:rFonts w:ascii="Times New Roman" w:hAnsi="Times New Roman" w:cs="Times New Roman"/>
          <w:bCs/>
          <w:color w:val="262626"/>
          <w:lang w:val="en-US"/>
        </w:rPr>
      </w:pPr>
      <w:r w:rsidRPr="00170D3A">
        <w:rPr>
          <w:rFonts w:ascii="Times New Roman" w:hAnsi="Times New Roman" w:cs="Times New Roman"/>
          <w:bCs/>
          <w:color w:val="262626"/>
          <w:lang w:val="en-US"/>
        </w:rPr>
        <w:t>Sub-account is an additional account created in ZUS, which records the contributions to the second pillar pension insurance that are not subject to transfer to open pension funds. In addition, at the moment falling 10 years before the retirement age, a gradual (on monthly basis) transfer of funds from open pension fund is launched. This mechanism protects the insured against the so-called “risk of a bad date”, that is, the collapse of market rates at the time of retirement, which would translate into lower pension capital, and consequently a lower pension.</w:t>
      </w:r>
    </w:p>
    <w:p w14:paraId="51FA79D2" w14:textId="77777777" w:rsidR="00EF5584" w:rsidRPr="00170D3A" w:rsidRDefault="00EF5584" w:rsidP="00170D3A">
      <w:pPr>
        <w:spacing w:before="120" w:after="120" w:line="276" w:lineRule="auto"/>
        <w:jc w:val="both"/>
        <w:rPr>
          <w:rFonts w:ascii="Times New Roman" w:hAnsi="Times New Roman" w:cs="Times New Roman"/>
          <w:bCs/>
          <w:i/>
          <w:color w:val="262626"/>
          <w:lang w:val="en-US"/>
        </w:rPr>
      </w:pPr>
      <w:r w:rsidRPr="00170D3A">
        <w:rPr>
          <w:rFonts w:ascii="Times New Roman" w:hAnsi="Times New Roman" w:cs="Times New Roman"/>
          <w:bCs/>
          <w:i/>
          <w:color w:val="262626"/>
          <w:lang w:val="en-US"/>
        </w:rPr>
        <w:t>III pillar</w:t>
      </w:r>
    </w:p>
    <w:p w14:paraId="1120499B" w14:textId="77777777" w:rsidR="00EF5584" w:rsidRPr="00170D3A" w:rsidRDefault="00EF5584" w:rsidP="00170D3A">
      <w:pPr>
        <w:spacing w:before="120" w:after="120" w:line="276" w:lineRule="auto"/>
        <w:jc w:val="both"/>
        <w:rPr>
          <w:rFonts w:ascii="Times New Roman" w:hAnsi="Times New Roman" w:cs="Times New Roman"/>
          <w:bCs/>
          <w:color w:val="262626"/>
          <w:lang w:val="en-US"/>
        </w:rPr>
      </w:pPr>
      <w:proofErr w:type="gramStart"/>
      <w:r w:rsidRPr="00170D3A">
        <w:rPr>
          <w:rFonts w:ascii="Times New Roman" w:hAnsi="Times New Roman" w:cs="Times New Roman"/>
          <w:bCs/>
          <w:color w:val="262626"/>
          <w:lang w:val="en-US"/>
        </w:rPr>
        <w:t>Third pillar is administered by private institutions</w:t>
      </w:r>
      <w:proofErr w:type="gramEnd"/>
      <w:r w:rsidRPr="00170D3A">
        <w:rPr>
          <w:rFonts w:ascii="Times New Roman" w:hAnsi="Times New Roman" w:cs="Times New Roman"/>
          <w:bCs/>
          <w:color w:val="262626"/>
          <w:lang w:val="en-US"/>
        </w:rPr>
        <w:t xml:space="preserve"> and affiliation with it is completely voluntary. Participation in third pillar schemes should ensure a higher level of old-age pensions in the future thanks to a supplementary contribution.</w:t>
      </w:r>
    </w:p>
    <w:p w14:paraId="1EB46A65" w14:textId="77777777" w:rsidR="00EF5584" w:rsidRPr="00170D3A" w:rsidRDefault="00EF5584" w:rsidP="00170D3A">
      <w:pPr>
        <w:spacing w:before="120" w:after="120" w:line="276" w:lineRule="auto"/>
        <w:jc w:val="both"/>
        <w:rPr>
          <w:rFonts w:ascii="Times New Roman" w:hAnsi="Times New Roman" w:cs="Times New Roman"/>
          <w:bCs/>
          <w:color w:val="262626"/>
          <w:lang w:val="en-US"/>
        </w:rPr>
      </w:pPr>
      <w:r w:rsidRPr="00170D3A">
        <w:rPr>
          <w:rFonts w:ascii="Times New Roman" w:hAnsi="Times New Roman" w:cs="Times New Roman"/>
          <w:bCs/>
          <w:color w:val="262626"/>
          <w:lang w:val="en-US"/>
        </w:rPr>
        <w:t>The third pillar consists of:</w:t>
      </w:r>
    </w:p>
    <w:p w14:paraId="0A62692E" w14:textId="77777777" w:rsidR="00EF5584" w:rsidRPr="00170D3A" w:rsidRDefault="00EF5584" w:rsidP="00170D3A">
      <w:pPr>
        <w:pStyle w:val="ListParagraph"/>
        <w:numPr>
          <w:ilvl w:val="0"/>
          <w:numId w:val="21"/>
        </w:numPr>
        <w:spacing w:before="120" w:after="120" w:line="276" w:lineRule="auto"/>
        <w:jc w:val="both"/>
        <w:rPr>
          <w:rFonts w:ascii="Times New Roman" w:hAnsi="Times New Roman" w:cs="Times New Roman"/>
          <w:bCs/>
          <w:color w:val="262626"/>
          <w:lang w:val="en-US"/>
        </w:rPr>
      </w:pPr>
      <w:r w:rsidRPr="00170D3A">
        <w:rPr>
          <w:rFonts w:ascii="Times New Roman" w:hAnsi="Times New Roman" w:cs="Times New Roman"/>
          <w:bCs/>
          <w:color w:val="262626"/>
          <w:lang w:val="en-US"/>
        </w:rPr>
        <w:t>Occupational Pension Programmes (</w:t>
      </w:r>
      <w:proofErr w:type="spellStart"/>
      <w:r w:rsidRPr="00170D3A">
        <w:rPr>
          <w:rFonts w:ascii="Times New Roman" w:hAnsi="Times New Roman" w:cs="Times New Roman"/>
          <w:bCs/>
          <w:color w:val="262626"/>
          <w:lang w:val="en-US"/>
        </w:rPr>
        <w:t>Pracownicze</w:t>
      </w:r>
      <w:proofErr w:type="spellEnd"/>
      <w:r w:rsidRPr="00170D3A">
        <w:rPr>
          <w:rFonts w:ascii="Times New Roman" w:hAnsi="Times New Roman" w:cs="Times New Roman"/>
          <w:bCs/>
          <w:color w:val="262626"/>
          <w:lang w:val="en-US"/>
        </w:rPr>
        <w:t xml:space="preserve"> </w:t>
      </w:r>
      <w:proofErr w:type="spellStart"/>
      <w:r w:rsidRPr="00170D3A">
        <w:rPr>
          <w:rFonts w:ascii="Times New Roman" w:hAnsi="Times New Roman" w:cs="Times New Roman"/>
          <w:bCs/>
          <w:color w:val="262626"/>
          <w:lang w:val="en-US"/>
        </w:rPr>
        <w:t>Programy</w:t>
      </w:r>
      <w:proofErr w:type="spellEnd"/>
      <w:r w:rsidRPr="00170D3A">
        <w:rPr>
          <w:rFonts w:ascii="Times New Roman" w:hAnsi="Times New Roman" w:cs="Times New Roman"/>
          <w:bCs/>
          <w:color w:val="262626"/>
          <w:lang w:val="en-US"/>
        </w:rPr>
        <w:t xml:space="preserve"> </w:t>
      </w:r>
      <w:proofErr w:type="spellStart"/>
      <w:r w:rsidRPr="00170D3A">
        <w:rPr>
          <w:rFonts w:ascii="Times New Roman" w:hAnsi="Times New Roman" w:cs="Times New Roman"/>
          <w:bCs/>
          <w:color w:val="262626"/>
          <w:lang w:val="en-US"/>
        </w:rPr>
        <w:t>Emerytalne</w:t>
      </w:r>
      <w:proofErr w:type="spellEnd"/>
      <w:r w:rsidRPr="00170D3A">
        <w:rPr>
          <w:rFonts w:ascii="Times New Roman" w:hAnsi="Times New Roman" w:cs="Times New Roman"/>
          <w:bCs/>
          <w:color w:val="262626"/>
          <w:lang w:val="en-US"/>
        </w:rPr>
        <w:t>, PPE)</w:t>
      </w:r>
    </w:p>
    <w:p w14:paraId="7C69BDEF" w14:textId="77777777" w:rsidR="00EF5584" w:rsidRPr="00170D3A" w:rsidRDefault="00EF5584" w:rsidP="00170D3A">
      <w:pPr>
        <w:pStyle w:val="ListParagraph"/>
        <w:numPr>
          <w:ilvl w:val="0"/>
          <w:numId w:val="21"/>
        </w:numPr>
        <w:spacing w:before="120" w:after="120" w:line="276" w:lineRule="auto"/>
        <w:jc w:val="both"/>
        <w:rPr>
          <w:rFonts w:ascii="Times New Roman" w:hAnsi="Times New Roman" w:cs="Times New Roman"/>
          <w:bCs/>
          <w:color w:val="262626"/>
          <w:lang w:val="en-US"/>
        </w:rPr>
      </w:pPr>
      <w:r w:rsidRPr="00170D3A">
        <w:rPr>
          <w:rFonts w:ascii="Times New Roman" w:hAnsi="Times New Roman" w:cs="Times New Roman"/>
          <w:bCs/>
          <w:color w:val="262626"/>
          <w:lang w:val="en-US"/>
        </w:rPr>
        <w:lastRenderedPageBreak/>
        <w:t>Individual Retirement Account (</w:t>
      </w:r>
      <w:proofErr w:type="spellStart"/>
      <w:r w:rsidRPr="00170D3A">
        <w:rPr>
          <w:rFonts w:ascii="Times New Roman" w:hAnsi="Times New Roman" w:cs="Times New Roman"/>
          <w:bCs/>
          <w:color w:val="262626"/>
          <w:lang w:val="en-US"/>
        </w:rPr>
        <w:t>Indywidualne</w:t>
      </w:r>
      <w:proofErr w:type="spellEnd"/>
      <w:r w:rsidRPr="00170D3A">
        <w:rPr>
          <w:rFonts w:ascii="Times New Roman" w:hAnsi="Times New Roman" w:cs="Times New Roman"/>
          <w:bCs/>
          <w:color w:val="262626"/>
          <w:lang w:val="en-US"/>
        </w:rPr>
        <w:t xml:space="preserve"> </w:t>
      </w:r>
      <w:proofErr w:type="spellStart"/>
      <w:r w:rsidRPr="00170D3A">
        <w:rPr>
          <w:rFonts w:ascii="Times New Roman" w:hAnsi="Times New Roman" w:cs="Times New Roman"/>
          <w:bCs/>
          <w:color w:val="262626"/>
          <w:lang w:val="en-US"/>
        </w:rPr>
        <w:t>Konto</w:t>
      </w:r>
      <w:proofErr w:type="spellEnd"/>
      <w:r w:rsidRPr="00170D3A">
        <w:rPr>
          <w:rFonts w:ascii="Times New Roman" w:hAnsi="Times New Roman" w:cs="Times New Roman"/>
          <w:bCs/>
          <w:color w:val="262626"/>
          <w:lang w:val="en-US"/>
        </w:rPr>
        <w:t xml:space="preserve"> </w:t>
      </w:r>
      <w:proofErr w:type="spellStart"/>
      <w:r w:rsidRPr="00170D3A">
        <w:rPr>
          <w:rFonts w:ascii="Times New Roman" w:hAnsi="Times New Roman" w:cs="Times New Roman"/>
          <w:bCs/>
          <w:color w:val="262626"/>
          <w:lang w:val="en-US"/>
        </w:rPr>
        <w:t>Emerytalne</w:t>
      </w:r>
      <w:proofErr w:type="spellEnd"/>
      <w:r w:rsidRPr="00170D3A">
        <w:rPr>
          <w:rFonts w:ascii="Times New Roman" w:hAnsi="Times New Roman" w:cs="Times New Roman"/>
          <w:bCs/>
          <w:color w:val="262626"/>
          <w:lang w:val="en-US"/>
        </w:rPr>
        <w:t>, IKE)</w:t>
      </w:r>
    </w:p>
    <w:p w14:paraId="7FA86AD0" w14:textId="77777777" w:rsidR="00EF5584" w:rsidRPr="00170D3A" w:rsidRDefault="00EF5584" w:rsidP="00170D3A">
      <w:pPr>
        <w:pStyle w:val="ListParagraph"/>
        <w:numPr>
          <w:ilvl w:val="0"/>
          <w:numId w:val="21"/>
        </w:numPr>
        <w:spacing w:before="120" w:after="120" w:line="276" w:lineRule="auto"/>
        <w:jc w:val="both"/>
        <w:rPr>
          <w:rFonts w:ascii="Times New Roman" w:hAnsi="Times New Roman" w:cs="Times New Roman"/>
          <w:bCs/>
          <w:color w:val="262626"/>
          <w:lang w:val="pl-PL"/>
        </w:rPr>
      </w:pPr>
      <w:proofErr w:type="spellStart"/>
      <w:r w:rsidRPr="00170D3A">
        <w:rPr>
          <w:rFonts w:ascii="Times New Roman" w:hAnsi="Times New Roman" w:cs="Times New Roman"/>
          <w:bCs/>
          <w:color w:val="262626"/>
          <w:lang w:val="pl-PL"/>
        </w:rPr>
        <w:t>Individual</w:t>
      </w:r>
      <w:proofErr w:type="spellEnd"/>
      <w:r w:rsidRPr="00170D3A">
        <w:rPr>
          <w:rFonts w:ascii="Times New Roman" w:hAnsi="Times New Roman" w:cs="Times New Roman"/>
          <w:bCs/>
          <w:color w:val="262626"/>
          <w:lang w:val="pl-PL"/>
        </w:rPr>
        <w:t xml:space="preserve"> </w:t>
      </w:r>
      <w:proofErr w:type="spellStart"/>
      <w:r w:rsidRPr="00170D3A">
        <w:rPr>
          <w:rFonts w:ascii="Times New Roman" w:hAnsi="Times New Roman" w:cs="Times New Roman"/>
          <w:bCs/>
          <w:color w:val="262626"/>
          <w:lang w:val="pl-PL"/>
        </w:rPr>
        <w:t>Pension</w:t>
      </w:r>
      <w:proofErr w:type="spellEnd"/>
      <w:r w:rsidRPr="00170D3A">
        <w:rPr>
          <w:rFonts w:ascii="Times New Roman" w:hAnsi="Times New Roman" w:cs="Times New Roman"/>
          <w:bCs/>
          <w:color w:val="262626"/>
          <w:lang w:val="pl-PL"/>
        </w:rPr>
        <w:t xml:space="preserve"> Security </w:t>
      </w:r>
      <w:proofErr w:type="spellStart"/>
      <w:r w:rsidRPr="00170D3A">
        <w:rPr>
          <w:rFonts w:ascii="Times New Roman" w:hAnsi="Times New Roman" w:cs="Times New Roman"/>
          <w:bCs/>
          <w:color w:val="262626"/>
          <w:lang w:val="pl-PL"/>
        </w:rPr>
        <w:t>Account</w:t>
      </w:r>
      <w:proofErr w:type="spellEnd"/>
      <w:r w:rsidRPr="00170D3A">
        <w:rPr>
          <w:rFonts w:ascii="Times New Roman" w:hAnsi="Times New Roman" w:cs="Times New Roman"/>
          <w:bCs/>
          <w:color w:val="262626"/>
          <w:lang w:val="pl-PL"/>
        </w:rPr>
        <w:t xml:space="preserve"> (Indywidualne Konto Zabezpieczenia Emerytalnego, IKZE)</w:t>
      </w:r>
    </w:p>
    <w:p w14:paraId="7B16AA77" w14:textId="77777777" w:rsidR="00EF5584" w:rsidRPr="00170D3A" w:rsidRDefault="00EF5584" w:rsidP="00170D3A">
      <w:pPr>
        <w:spacing w:before="120" w:after="120" w:line="276" w:lineRule="auto"/>
        <w:jc w:val="both"/>
        <w:rPr>
          <w:rFonts w:ascii="Times New Roman" w:hAnsi="Times New Roman" w:cs="Times New Roman"/>
          <w:bCs/>
          <w:color w:val="262626"/>
          <w:lang w:val="en-US"/>
        </w:rPr>
      </w:pPr>
      <w:r w:rsidRPr="00170D3A">
        <w:rPr>
          <w:rFonts w:ascii="Times New Roman" w:hAnsi="Times New Roman" w:cs="Times New Roman"/>
          <w:bCs/>
          <w:color w:val="262626"/>
          <w:lang w:val="en-US"/>
        </w:rPr>
        <w:t xml:space="preserve">Occupational Pension Programmes are a form of voluntary group saving for retirement, organized by the employer in cooperation with employees. The </w:t>
      </w:r>
      <w:proofErr w:type="gramStart"/>
      <w:r w:rsidRPr="00170D3A">
        <w:rPr>
          <w:rFonts w:ascii="Times New Roman" w:hAnsi="Times New Roman" w:cs="Times New Roman"/>
          <w:bCs/>
          <w:color w:val="262626"/>
          <w:lang w:val="en-US"/>
        </w:rPr>
        <w:t>basic contribution is financed by the employer</w:t>
      </w:r>
      <w:proofErr w:type="gramEnd"/>
      <w:r w:rsidRPr="00170D3A">
        <w:rPr>
          <w:rFonts w:ascii="Times New Roman" w:hAnsi="Times New Roman" w:cs="Times New Roman"/>
          <w:bCs/>
          <w:color w:val="262626"/>
          <w:lang w:val="en-US"/>
        </w:rPr>
        <w:t>, while the employee can declare the payment of additional premiums, deducted from salaries. The funds contributed to the program are managed by the financial institution, which is chosen by the employer and employees during the organization phase of the program. The participant may take up payment of accumulated funds at once or in installments, not earlier than after the completion of 60 years.</w:t>
      </w:r>
    </w:p>
    <w:p w14:paraId="2F968FA4" w14:textId="77777777" w:rsidR="00EF5584" w:rsidRPr="00170D3A" w:rsidRDefault="00EF5584" w:rsidP="00170D3A">
      <w:pPr>
        <w:spacing w:before="120" w:after="120" w:line="276" w:lineRule="auto"/>
        <w:jc w:val="both"/>
        <w:rPr>
          <w:rFonts w:ascii="Times New Roman" w:hAnsi="Times New Roman" w:cs="Times New Roman"/>
          <w:bCs/>
          <w:color w:val="262626"/>
          <w:lang w:val="en-US"/>
        </w:rPr>
      </w:pPr>
      <w:r w:rsidRPr="00170D3A">
        <w:rPr>
          <w:rFonts w:ascii="Times New Roman" w:hAnsi="Times New Roman" w:cs="Times New Roman"/>
          <w:bCs/>
          <w:color w:val="262626"/>
          <w:lang w:val="en-US"/>
        </w:rPr>
        <w:t xml:space="preserve">PPEs existed in the number of 1,054 as of 31 December 2015, gathering about 393 thousand members. The maximum amount of additional </w:t>
      </w:r>
      <w:proofErr w:type="gramStart"/>
      <w:r w:rsidRPr="00170D3A">
        <w:rPr>
          <w:rFonts w:ascii="Times New Roman" w:hAnsi="Times New Roman" w:cs="Times New Roman"/>
          <w:bCs/>
          <w:color w:val="262626"/>
          <w:lang w:val="en-US"/>
        </w:rPr>
        <w:t>contributions which may be paid in by a participant to any single employee retirement programme for 2015</w:t>
      </w:r>
      <w:proofErr w:type="gramEnd"/>
      <w:r w:rsidRPr="00170D3A">
        <w:rPr>
          <w:rFonts w:ascii="Times New Roman" w:hAnsi="Times New Roman" w:cs="Times New Roman"/>
          <w:bCs/>
          <w:color w:val="262626"/>
          <w:lang w:val="en-US"/>
        </w:rPr>
        <w:t xml:space="preserve"> is PLN 17,815.50, monthly PLN 1,484.62 (as opposed to PLN 16,857 in the previous year).</w:t>
      </w:r>
    </w:p>
    <w:p w14:paraId="3E115C85" w14:textId="77777777" w:rsidR="00EF5584" w:rsidRPr="00170D3A" w:rsidRDefault="00EF5584" w:rsidP="00170D3A">
      <w:pPr>
        <w:spacing w:before="120" w:after="120" w:line="276" w:lineRule="auto"/>
        <w:jc w:val="both"/>
        <w:rPr>
          <w:rFonts w:ascii="Times New Roman" w:hAnsi="Times New Roman" w:cs="Times New Roman"/>
          <w:bCs/>
          <w:color w:val="262626"/>
          <w:lang w:val="en-US"/>
        </w:rPr>
      </w:pPr>
      <w:proofErr w:type="gramStart"/>
      <w:r w:rsidRPr="00170D3A">
        <w:rPr>
          <w:rFonts w:ascii="Times New Roman" w:hAnsi="Times New Roman" w:cs="Times New Roman"/>
          <w:bCs/>
          <w:color w:val="262626"/>
          <w:lang w:val="en-US"/>
        </w:rPr>
        <w:t>On Individual Retirement Accounts and Individual Pension Security Accounts can save every person who is at least16 years old.</w:t>
      </w:r>
      <w:proofErr w:type="gramEnd"/>
      <w:r w:rsidRPr="00170D3A">
        <w:rPr>
          <w:rFonts w:ascii="Times New Roman" w:hAnsi="Times New Roman" w:cs="Times New Roman"/>
          <w:bCs/>
          <w:color w:val="262626"/>
          <w:lang w:val="en-US"/>
        </w:rPr>
        <w:t xml:space="preserve"> Under the name of IKE or IKZE are offered distinguished accounts maintained by various financial institutions. Both IKE and IKZE allow saving for retirement without the obligation to pay income tax on capital gains (equal 19%). The difference between those two types of supplementary pension provision is the time </w:t>
      </w:r>
      <w:proofErr w:type="gramStart"/>
      <w:r w:rsidRPr="00170D3A">
        <w:rPr>
          <w:rFonts w:ascii="Times New Roman" w:hAnsi="Times New Roman" w:cs="Times New Roman"/>
          <w:bCs/>
          <w:color w:val="262626"/>
          <w:lang w:val="en-US"/>
        </w:rPr>
        <w:t>of  taxation</w:t>
      </w:r>
      <w:proofErr w:type="gramEnd"/>
      <w:r w:rsidRPr="00170D3A">
        <w:rPr>
          <w:rFonts w:ascii="Times New Roman" w:hAnsi="Times New Roman" w:cs="Times New Roman"/>
          <w:bCs/>
          <w:color w:val="262626"/>
          <w:lang w:val="en-US"/>
        </w:rPr>
        <w:t xml:space="preserve"> with personal income tax. In case of IKE a final payment of accumulated funds is exempt from this tax, while there is no tax exemption for payments on account. In the case of IKZE payments on this account can be deducted from the taxable income of individuals, while the flat-rate tax of 10% will be applied to withdrawals from IKZE after the end of the saving period - i.e. after reaching the age of 65 years. Payments for both types of accounts are subject to annual limitations that amount in 2016: for IKE to PLN 12,165 and for IKZE to PLN 4,866.</w:t>
      </w:r>
    </w:p>
    <w:p w14:paraId="3B174145" w14:textId="77777777" w:rsidR="00EF5584" w:rsidRPr="00170D3A" w:rsidRDefault="00EF5584" w:rsidP="00170D3A">
      <w:pPr>
        <w:pStyle w:val="NormalWeb"/>
        <w:spacing w:before="120" w:beforeAutospacing="0" w:after="0" w:afterAutospacing="0" w:line="276" w:lineRule="auto"/>
        <w:jc w:val="both"/>
        <w:rPr>
          <w:rFonts w:ascii="Times New Roman" w:hAnsi="Times New Roman"/>
          <w:sz w:val="24"/>
          <w:szCs w:val="24"/>
        </w:rPr>
      </w:pPr>
      <w:r w:rsidRPr="00170D3A">
        <w:rPr>
          <w:rFonts w:ascii="Times New Roman" w:hAnsi="Times New Roman"/>
          <w:sz w:val="24"/>
          <w:szCs w:val="24"/>
        </w:rPr>
        <w:t xml:space="preserve">IKEs were introduced in 2004. </w:t>
      </w:r>
      <w:r w:rsidRPr="00170D3A">
        <w:rPr>
          <w:rFonts w:ascii="Times New Roman" w:hAnsi="Times New Roman"/>
          <w:bCs/>
          <w:color w:val="262626"/>
          <w:sz w:val="24"/>
          <w:szCs w:val="24"/>
          <w:lang w:val="en-US"/>
        </w:rPr>
        <w:t>In 2015 there were kept 858,725 IKE accounts,</w:t>
      </w:r>
      <w:r w:rsidRPr="00170D3A">
        <w:rPr>
          <w:rFonts w:ascii="Times New Roman" w:hAnsi="Times New Roman"/>
          <w:sz w:val="24"/>
          <w:szCs w:val="24"/>
        </w:rPr>
        <w:t xml:space="preserve"> provided by:</w:t>
      </w:r>
    </w:p>
    <w:p w14:paraId="062FBD93" w14:textId="77777777" w:rsidR="00EF5584" w:rsidRPr="00170D3A" w:rsidRDefault="00EF5584" w:rsidP="00170D3A">
      <w:pPr>
        <w:pStyle w:val="ListParagraph"/>
        <w:numPr>
          <w:ilvl w:val="0"/>
          <w:numId w:val="21"/>
        </w:numPr>
        <w:spacing w:before="120" w:after="120" w:line="276" w:lineRule="auto"/>
        <w:jc w:val="both"/>
        <w:rPr>
          <w:rFonts w:ascii="Times New Roman" w:hAnsi="Times New Roman" w:cs="Times New Roman"/>
          <w:bCs/>
          <w:color w:val="262626"/>
          <w:lang w:val="en-US"/>
        </w:rPr>
      </w:pPr>
      <w:proofErr w:type="gramStart"/>
      <w:r w:rsidRPr="00170D3A">
        <w:rPr>
          <w:rFonts w:ascii="Times New Roman" w:hAnsi="Times New Roman" w:cs="Times New Roman"/>
          <w:bCs/>
          <w:color w:val="262626"/>
          <w:lang w:val="en-US"/>
        </w:rPr>
        <w:t>life</w:t>
      </w:r>
      <w:proofErr w:type="gramEnd"/>
      <w:r w:rsidRPr="00170D3A">
        <w:rPr>
          <w:rFonts w:ascii="Times New Roman" w:hAnsi="Times New Roman" w:cs="Times New Roman"/>
          <w:bCs/>
          <w:color w:val="262626"/>
          <w:lang w:val="en-US"/>
        </w:rPr>
        <w:t xml:space="preserve"> insurance companies (12),</w:t>
      </w:r>
    </w:p>
    <w:p w14:paraId="70886B25" w14:textId="77777777" w:rsidR="00EF5584" w:rsidRPr="00170D3A" w:rsidRDefault="00EF5584" w:rsidP="00170D3A">
      <w:pPr>
        <w:pStyle w:val="ListParagraph"/>
        <w:numPr>
          <w:ilvl w:val="0"/>
          <w:numId w:val="21"/>
        </w:numPr>
        <w:spacing w:before="120" w:after="120" w:line="276" w:lineRule="auto"/>
        <w:jc w:val="both"/>
        <w:rPr>
          <w:rFonts w:ascii="Times New Roman" w:hAnsi="Times New Roman" w:cs="Times New Roman"/>
          <w:bCs/>
          <w:color w:val="262626"/>
          <w:lang w:val="en-US"/>
        </w:rPr>
      </w:pPr>
      <w:proofErr w:type="gramStart"/>
      <w:r w:rsidRPr="00170D3A">
        <w:rPr>
          <w:rFonts w:ascii="Times New Roman" w:hAnsi="Times New Roman" w:cs="Times New Roman"/>
          <w:bCs/>
          <w:color w:val="262626"/>
          <w:lang w:val="en-US"/>
        </w:rPr>
        <w:t>investment</w:t>
      </w:r>
      <w:proofErr w:type="gramEnd"/>
      <w:r w:rsidRPr="00170D3A">
        <w:rPr>
          <w:rFonts w:ascii="Times New Roman" w:hAnsi="Times New Roman" w:cs="Times New Roman"/>
          <w:bCs/>
          <w:color w:val="262626"/>
          <w:lang w:val="en-US"/>
        </w:rPr>
        <w:t xml:space="preserve"> funds managed by investment fund companies (16),</w:t>
      </w:r>
    </w:p>
    <w:p w14:paraId="3C8353DE" w14:textId="77777777" w:rsidR="00EF5584" w:rsidRPr="00170D3A" w:rsidRDefault="00EF5584" w:rsidP="00170D3A">
      <w:pPr>
        <w:pStyle w:val="ListParagraph"/>
        <w:numPr>
          <w:ilvl w:val="0"/>
          <w:numId w:val="21"/>
        </w:numPr>
        <w:spacing w:before="120" w:after="120" w:line="276" w:lineRule="auto"/>
        <w:jc w:val="both"/>
        <w:rPr>
          <w:rFonts w:ascii="Times New Roman" w:hAnsi="Times New Roman" w:cs="Times New Roman"/>
          <w:bCs/>
          <w:color w:val="262626"/>
          <w:lang w:val="en-US"/>
        </w:rPr>
      </w:pPr>
      <w:proofErr w:type="gramStart"/>
      <w:r w:rsidRPr="00170D3A">
        <w:rPr>
          <w:rFonts w:ascii="Times New Roman" w:hAnsi="Times New Roman" w:cs="Times New Roman"/>
          <w:bCs/>
          <w:color w:val="262626"/>
          <w:lang w:val="en-US"/>
        </w:rPr>
        <w:t>entities</w:t>
      </w:r>
      <w:proofErr w:type="gramEnd"/>
      <w:r w:rsidRPr="00170D3A">
        <w:rPr>
          <w:rFonts w:ascii="Times New Roman" w:hAnsi="Times New Roman" w:cs="Times New Roman"/>
          <w:bCs/>
          <w:color w:val="262626"/>
          <w:lang w:val="en-US"/>
        </w:rPr>
        <w:t xml:space="preserve"> performing brokerage activities (6),</w:t>
      </w:r>
    </w:p>
    <w:p w14:paraId="15353502" w14:textId="77777777" w:rsidR="00EF5584" w:rsidRPr="00170D3A" w:rsidRDefault="00EF5584" w:rsidP="00170D3A">
      <w:pPr>
        <w:pStyle w:val="ListParagraph"/>
        <w:numPr>
          <w:ilvl w:val="0"/>
          <w:numId w:val="21"/>
        </w:numPr>
        <w:spacing w:before="120" w:after="120" w:line="276" w:lineRule="auto"/>
        <w:jc w:val="both"/>
        <w:rPr>
          <w:rFonts w:ascii="Times New Roman" w:hAnsi="Times New Roman" w:cs="Times New Roman"/>
          <w:bCs/>
          <w:color w:val="262626"/>
          <w:lang w:val="en-US"/>
        </w:rPr>
      </w:pPr>
      <w:proofErr w:type="gramStart"/>
      <w:r w:rsidRPr="00170D3A">
        <w:rPr>
          <w:rFonts w:ascii="Times New Roman" w:hAnsi="Times New Roman" w:cs="Times New Roman"/>
          <w:bCs/>
          <w:color w:val="262626"/>
          <w:lang w:val="en-US"/>
        </w:rPr>
        <w:t>banks</w:t>
      </w:r>
      <w:proofErr w:type="gramEnd"/>
      <w:r w:rsidRPr="00170D3A">
        <w:rPr>
          <w:rFonts w:ascii="Times New Roman" w:hAnsi="Times New Roman" w:cs="Times New Roman"/>
          <w:bCs/>
          <w:color w:val="262626"/>
          <w:lang w:val="en-US"/>
        </w:rPr>
        <w:t xml:space="preserve"> (12),</w:t>
      </w:r>
    </w:p>
    <w:p w14:paraId="353F3A89" w14:textId="77777777" w:rsidR="00EF5584" w:rsidRPr="00170D3A" w:rsidRDefault="00EF5584" w:rsidP="00170D3A">
      <w:pPr>
        <w:pStyle w:val="ListParagraph"/>
        <w:numPr>
          <w:ilvl w:val="0"/>
          <w:numId w:val="21"/>
        </w:numPr>
        <w:spacing w:before="120" w:after="120" w:line="276" w:lineRule="auto"/>
        <w:jc w:val="both"/>
        <w:rPr>
          <w:rFonts w:ascii="Times New Roman" w:hAnsi="Times New Roman" w:cs="Times New Roman"/>
          <w:bCs/>
          <w:color w:val="262626"/>
          <w:lang w:val="en-US"/>
        </w:rPr>
      </w:pPr>
      <w:proofErr w:type="gramStart"/>
      <w:r w:rsidRPr="00170D3A">
        <w:rPr>
          <w:rFonts w:ascii="Times New Roman" w:hAnsi="Times New Roman" w:cs="Times New Roman"/>
          <w:bCs/>
          <w:color w:val="262626"/>
          <w:lang w:val="en-US"/>
        </w:rPr>
        <w:t>voluntary</w:t>
      </w:r>
      <w:proofErr w:type="gramEnd"/>
      <w:r w:rsidRPr="00170D3A">
        <w:rPr>
          <w:rFonts w:ascii="Times New Roman" w:hAnsi="Times New Roman" w:cs="Times New Roman"/>
          <w:bCs/>
          <w:color w:val="262626"/>
          <w:lang w:val="en-US"/>
        </w:rPr>
        <w:t xml:space="preserve"> pension funds managed by General Pension Societies (4).</w:t>
      </w:r>
    </w:p>
    <w:p w14:paraId="55B56512" w14:textId="77777777" w:rsidR="00EF5584" w:rsidRPr="00170D3A" w:rsidRDefault="00EF5584" w:rsidP="00170D3A">
      <w:pPr>
        <w:spacing w:before="120" w:after="120" w:line="276" w:lineRule="auto"/>
        <w:jc w:val="both"/>
        <w:rPr>
          <w:rFonts w:ascii="Times New Roman" w:hAnsi="Times New Roman" w:cs="Times New Roman"/>
          <w:bCs/>
          <w:color w:val="262626"/>
          <w:lang w:val="en-US"/>
        </w:rPr>
      </w:pPr>
      <w:r w:rsidRPr="00170D3A">
        <w:rPr>
          <w:rFonts w:ascii="Times New Roman" w:hAnsi="Times New Roman" w:cs="Times New Roman"/>
          <w:bCs/>
          <w:color w:val="262626"/>
          <w:lang w:val="en-US"/>
        </w:rPr>
        <w:t xml:space="preserve">Total value of these accounts amounted to PLN 5.7 billion. The number of IKEs to which payments were made in 2015, </w:t>
      </w:r>
      <w:proofErr w:type="spellStart"/>
      <w:r w:rsidRPr="00170D3A">
        <w:rPr>
          <w:rFonts w:ascii="Times New Roman" w:hAnsi="Times New Roman" w:cs="Times New Roman"/>
          <w:bCs/>
          <w:color w:val="262626"/>
          <w:lang w:val="en-US"/>
        </w:rPr>
        <w:t>totalled</w:t>
      </w:r>
      <w:proofErr w:type="spellEnd"/>
      <w:r w:rsidRPr="00170D3A">
        <w:rPr>
          <w:rFonts w:ascii="Times New Roman" w:hAnsi="Times New Roman" w:cs="Times New Roman"/>
          <w:bCs/>
          <w:color w:val="262626"/>
          <w:lang w:val="en-US"/>
        </w:rPr>
        <w:t xml:space="preserve"> 269,526, and </w:t>
      </w:r>
      <w:proofErr w:type="gramStart"/>
      <w:r w:rsidRPr="00170D3A">
        <w:rPr>
          <w:rFonts w:ascii="Times New Roman" w:hAnsi="Times New Roman" w:cs="Times New Roman"/>
          <w:bCs/>
          <w:color w:val="262626"/>
          <w:lang w:val="en-US"/>
        </w:rPr>
        <w:t>their</w:t>
      </w:r>
      <w:proofErr w:type="gramEnd"/>
      <w:r w:rsidRPr="00170D3A">
        <w:rPr>
          <w:rFonts w:ascii="Times New Roman" w:hAnsi="Times New Roman" w:cs="Times New Roman"/>
          <w:bCs/>
          <w:color w:val="262626"/>
          <w:lang w:val="en-US"/>
        </w:rPr>
        <w:t xml:space="preserve"> total value amounted to PLN 946 million. The average payment to an IKE account in 2015 amounted to PLN 3.5 thousand.</w:t>
      </w:r>
    </w:p>
    <w:p w14:paraId="2AF3526F" w14:textId="77777777" w:rsidR="00EF5584" w:rsidRPr="00170D3A" w:rsidRDefault="00EF5584" w:rsidP="00170D3A">
      <w:pPr>
        <w:spacing w:before="120" w:after="120" w:line="276" w:lineRule="auto"/>
        <w:jc w:val="both"/>
        <w:rPr>
          <w:rFonts w:ascii="Times New Roman" w:hAnsi="Times New Roman" w:cs="Times New Roman"/>
          <w:bCs/>
          <w:color w:val="262626"/>
          <w:lang w:val="en-US"/>
        </w:rPr>
      </w:pPr>
      <w:r w:rsidRPr="00170D3A">
        <w:rPr>
          <w:rFonts w:ascii="Times New Roman" w:hAnsi="Times New Roman" w:cs="Times New Roman"/>
          <w:bCs/>
          <w:color w:val="262626"/>
          <w:lang w:val="en-US"/>
        </w:rPr>
        <w:t>IKZEs were introduced in 2012. In  2015, there were kept 597,560 IKZE accounts, provided by:</w:t>
      </w:r>
    </w:p>
    <w:p w14:paraId="53AE3F92" w14:textId="77777777" w:rsidR="00EF5584" w:rsidRPr="00170D3A" w:rsidRDefault="00EF5584" w:rsidP="00170D3A">
      <w:pPr>
        <w:pStyle w:val="ListParagraph"/>
        <w:numPr>
          <w:ilvl w:val="0"/>
          <w:numId w:val="21"/>
        </w:numPr>
        <w:spacing w:before="120" w:after="120" w:line="276" w:lineRule="auto"/>
        <w:jc w:val="both"/>
        <w:rPr>
          <w:rFonts w:ascii="Times New Roman" w:hAnsi="Times New Roman" w:cs="Times New Roman"/>
          <w:bCs/>
          <w:color w:val="262626"/>
          <w:lang w:val="en-US"/>
        </w:rPr>
      </w:pPr>
      <w:proofErr w:type="gramStart"/>
      <w:r w:rsidRPr="00170D3A">
        <w:rPr>
          <w:rFonts w:ascii="Times New Roman" w:hAnsi="Times New Roman" w:cs="Times New Roman"/>
          <w:bCs/>
          <w:color w:val="262626"/>
          <w:lang w:val="en-US"/>
        </w:rPr>
        <w:t>life</w:t>
      </w:r>
      <w:proofErr w:type="gramEnd"/>
      <w:r w:rsidRPr="00170D3A">
        <w:rPr>
          <w:rFonts w:ascii="Times New Roman" w:hAnsi="Times New Roman" w:cs="Times New Roman"/>
          <w:bCs/>
          <w:color w:val="262626"/>
          <w:lang w:val="en-US"/>
        </w:rPr>
        <w:t xml:space="preserve"> insurance companies (7),</w:t>
      </w:r>
    </w:p>
    <w:p w14:paraId="5EC9964F" w14:textId="77777777" w:rsidR="00EF5584" w:rsidRPr="00170D3A" w:rsidRDefault="00EF5584" w:rsidP="00170D3A">
      <w:pPr>
        <w:pStyle w:val="ListParagraph"/>
        <w:numPr>
          <w:ilvl w:val="0"/>
          <w:numId w:val="21"/>
        </w:numPr>
        <w:spacing w:before="120" w:after="120" w:line="276" w:lineRule="auto"/>
        <w:jc w:val="both"/>
        <w:rPr>
          <w:rFonts w:ascii="Times New Roman" w:hAnsi="Times New Roman" w:cs="Times New Roman"/>
          <w:bCs/>
          <w:color w:val="262626"/>
          <w:lang w:val="en-US"/>
        </w:rPr>
      </w:pPr>
      <w:proofErr w:type="gramStart"/>
      <w:r w:rsidRPr="00170D3A">
        <w:rPr>
          <w:rFonts w:ascii="Times New Roman" w:hAnsi="Times New Roman" w:cs="Times New Roman"/>
          <w:bCs/>
          <w:color w:val="262626"/>
          <w:lang w:val="en-US"/>
        </w:rPr>
        <w:t>investment</w:t>
      </w:r>
      <w:proofErr w:type="gramEnd"/>
      <w:r w:rsidRPr="00170D3A">
        <w:rPr>
          <w:rFonts w:ascii="Times New Roman" w:hAnsi="Times New Roman" w:cs="Times New Roman"/>
          <w:bCs/>
          <w:color w:val="262626"/>
          <w:lang w:val="en-US"/>
        </w:rPr>
        <w:t xml:space="preserve"> funds managed by investment fund companies (13),</w:t>
      </w:r>
    </w:p>
    <w:p w14:paraId="76983F78" w14:textId="77777777" w:rsidR="00EF5584" w:rsidRPr="00170D3A" w:rsidRDefault="00EF5584" w:rsidP="00170D3A">
      <w:pPr>
        <w:pStyle w:val="ListParagraph"/>
        <w:numPr>
          <w:ilvl w:val="0"/>
          <w:numId w:val="21"/>
        </w:numPr>
        <w:spacing w:before="120" w:after="120" w:line="276" w:lineRule="auto"/>
        <w:jc w:val="both"/>
        <w:rPr>
          <w:rFonts w:ascii="Times New Roman" w:hAnsi="Times New Roman" w:cs="Times New Roman"/>
          <w:bCs/>
          <w:color w:val="262626"/>
          <w:lang w:val="en-US"/>
        </w:rPr>
      </w:pPr>
      <w:proofErr w:type="gramStart"/>
      <w:r w:rsidRPr="00170D3A">
        <w:rPr>
          <w:rFonts w:ascii="Times New Roman" w:hAnsi="Times New Roman" w:cs="Times New Roman"/>
          <w:bCs/>
          <w:color w:val="262626"/>
          <w:lang w:val="en-US"/>
        </w:rPr>
        <w:t>entities</w:t>
      </w:r>
      <w:proofErr w:type="gramEnd"/>
      <w:r w:rsidRPr="00170D3A">
        <w:rPr>
          <w:rFonts w:ascii="Times New Roman" w:hAnsi="Times New Roman" w:cs="Times New Roman"/>
          <w:bCs/>
          <w:color w:val="262626"/>
          <w:lang w:val="en-US"/>
        </w:rPr>
        <w:t xml:space="preserve"> performing brokerage activities (5),</w:t>
      </w:r>
    </w:p>
    <w:p w14:paraId="49C7D894" w14:textId="77777777" w:rsidR="00EF5584" w:rsidRPr="00170D3A" w:rsidRDefault="00EF5584" w:rsidP="00170D3A">
      <w:pPr>
        <w:pStyle w:val="ListParagraph"/>
        <w:numPr>
          <w:ilvl w:val="0"/>
          <w:numId w:val="21"/>
        </w:numPr>
        <w:spacing w:before="120" w:after="120" w:line="276" w:lineRule="auto"/>
        <w:jc w:val="both"/>
        <w:rPr>
          <w:rFonts w:ascii="Times New Roman" w:hAnsi="Times New Roman" w:cs="Times New Roman"/>
          <w:bCs/>
          <w:color w:val="262626"/>
          <w:lang w:val="en-US"/>
        </w:rPr>
      </w:pPr>
      <w:proofErr w:type="gramStart"/>
      <w:r w:rsidRPr="00170D3A">
        <w:rPr>
          <w:rFonts w:ascii="Times New Roman" w:hAnsi="Times New Roman" w:cs="Times New Roman"/>
          <w:bCs/>
          <w:color w:val="262626"/>
          <w:lang w:val="en-US"/>
        </w:rPr>
        <w:t>banks</w:t>
      </w:r>
      <w:proofErr w:type="gramEnd"/>
      <w:r w:rsidRPr="00170D3A">
        <w:rPr>
          <w:rFonts w:ascii="Times New Roman" w:hAnsi="Times New Roman" w:cs="Times New Roman"/>
          <w:bCs/>
          <w:color w:val="262626"/>
          <w:lang w:val="en-US"/>
        </w:rPr>
        <w:t xml:space="preserve"> (3),</w:t>
      </w:r>
    </w:p>
    <w:p w14:paraId="12CC7485" w14:textId="77777777" w:rsidR="00EF5584" w:rsidRPr="00170D3A" w:rsidRDefault="00EF5584" w:rsidP="00170D3A">
      <w:pPr>
        <w:pStyle w:val="ListParagraph"/>
        <w:numPr>
          <w:ilvl w:val="0"/>
          <w:numId w:val="21"/>
        </w:numPr>
        <w:spacing w:before="120" w:after="120" w:line="276" w:lineRule="auto"/>
        <w:jc w:val="both"/>
        <w:rPr>
          <w:rFonts w:ascii="Times New Roman" w:hAnsi="Times New Roman" w:cs="Times New Roman"/>
          <w:bCs/>
          <w:color w:val="262626"/>
          <w:lang w:val="en-US"/>
        </w:rPr>
      </w:pPr>
      <w:proofErr w:type="gramStart"/>
      <w:r w:rsidRPr="00170D3A">
        <w:rPr>
          <w:rFonts w:ascii="Times New Roman" w:hAnsi="Times New Roman" w:cs="Times New Roman"/>
          <w:bCs/>
          <w:color w:val="262626"/>
          <w:lang w:val="en-US"/>
        </w:rPr>
        <w:t>voluntary</w:t>
      </w:r>
      <w:proofErr w:type="gramEnd"/>
      <w:r w:rsidRPr="00170D3A">
        <w:rPr>
          <w:rFonts w:ascii="Times New Roman" w:hAnsi="Times New Roman" w:cs="Times New Roman"/>
          <w:bCs/>
          <w:color w:val="262626"/>
          <w:lang w:val="en-US"/>
        </w:rPr>
        <w:t xml:space="preserve"> pension funds managed by General Pension Societies (9).</w:t>
      </w:r>
    </w:p>
    <w:p w14:paraId="0D89F4C2" w14:textId="38C887C6" w:rsidR="00EF5584" w:rsidRPr="00E71A66" w:rsidRDefault="00EF5584" w:rsidP="00E71A66">
      <w:pPr>
        <w:spacing w:before="120" w:after="120" w:line="276" w:lineRule="auto"/>
        <w:jc w:val="both"/>
        <w:rPr>
          <w:rFonts w:ascii="Times New Roman" w:hAnsi="Times New Roman" w:cs="Times New Roman"/>
          <w:bCs/>
          <w:color w:val="262626"/>
          <w:lang w:val="en-US"/>
        </w:rPr>
      </w:pPr>
      <w:r w:rsidRPr="00170D3A">
        <w:rPr>
          <w:rFonts w:ascii="Times New Roman" w:hAnsi="Times New Roman" w:cs="Times New Roman"/>
          <w:bCs/>
          <w:color w:val="262626"/>
          <w:lang w:val="en-US"/>
        </w:rPr>
        <w:lastRenderedPageBreak/>
        <w:t xml:space="preserve">Total value of these accounts amounted to PLN 621.9 million. The number of IKZEs to which payments were made in 2015, </w:t>
      </w:r>
      <w:proofErr w:type="spellStart"/>
      <w:r w:rsidRPr="00170D3A">
        <w:rPr>
          <w:rFonts w:ascii="Times New Roman" w:hAnsi="Times New Roman" w:cs="Times New Roman"/>
          <w:bCs/>
          <w:color w:val="262626"/>
          <w:lang w:val="en-US"/>
        </w:rPr>
        <w:t>totalled</w:t>
      </w:r>
      <w:proofErr w:type="spellEnd"/>
      <w:r w:rsidRPr="00170D3A">
        <w:rPr>
          <w:rFonts w:ascii="Times New Roman" w:hAnsi="Times New Roman" w:cs="Times New Roman"/>
          <w:bCs/>
          <w:color w:val="262626"/>
          <w:lang w:val="en-US"/>
        </w:rPr>
        <w:t xml:space="preserve"> 142,810, and </w:t>
      </w:r>
      <w:proofErr w:type="gramStart"/>
      <w:r w:rsidRPr="00170D3A">
        <w:rPr>
          <w:rFonts w:ascii="Times New Roman" w:hAnsi="Times New Roman" w:cs="Times New Roman"/>
          <w:bCs/>
          <w:color w:val="262626"/>
          <w:lang w:val="en-US"/>
        </w:rPr>
        <w:t>their</w:t>
      </w:r>
      <w:proofErr w:type="gramEnd"/>
      <w:r w:rsidRPr="00170D3A">
        <w:rPr>
          <w:rFonts w:ascii="Times New Roman" w:hAnsi="Times New Roman" w:cs="Times New Roman"/>
          <w:bCs/>
          <w:color w:val="262626"/>
          <w:lang w:val="en-US"/>
        </w:rPr>
        <w:t xml:space="preserve"> total value amounted to PLN 369 million. The average payment to an IKZE account in 2015 amounted to PLN 2.6 thousand.</w:t>
      </w:r>
    </w:p>
    <w:p w14:paraId="007F739F" w14:textId="77777777" w:rsidR="00EF5584" w:rsidRPr="00170D3A" w:rsidRDefault="00EF5584" w:rsidP="00170D3A">
      <w:pPr>
        <w:spacing w:before="120" w:after="120" w:line="276" w:lineRule="auto"/>
        <w:jc w:val="both"/>
        <w:rPr>
          <w:rFonts w:ascii="Times New Roman" w:hAnsi="Times New Roman" w:cs="Times New Roman"/>
          <w:b/>
          <w:bCs/>
          <w:color w:val="262626"/>
          <w:lang w:val="en-US"/>
        </w:rPr>
      </w:pPr>
      <w:r w:rsidRPr="00170D3A">
        <w:rPr>
          <w:rFonts w:ascii="Times New Roman" w:hAnsi="Times New Roman" w:cs="Times New Roman"/>
          <w:b/>
          <w:bCs/>
          <w:color w:val="262626"/>
          <w:lang w:val="en-US"/>
        </w:rPr>
        <w:t>The old-age pension insurance contribution</w:t>
      </w:r>
    </w:p>
    <w:p w14:paraId="348356A1" w14:textId="77777777" w:rsidR="00EF5584" w:rsidRPr="00170D3A" w:rsidRDefault="00EF5584" w:rsidP="00170D3A">
      <w:pPr>
        <w:spacing w:before="120" w:after="120" w:line="276" w:lineRule="auto"/>
        <w:jc w:val="both"/>
        <w:rPr>
          <w:rFonts w:ascii="Times New Roman" w:hAnsi="Times New Roman" w:cs="Times New Roman"/>
          <w:bCs/>
          <w:color w:val="262626"/>
          <w:lang w:val="en-US"/>
        </w:rPr>
      </w:pPr>
      <w:r w:rsidRPr="00170D3A">
        <w:rPr>
          <w:rFonts w:ascii="Times New Roman" w:hAnsi="Times New Roman" w:cs="Times New Roman"/>
          <w:bCs/>
          <w:color w:val="262626"/>
          <w:lang w:val="en-US"/>
        </w:rPr>
        <w:t>Pension insurance contribution is discharged at the level of 19.52% of the base (salary /income). The pension contribution is financed in equal parts by both the employer and the insured, provided that the contribution paid to open pension fund or evidenced on the sub-account comes entirely from the portion paid by the insured. Responsible for paying contributions to the Social Insurance is the employer. The pension system is based on the close correlation of benefit with the amount of actually paid contributions, as the basis for calculating the pension is the sum of pension contributions (defined contribution principle).</w:t>
      </w:r>
    </w:p>
    <w:p w14:paraId="2D9F3D5A" w14:textId="77777777" w:rsidR="00EF5584" w:rsidRPr="00170D3A" w:rsidRDefault="00EF5584" w:rsidP="00170D3A">
      <w:pPr>
        <w:spacing w:before="120" w:after="120" w:line="276" w:lineRule="auto"/>
        <w:jc w:val="both"/>
        <w:rPr>
          <w:rFonts w:ascii="Times New Roman" w:hAnsi="Times New Roman" w:cs="Times New Roman"/>
          <w:bCs/>
          <w:color w:val="262626"/>
          <w:lang w:val="en-US"/>
        </w:rPr>
      </w:pPr>
      <w:r w:rsidRPr="00170D3A">
        <w:rPr>
          <w:rFonts w:ascii="Times New Roman" w:hAnsi="Times New Roman" w:cs="Times New Roman"/>
          <w:bCs/>
          <w:color w:val="262626"/>
          <w:lang w:val="en-US"/>
        </w:rPr>
        <w:t>There are two variants of the distribution of the contributions to the second pillar:</w:t>
      </w:r>
    </w:p>
    <w:p w14:paraId="51016306" w14:textId="77777777" w:rsidR="00EF5584" w:rsidRPr="00170D3A" w:rsidRDefault="00EF5584" w:rsidP="00170D3A">
      <w:pPr>
        <w:pStyle w:val="ListParagraph"/>
        <w:numPr>
          <w:ilvl w:val="0"/>
          <w:numId w:val="21"/>
        </w:numPr>
        <w:spacing w:before="120" w:after="120" w:line="276" w:lineRule="auto"/>
        <w:jc w:val="both"/>
        <w:rPr>
          <w:rFonts w:ascii="Times New Roman" w:hAnsi="Times New Roman" w:cs="Times New Roman"/>
          <w:bCs/>
          <w:color w:val="262626"/>
          <w:lang w:val="en-US"/>
        </w:rPr>
      </w:pPr>
      <w:proofErr w:type="gramStart"/>
      <w:r w:rsidRPr="00170D3A">
        <w:rPr>
          <w:rFonts w:ascii="Times New Roman" w:hAnsi="Times New Roman" w:cs="Times New Roman"/>
          <w:bCs/>
          <w:color w:val="262626"/>
          <w:lang w:val="en-US"/>
        </w:rPr>
        <w:t>if</w:t>
      </w:r>
      <w:proofErr w:type="gramEnd"/>
      <w:r w:rsidRPr="00170D3A">
        <w:rPr>
          <w:rFonts w:ascii="Times New Roman" w:hAnsi="Times New Roman" w:cs="Times New Roman"/>
          <w:bCs/>
          <w:color w:val="262626"/>
          <w:lang w:val="en-US"/>
        </w:rPr>
        <w:t xml:space="preserve"> the insured did not join the OFE then the contribution is recorded at: ZUS account - in the amount of 12.22%, sub-account in ZUS – at the level of 7.3%.</w:t>
      </w:r>
    </w:p>
    <w:p w14:paraId="3D40BDA6" w14:textId="77777777" w:rsidR="00EF5584" w:rsidRPr="00170D3A" w:rsidRDefault="00EF5584" w:rsidP="00170D3A">
      <w:pPr>
        <w:pStyle w:val="ListParagraph"/>
        <w:numPr>
          <w:ilvl w:val="0"/>
          <w:numId w:val="21"/>
        </w:numPr>
        <w:spacing w:before="120" w:after="120" w:line="276" w:lineRule="auto"/>
        <w:jc w:val="both"/>
        <w:rPr>
          <w:rFonts w:ascii="Times New Roman" w:hAnsi="Times New Roman" w:cs="Times New Roman"/>
          <w:bCs/>
          <w:color w:val="262626"/>
          <w:lang w:val="en-US"/>
        </w:rPr>
      </w:pPr>
      <w:proofErr w:type="gramStart"/>
      <w:r w:rsidRPr="00170D3A">
        <w:rPr>
          <w:rFonts w:ascii="Times New Roman" w:hAnsi="Times New Roman" w:cs="Times New Roman"/>
          <w:bCs/>
          <w:color w:val="262626"/>
          <w:lang w:val="en-US"/>
        </w:rPr>
        <w:t>if</w:t>
      </w:r>
      <w:proofErr w:type="gramEnd"/>
      <w:r w:rsidRPr="00170D3A">
        <w:rPr>
          <w:rFonts w:ascii="Times New Roman" w:hAnsi="Times New Roman" w:cs="Times New Roman"/>
          <w:bCs/>
          <w:color w:val="262626"/>
          <w:lang w:val="en-US"/>
        </w:rPr>
        <w:t xml:space="preserve"> the insured decided to transfer the contributions to an account in OFE then the split of the contribution is as follows: 12.22% - recorded on account in ZUS, 4.38% - on sub-account in ZUS, 2.92% - on an account in OFE.</w:t>
      </w:r>
    </w:p>
    <w:p w14:paraId="77B87114" w14:textId="77777777" w:rsidR="00EF5584" w:rsidRPr="00170D3A" w:rsidRDefault="00EF5584" w:rsidP="00170D3A">
      <w:pPr>
        <w:spacing w:before="120" w:line="276" w:lineRule="auto"/>
        <w:jc w:val="both"/>
        <w:rPr>
          <w:rFonts w:ascii="Times New Roman" w:hAnsi="Times New Roman" w:cs="Times New Roman"/>
          <w:bCs/>
          <w:color w:val="262626"/>
          <w:lang w:val="en-US"/>
        </w:rPr>
      </w:pPr>
      <w:r w:rsidRPr="00170D3A">
        <w:rPr>
          <w:rFonts w:ascii="Times New Roman" w:hAnsi="Times New Roman" w:cs="Times New Roman"/>
          <w:bCs/>
          <w:color w:val="262626"/>
          <w:lang w:val="en-US"/>
        </w:rPr>
        <w:t xml:space="preserve">Contributions recorded at ZUS account (1 pillar) are indexed with the rate of increase of total yearly inflow of contributions to PAYG scheme. </w:t>
      </w:r>
    </w:p>
    <w:p w14:paraId="79D6FC0E" w14:textId="77777777" w:rsidR="00EF5584" w:rsidRPr="00170D3A" w:rsidRDefault="00EF5584" w:rsidP="00170D3A">
      <w:pPr>
        <w:spacing w:before="120" w:line="276" w:lineRule="auto"/>
        <w:jc w:val="both"/>
        <w:rPr>
          <w:rFonts w:ascii="Times New Roman" w:hAnsi="Times New Roman" w:cs="Times New Roman"/>
          <w:b/>
          <w:lang w:val="en-US"/>
        </w:rPr>
      </w:pPr>
      <w:r w:rsidRPr="00170D3A">
        <w:rPr>
          <w:rFonts w:ascii="Times New Roman" w:hAnsi="Times New Roman" w:cs="Times New Roman"/>
          <w:bCs/>
          <w:color w:val="262626"/>
          <w:lang w:val="en-US"/>
        </w:rPr>
        <w:t>Contributions recorded at the sub-account are subject to indexation with indicator of average GDP growth for the past 5 years.</w:t>
      </w:r>
    </w:p>
    <w:p w14:paraId="132D591E" w14:textId="000D89BB" w:rsidR="00EF5584" w:rsidRPr="00E71A66" w:rsidRDefault="00EF5584" w:rsidP="00170D3A">
      <w:pPr>
        <w:spacing w:before="120" w:line="276" w:lineRule="auto"/>
        <w:jc w:val="both"/>
        <w:rPr>
          <w:rFonts w:ascii="Times New Roman" w:hAnsi="Times New Roman" w:cs="Times New Roman"/>
          <w:lang w:val="en-US"/>
        </w:rPr>
      </w:pPr>
      <w:r w:rsidRPr="00170D3A">
        <w:rPr>
          <w:rFonts w:ascii="Times New Roman" w:hAnsi="Times New Roman" w:cs="Times New Roman"/>
          <w:lang w:val="en-US"/>
        </w:rPr>
        <w:t>Value of pension rights in OFE (existing during the accumulation phase only) depends on value of financial instruments that OFE invested in.</w:t>
      </w:r>
    </w:p>
    <w:p w14:paraId="4DC07D68" w14:textId="77777777" w:rsidR="00EF5584" w:rsidRPr="00170D3A" w:rsidRDefault="00EF5584" w:rsidP="00170D3A">
      <w:pPr>
        <w:spacing w:before="120" w:line="276" w:lineRule="auto"/>
        <w:jc w:val="both"/>
        <w:rPr>
          <w:rFonts w:ascii="Times New Roman" w:hAnsi="Times New Roman" w:cs="Times New Roman"/>
          <w:b/>
          <w:lang w:val="en-US"/>
        </w:rPr>
      </w:pPr>
      <w:r w:rsidRPr="00170D3A">
        <w:rPr>
          <w:rFonts w:ascii="Times New Roman" w:hAnsi="Times New Roman" w:cs="Times New Roman"/>
          <w:b/>
          <w:lang w:val="en-US"/>
        </w:rPr>
        <w:t xml:space="preserve">Eligibility criteria for benefits from mandatory </w:t>
      </w:r>
      <w:proofErr w:type="gramStart"/>
      <w:r w:rsidRPr="00170D3A">
        <w:rPr>
          <w:rFonts w:ascii="Times New Roman" w:hAnsi="Times New Roman" w:cs="Times New Roman"/>
          <w:b/>
          <w:lang w:val="en-US"/>
        </w:rPr>
        <w:t>old-age</w:t>
      </w:r>
      <w:proofErr w:type="gramEnd"/>
      <w:r w:rsidRPr="00170D3A">
        <w:rPr>
          <w:rFonts w:ascii="Times New Roman" w:hAnsi="Times New Roman" w:cs="Times New Roman"/>
          <w:b/>
          <w:lang w:val="en-US"/>
        </w:rPr>
        <w:t xml:space="preserve"> pension insurance</w:t>
      </w:r>
    </w:p>
    <w:p w14:paraId="6C97F0BF" w14:textId="77777777" w:rsidR="00EF5584" w:rsidRPr="00170D3A" w:rsidRDefault="00EF5584" w:rsidP="00170D3A">
      <w:pPr>
        <w:spacing w:before="120" w:after="120" w:line="276" w:lineRule="auto"/>
        <w:jc w:val="both"/>
        <w:rPr>
          <w:rFonts w:ascii="Times New Roman" w:hAnsi="Times New Roman" w:cs="Times New Roman"/>
          <w:bCs/>
          <w:color w:val="262626"/>
          <w:lang w:val="en-US"/>
        </w:rPr>
      </w:pPr>
      <w:r w:rsidRPr="00170D3A">
        <w:rPr>
          <w:rFonts w:ascii="Times New Roman" w:hAnsi="Times New Roman" w:cs="Times New Roman"/>
          <w:bCs/>
          <w:color w:val="262626"/>
          <w:lang w:val="en-US"/>
        </w:rPr>
        <w:t>The only eligibility condition to receive a pension is age.</w:t>
      </w:r>
    </w:p>
    <w:p w14:paraId="1BFBB3CB" w14:textId="77777777" w:rsidR="00EF5584" w:rsidRPr="00170D3A" w:rsidRDefault="00EF5584" w:rsidP="00170D3A">
      <w:pPr>
        <w:spacing w:before="120" w:after="120" w:line="276" w:lineRule="auto"/>
        <w:jc w:val="both"/>
        <w:rPr>
          <w:rFonts w:ascii="Times New Roman" w:hAnsi="Times New Roman" w:cs="Times New Roman"/>
          <w:bCs/>
          <w:color w:val="262626"/>
          <w:lang w:val="en-US"/>
        </w:rPr>
      </w:pPr>
      <w:proofErr w:type="gramStart"/>
      <w:r w:rsidRPr="00170D3A">
        <w:rPr>
          <w:rFonts w:ascii="Times New Roman" w:hAnsi="Times New Roman" w:cs="Times New Roman"/>
          <w:bCs/>
          <w:color w:val="262626"/>
          <w:lang w:val="en-US"/>
        </w:rPr>
        <w:t>Statutory retirement age for women born before 1 January 1953 and for men born before 1 January 1948 is set at the level of 60 and 65 years respectively.</w:t>
      </w:r>
      <w:proofErr w:type="gramEnd"/>
      <w:r w:rsidRPr="00170D3A">
        <w:rPr>
          <w:rFonts w:ascii="Times New Roman" w:hAnsi="Times New Roman" w:cs="Times New Roman"/>
          <w:bCs/>
          <w:color w:val="262626"/>
          <w:lang w:val="en-US"/>
        </w:rPr>
        <w:t xml:space="preserve"> </w:t>
      </w:r>
    </w:p>
    <w:p w14:paraId="222D3582" w14:textId="77777777" w:rsidR="00EF5584" w:rsidRPr="00170D3A" w:rsidRDefault="00EF5584" w:rsidP="00170D3A">
      <w:pPr>
        <w:spacing w:before="120" w:after="120" w:line="276" w:lineRule="auto"/>
        <w:jc w:val="both"/>
        <w:rPr>
          <w:rFonts w:ascii="Times New Roman" w:hAnsi="Times New Roman" w:cs="Times New Roman"/>
          <w:bCs/>
          <w:color w:val="262626"/>
          <w:lang w:val="en-US"/>
        </w:rPr>
      </w:pPr>
      <w:r w:rsidRPr="00170D3A">
        <w:rPr>
          <w:rFonts w:ascii="Times New Roman" w:hAnsi="Times New Roman" w:cs="Times New Roman"/>
          <w:bCs/>
          <w:color w:val="262626"/>
          <w:lang w:val="en-US"/>
        </w:rPr>
        <w:t xml:space="preserve">Starting from 1 January 2013 the retirement age is being increased and – as a target– </w:t>
      </w:r>
      <w:proofErr w:type="spellStart"/>
      <w:r w:rsidRPr="00170D3A">
        <w:rPr>
          <w:rFonts w:ascii="Times New Roman" w:hAnsi="Times New Roman" w:cs="Times New Roman"/>
          <w:bCs/>
          <w:color w:val="262626"/>
          <w:lang w:val="en-US"/>
        </w:rPr>
        <w:t>equalised</w:t>
      </w:r>
      <w:proofErr w:type="spellEnd"/>
      <w:r w:rsidRPr="00170D3A">
        <w:rPr>
          <w:rFonts w:ascii="Times New Roman" w:hAnsi="Times New Roman" w:cs="Times New Roman"/>
          <w:bCs/>
          <w:color w:val="262626"/>
          <w:lang w:val="en-US"/>
        </w:rPr>
        <w:t>:</w:t>
      </w:r>
    </w:p>
    <w:p w14:paraId="3B6A8FFF" w14:textId="77777777" w:rsidR="00EF5584" w:rsidRPr="00170D3A" w:rsidRDefault="00EF5584" w:rsidP="00170D3A">
      <w:pPr>
        <w:pStyle w:val="ListParagraph"/>
        <w:numPr>
          <w:ilvl w:val="0"/>
          <w:numId w:val="21"/>
        </w:numPr>
        <w:spacing w:before="120" w:after="120" w:line="276" w:lineRule="auto"/>
        <w:jc w:val="both"/>
        <w:rPr>
          <w:rFonts w:ascii="Times New Roman" w:hAnsi="Times New Roman" w:cs="Times New Roman"/>
          <w:bCs/>
          <w:color w:val="262626"/>
          <w:lang w:val="en-US"/>
        </w:rPr>
      </w:pPr>
      <w:proofErr w:type="gramStart"/>
      <w:r w:rsidRPr="00170D3A">
        <w:rPr>
          <w:rFonts w:ascii="Times New Roman" w:hAnsi="Times New Roman" w:cs="Times New Roman"/>
          <w:bCs/>
          <w:color w:val="262626"/>
          <w:lang w:val="en-US"/>
        </w:rPr>
        <w:t>for</w:t>
      </w:r>
      <w:proofErr w:type="gramEnd"/>
      <w:r w:rsidRPr="00170D3A">
        <w:rPr>
          <w:rFonts w:ascii="Times New Roman" w:hAnsi="Times New Roman" w:cs="Times New Roman"/>
          <w:bCs/>
          <w:color w:val="262626"/>
          <w:lang w:val="en-US"/>
        </w:rPr>
        <w:t xml:space="preserve"> women born after 31 December 1952 and</w:t>
      </w:r>
    </w:p>
    <w:p w14:paraId="02230654" w14:textId="77777777" w:rsidR="00EF5584" w:rsidRPr="00170D3A" w:rsidRDefault="00EF5584" w:rsidP="00170D3A">
      <w:pPr>
        <w:pStyle w:val="ListParagraph"/>
        <w:numPr>
          <w:ilvl w:val="0"/>
          <w:numId w:val="21"/>
        </w:numPr>
        <w:spacing w:before="120" w:after="120" w:line="276" w:lineRule="auto"/>
        <w:jc w:val="both"/>
        <w:rPr>
          <w:rFonts w:ascii="Times New Roman" w:hAnsi="Times New Roman" w:cs="Times New Roman"/>
          <w:bCs/>
          <w:color w:val="262626"/>
          <w:lang w:val="en-US"/>
        </w:rPr>
      </w:pPr>
      <w:proofErr w:type="gramStart"/>
      <w:r w:rsidRPr="00170D3A">
        <w:rPr>
          <w:rFonts w:ascii="Times New Roman" w:hAnsi="Times New Roman" w:cs="Times New Roman"/>
          <w:bCs/>
          <w:color w:val="262626"/>
          <w:lang w:val="en-US"/>
        </w:rPr>
        <w:t>for</w:t>
      </w:r>
      <w:proofErr w:type="gramEnd"/>
      <w:r w:rsidRPr="00170D3A">
        <w:rPr>
          <w:rFonts w:ascii="Times New Roman" w:hAnsi="Times New Roman" w:cs="Times New Roman"/>
          <w:bCs/>
          <w:color w:val="262626"/>
          <w:lang w:val="en-US"/>
        </w:rPr>
        <w:t xml:space="preserve"> men born after 31 December 1947 </w:t>
      </w:r>
    </w:p>
    <w:p w14:paraId="14B66C15" w14:textId="77777777" w:rsidR="00EF5584" w:rsidRPr="00170D3A" w:rsidRDefault="00EF5584" w:rsidP="00170D3A">
      <w:pPr>
        <w:pStyle w:val="NormalWeb"/>
        <w:spacing w:before="0" w:beforeAutospacing="0" w:after="0" w:afterAutospacing="0" w:line="276" w:lineRule="auto"/>
        <w:jc w:val="both"/>
        <w:rPr>
          <w:rFonts w:ascii="Times New Roman" w:hAnsi="Times New Roman"/>
          <w:sz w:val="24"/>
          <w:szCs w:val="24"/>
        </w:rPr>
      </w:pPr>
      <w:proofErr w:type="gramStart"/>
      <w:r w:rsidRPr="00170D3A">
        <w:rPr>
          <w:rFonts w:ascii="Times New Roman" w:hAnsi="Times New Roman"/>
          <w:sz w:val="24"/>
          <w:szCs w:val="24"/>
        </w:rPr>
        <w:t>by</w:t>
      </w:r>
      <w:proofErr w:type="gramEnd"/>
      <w:r w:rsidRPr="00170D3A">
        <w:rPr>
          <w:rFonts w:ascii="Times New Roman" w:hAnsi="Times New Roman"/>
          <w:sz w:val="24"/>
          <w:szCs w:val="24"/>
        </w:rPr>
        <w:t xml:space="preserve"> 1 month three times a year, until a retirement age of 67 years is reached – for men – in 2020, and in the case of women – in 2040</w:t>
      </w:r>
    </w:p>
    <w:p w14:paraId="355D1183" w14:textId="77777777" w:rsidR="00EF5584" w:rsidRPr="00170D3A" w:rsidRDefault="00EF5584" w:rsidP="00170D3A">
      <w:pPr>
        <w:spacing w:before="120" w:after="120" w:line="276" w:lineRule="auto"/>
        <w:jc w:val="both"/>
        <w:rPr>
          <w:rFonts w:ascii="Times New Roman" w:hAnsi="Times New Roman" w:cs="Times New Roman"/>
          <w:bCs/>
          <w:color w:val="262626"/>
          <w:lang w:val="en-US"/>
        </w:rPr>
      </w:pPr>
      <w:r w:rsidRPr="00170D3A">
        <w:rPr>
          <w:rFonts w:ascii="Times New Roman" w:hAnsi="Times New Roman" w:cs="Times New Roman"/>
          <w:bCs/>
          <w:color w:val="262626"/>
          <w:lang w:val="en-US"/>
        </w:rPr>
        <w:t>In the period September 2016 – December 2016 the retirement age is 66 years for men and 61 years for women.</w:t>
      </w:r>
    </w:p>
    <w:p w14:paraId="4E759BB1" w14:textId="77777777" w:rsidR="00EF5584" w:rsidRPr="00170D3A" w:rsidRDefault="00EF5584" w:rsidP="00170D3A">
      <w:pPr>
        <w:spacing w:before="120" w:after="120" w:line="276" w:lineRule="auto"/>
        <w:jc w:val="both"/>
        <w:rPr>
          <w:rFonts w:ascii="Times New Roman" w:hAnsi="Times New Roman" w:cs="Times New Roman"/>
          <w:bCs/>
          <w:color w:val="262626"/>
          <w:lang w:val="en-US"/>
        </w:rPr>
      </w:pPr>
      <w:r w:rsidRPr="00170D3A">
        <w:rPr>
          <w:rFonts w:ascii="Times New Roman" w:hAnsi="Times New Roman" w:cs="Times New Roman"/>
          <w:bCs/>
          <w:color w:val="262626"/>
          <w:lang w:val="en-US"/>
        </w:rPr>
        <w:t>The retirement age of 67 years is applicable to women born after 30 September 1973 and men born after 30 September 1953.</w:t>
      </w:r>
    </w:p>
    <w:p w14:paraId="62DEAFD4" w14:textId="22697366" w:rsidR="00EF5584" w:rsidRPr="00E71A66" w:rsidRDefault="00EF5584" w:rsidP="00170D3A">
      <w:pPr>
        <w:spacing w:before="120" w:after="120" w:line="276" w:lineRule="auto"/>
        <w:jc w:val="both"/>
        <w:rPr>
          <w:rFonts w:ascii="Times New Roman" w:hAnsi="Times New Roman" w:cs="Times New Roman"/>
          <w:bCs/>
          <w:color w:val="262626"/>
          <w:lang w:val="en-US"/>
        </w:rPr>
      </w:pPr>
      <w:r w:rsidRPr="00170D3A">
        <w:rPr>
          <w:rFonts w:ascii="Times New Roman" w:hAnsi="Times New Roman" w:cs="Times New Roman"/>
          <w:bCs/>
          <w:color w:val="262626"/>
          <w:lang w:val="en-US"/>
        </w:rPr>
        <w:t xml:space="preserve">Since 2013, apart from the standard old-age pension, the law allows people born after 31 December 1948 who have not reached the statutory retirement age, to take advantage of the so-called partial old-age pension. It is designed for persons who have completed long periods of insurance: 40 years </w:t>
      </w:r>
      <w:r w:rsidRPr="00170D3A">
        <w:rPr>
          <w:rFonts w:ascii="Times New Roman" w:hAnsi="Times New Roman" w:cs="Times New Roman"/>
          <w:bCs/>
          <w:color w:val="262626"/>
          <w:lang w:val="en-US"/>
        </w:rPr>
        <w:lastRenderedPageBreak/>
        <w:t>in case of men and 35 years in case of women and reached the age of 65 years – men and 62 years – women. This benefit can be received without termination of employment, however it level is calculated as a half of the standard old-age pension calculated for that moment. So far, only men could have applied for this benefit, as the standard retirement age for women is still lower than 62 years.</w:t>
      </w:r>
    </w:p>
    <w:p w14:paraId="140C3348" w14:textId="77777777" w:rsidR="00EF5584" w:rsidRPr="00170D3A" w:rsidRDefault="00EF5584" w:rsidP="00170D3A">
      <w:pPr>
        <w:spacing w:before="120" w:after="120" w:line="276" w:lineRule="auto"/>
        <w:jc w:val="both"/>
        <w:rPr>
          <w:rFonts w:ascii="Times New Roman" w:hAnsi="Times New Roman" w:cs="Times New Roman"/>
          <w:b/>
          <w:bCs/>
          <w:color w:val="262626"/>
          <w:lang w:val="en-US"/>
        </w:rPr>
      </w:pPr>
      <w:r w:rsidRPr="00170D3A">
        <w:rPr>
          <w:rFonts w:ascii="Times New Roman" w:hAnsi="Times New Roman" w:cs="Times New Roman"/>
          <w:b/>
          <w:bCs/>
          <w:color w:val="262626"/>
          <w:lang w:val="en-US"/>
        </w:rPr>
        <w:t xml:space="preserve">Benefit calculation </w:t>
      </w:r>
    </w:p>
    <w:p w14:paraId="33180DC6" w14:textId="77777777" w:rsidR="00EF5584" w:rsidRPr="00170D3A" w:rsidRDefault="00EF5584" w:rsidP="00170D3A">
      <w:pPr>
        <w:spacing w:before="120" w:after="120" w:line="276" w:lineRule="auto"/>
        <w:jc w:val="both"/>
        <w:rPr>
          <w:rFonts w:ascii="Times New Roman" w:hAnsi="Times New Roman" w:cs="Times New Roman"/>
          <w:bCs/>
          <w:color w:val="262626"/>
          <w:lang w:val="en-US"/>
        </w:rPr>
      </w:pPr>
      <w:r w:rsidRPr="00170D3A">
        <w:rPr>
          <w:rFonts w:ascii="Times New Roman" w:hAnsi="Times New Roman" w:cs="Times New Roman"/>
          <w:bCs/>
          <w:color w:val="262626"/>
          <w:lang w:val="en-US"/>
        </w:rPr>
        <w:t xml:space="preserve">The amount of old-age pension according to new rules is equivalent in value to the sum of the indexed contributions for old-age pension insurance paid after 1998, the sum of indexed initial capital (if applicable) as well as the sum of contributions credited to the subaccount, divided by the average life expectancy for persons of the same age as the individual applying for an old-age pension expressed in months. </w:t>
      </w:r>
    </w:p>
    <w:p w14:paraId="3CD53CBF" w14:textId="77777777" w:rsidR="00EF5584" w:rsidRPr="00170D3A" w:rsidRDefault="00EF5584" w:rsidP="00170D3A">
      <w:pPr>
        <w:spacing w:before="120" w:after="120" w:line="276" w:lineRule="auto"/>
        <w:jc w:val="both"/>
        <w:rPr>
          <w:rFonts w:ascii="Times New Roman" w:hAnsi="Times New Roman" w:cs="Times New Roman"/>
          <w:bCs/>
          <w:color w:val="262626"/>
          <w:lang w:val="en-US"/>
        </w:rPr>
      </w:pPr>
      <w:r w:rsidRPr="00170D3A">
        <w:rPr>
          <w:rFonts w:ascii="Times New Roman" w:hAnsi="Times New Roman" w:cs="Times New Roman"/>
          <w:bCs/>
          <w:color w:val="262626"/>
          <w:lang w:val="en-US"/>
        </w:rPr>
        <w:t xml:space="preserve">Amount of sum of partial old-age pensions collected is deducted from the account in ZUS before calculating the standard old-age pension.  </w:t>
      </w:r>
    </w:p>
    <w:p w14:paraId="15281B81" w14:textId="427CC6D4" w:rsidR="00EF5584" w:rsidRPr="00E71A66" w:rsidRDefault="00EF5584" w:rsidP="00E71A66">
      <w:pPr>
        <w:spacing w:before="120" w:after="120" w:line="276" w:lineRule="auto"/>
        <w:jc w:val="both"/>
        <w:rPr>
          <w:rFonts w:ascii="Times New Roman" w:hAnsi="Times New Roman" w:cs="Times New Roman"/>
          <w:bCs/>
          <w:color w:val="262626"/>
          <w:lang w:val="en-US"/>
        </w:rPr>
      </w:pPr>
      <w:r w:rsidRPr="00170D3A">
        <w:rPr>
          <w:rFonts w:ascii="Times New Roman" w:hAnsi="Times New Roman" w:cs="Times New Roman"/>
          <w:bCs/>
          <w:color w:val="262626"/>
          <w:lang w:val="en-US"/>
        </w:rPr>
        <w:t xml:space="preserve">The initial capital has been introduced to account for a contributory period completed before the day of entry into force of the pension </w:t>
      </w:r>
      <w:proofErr w:type="gramStart"/>
      <w:r w:rsidRPr="00170D3A">
        <w:rPr>
          <w:rFonts w:ascii="Times New Roman" w:hAnsi="Times New Roman" w:cs="Times New Roman"/>
          <w:bCs/>
          <w:color w:val="262626"/>
          <w:lang w:val="en-US"/>
        </w:rPr>
        <w:t>reform, that</w:t>
      </w:r>
      <w:proofErr w:type="gramEnd"/>
      <w:r w:rsidRPr="00170D3A">
        <w:rPr>
          <w:rFonts w:ascii="Times New Roman" w:hAnsi="Times New Roman" w:cs="Times New Roman"/>
          <w:bCs/>
          <w:color w:val="262626"/>
          <w:lang w:val="en-US"/>
        </w:rPr>
        <w:t xml:space="preserve"> is before 1 January 1999. It is calculated for each insured person born after 31 December 1948 who had been paying – before 1999 – a contribution to social insurance or for whom such a contribution had been paid by the contribution payer. For each of these persons a hypothetical old-age pension is calculated, which the person concerned would have received on 1 January 1999.The amount of the hypothetical old-age pension is calculated under the earlier rules. A total amount is multiplied by the average life expectancy for women and men at the age of 62 years recorded in year 1998, which equals 209 months. The amount calculated in this way constitutes the value of the initial capital as of 1 January 1999.This is credited to the insured person’s account and is subject to annual indexation up to the moment of retirement, which is carried out under the same rules as the indexation of the old-age pension contributions. </w:t>
      </w:r>
    </w:p>
    <w:p w14:paraId="3EB3E7F9" w14:textId="77777777" w:rsidR="00EF5584" w:rsidRPr="00170D3A" w:rsidRDefault="00EF5584" w:rsidP="00170D3A">
      <w:pPr>
        <w:spacing w:before="120" w:line="276" w:lineRule="auto"/>
        <w:jc w:val="both"/>
        <w:rPr>
          <w:rFonts w:ascii="Times New Roman" w:hAnsi="Times New Roman" w:cs="Times New Roman"/>
          <w:b/>
          <w:lang w:val="en-US" w:eastAsia="pl-PL"/>
        </w:rPr>
      </w:pPr>
      <w:r w:rsidRPr="00170D3A">
        <w:rPr>
          <w:rFonts w:ascii="Times New Roman" w:hAnsi="Times New Roman" w:cs="Times New Roman"/>
          <w:b/>
          <w:lang w:val="en-US" w:eastAsia="pl-PL"/>
        </w:rPr>
        <w:t>Minimum pensions provision</w:t>
      </w:r>
    </w:p>
    <w:p w14:paraId="16D71992" w14:textId="77777777" w:rsidR="00EF5584" w:rsidRPr="00170D3A" w:rsidRDefault="00EF5584" w:rsidP="00170D3A">
      <w:pPr>
        <w:spacing w:before="120" w:line="276" w:lineRule="auto"/>
        <w:jc w:val="both"/>
        <w:rPr>
          <w:rFonts w:ascii="Times New Roman" w:hAnsi="Times New Roman" w:cs="Times New Roman"/>
          <w:lang w:val="en-US" w:eastAsia="pl-PL"/>
        </w:rPr>
      </w:pPr>
      <w:r w:rsidRPr="00170D3A">
        <w:rPr>
          <w:rFonts w:ascii="Times New Roman" w:hAnsi="Times New Roman" w:cs="Times New Roman"/>
          <w:lang w:val="en-US" w:eastAsia="pl-PL"/>
        </w:rPr>
        <w:t>The old-age pension is brought up to the amount of the minimum benefit if the insured person:</w:t>
      </w:r>
    </w:p>
    <w:p w14:paraId="54FCAEE9" w14:textId="77777777" w:rsidR="00EF5584" w:rsidRPr="00170D3A" w:rsidRDefault="00EF5584" w:rsidP="00170D3A">
      <w:pPr>
        <w:pStyle w:val="ListParagraph"/>
        <w:numPr>
          <w:ilvl w:val="0"/>
          <w:numId w:val="21"/>
        </w:numPr>
        <w:spacing w:before="120" w:after="120" w:line="276" w:lineRule="auto"/>
        <w:jc w:val="both"/>
        <w:rPr>
          <w:rFonts w:ascii="Times New Roman" w:hAnsi="Times New Roman" w:cs="Times New Roman"/>
          <w:bCs/>
          <w:color w:val="262626"/>
          <w:lang w:val="en-US"/>
        </w:rPr>
      </w:pPr>
      <w:proofErr w:type="gramStart"/>
      <w:r w:rsidRPr="00170D3A">
        <w:rPr>
          <w:rFonts w:ascii="Times New Roman" w:hAnsi="Times New Roman" w:cs="Times New Roman"/>
          <w:bCs/>
          <w:color w:val="262626"/>
          <w:lang w:val="en-US"/>
        </w:rPr>
        <w:t>being</w:t>
      </w:r>
      <w:proofErr w:type="gramEnd"/>
      <w:r w:rsidRPr="00170D3A">
        <w:rPr>
          <w:rFonts w:ascii="Times New Roman" w:hAnsi="Times New Roman" w:cs="Times New Roman"/>
          <w:bCs/>
          <w:color w:val="262626"/>
          <w:lang w:val="en-US"/>
        </w:rPr>
        <w:t xml:space="preserve"> a man – has reached the statutory retirement age and has completed a contributory and non-contributory period of at least 25 years,</w:t>
      </w:r>
    </w:p>
    <w:p w14:paraId="2AA5E1A5" w14:textId="1ECD384C" w:rsidR="00EF5584" w:rsidRPr="00E71A66" w:rsidRDefault="00EF5584" w:rsidP="00170D3A">
      <w:pPr>
        <w:pStyle w:val="ListParagraph"/>
        <w:numPr>
          <w:ilvl w:val="0"/>
          <w:numId w:val="21"/>
        </w:numPr>
        <w:spacing w:before="120" w:after="120" w:line="276" w:lineRule="auto"/>
        <w:jc w:val="both"/>
        <w:rPr>
          <w:rFonts w:ascii="Times New Roman" w:hAnsi="Times New Roman" w:cs="Times New Roman"/>
          <w:bCs/>
          <w:color w:val="262626"/>
          <w:lang w:val="en-US"/>
        </w:rPr>
      </w:pPr>
      <w:proofErr w:type="gramStart"/>
      <w:r w:rsidRPr="00170D3A">
        <w:rPr>
          <w:rFonts w:ascii="Times New Roman" w:hAnsi="Times New Roman" w:cs="Times New Roman"/>
          <w:bCs/>
          <w:color w:val="262626"/>
          <w:lang w:val="en-US"/>
        </w:rPr>
        <w:t>being</w:t>
      </w:r>
      <w:proofErr w:type="gramEnd"/>
      <w:r w:rsidRPr="00170D3A">
        <w:rPr>
          <w:rFonts w:ascii="Times New Roman" w:hAnsi="Times New Roman" w:cs="Times New Roman"/>
          <w:bCs/>
          <w:color w:val="262626"/>
          <w:lang w:val="en-US"/>
        </w:rPr>
        <w:t xml:space="preserve"> a woman – has reached the statutory retirement age and has completed a contributory and non-contributory period of at least 22 years (increasing by 1 year every two years to reach 25 years in 2022).</w:t>
      </w:r>
    </w:p>
    <w:p w14:paraId="38CE39DA" w14:textId="77777777" w:rsidR="00EF5584" w:rsidRPr="00170D3A" w:rsidRDefault="00EF5584" w:rsidP="00170D3A">
      <w:pPr>
        <w:spacing w:before="120" w:after="120" w:line="276" w:lineRule="auto"/>
        <w:jc w:val="both"/>
        <w:rPr>
          <w:rFonts w:ascii="Times New Roman" w:hAnsi="Times New Roman" w:cs="Times New Roman"/>
          <w:b/>
          <w:bCs/>
          <w:color w:val="262626"/>
          <w:lang w:val="en-US"/>
        </w:rPr>
      </w:pPr>
      <w:r w:rsidRPr="00170D3A">
        <w:rPr>
          <w:rFonts w:ascii="Times New Roman" w:hAnsi="Times New Roman" w:cs="Times New Roman"/>
          <w:b/>
          <w:bCs/>
          <w:color w:val="262626"/>
          <w:lang w:val="en-US"/>
        </w:rPr>
        <w:t>Limitations on payment</w:t>
      </w:r>
    </w:p>
    <w:p w14:paraId="1E830F5D" w14:textId="41F5844A" w:rsidR="00EF5584" w:rsidRDefault="00EF5584" w:rsidP="00170D3A">
      <w:pPr>
        <w:spacing w:before="120" w:after="120" w:line="276" w:lineRule="auto"/>
        <w:jc w:val="both"/>
        <w:rPr>
          <w:rFonts w:ascii="Times New Roman" w:hAnsi="Times New Roman" w:cs="Times New Roman"/>
          <w:bCs/>
          <w:color w:val="262626"/>
          <w:lang w:val="en-US"/>
        </w:rPr>
      </w:pPr>
      <w:r w:rsidRPr="00170D3A">
        <w:rPr>
          <w:rFonts w:ascii="Times New Roman" w:hAnsi="Times New Roman" w:cs="Times New Roman"/>
          <w:bCs/>
          <w:color w:val="262626"/>
          <w:lang w:val="en-US"/>
        </w:rPr>
        <w:t xml:space="preserve">After reaching the standard retirement age, old-age pension can be combined with earnings from work without any restrictions. However, if a pensioner is younger than the standard pensionable age, his/her pension is reduced when the earnings are between 70 percent and 130 percent of average age and completely suspended when earnings are higher than 130 percent of the average. </w:t>
      </w:r>
    </w:p>
    <w:p w14:paraId="24F13176" w14:textId="77777777" w:rsidR="00EF5584" w:rsidRPr="00170D3A" w:rsidRDefault="00EF5584" w:rsidP="00170D3A">
      <w:pPr>
        <w:spacing w:before="120" w:after="120" w:line="276" w:lineRule="auto"/>
        <w:jc w:val="both"/>
        <w:rPr>
          <w:rFonts w:ascii="Times New Roman" w:hAnsi="Times New Roman" w:cs="Times New Roman"/>
          <w:b/>
          <w:bCs/>
          <w:color w:val="262626"/>
          <w:lang w:val="en-US"/>
        </w:rPr>
      </w:pPr>
      <w:bookmarkStart w:id="0" w:name="_GoBack"/>
      <w:bookmarkEnd w:id="0"/>
      <w:r w:rsidRPr="00170D3A">
        <w:rPr>
          <w:rFonts w:ascii="Times New Roman" w:hAnsi="Times New Roman" w:cs="Times New Roman"/>
          <w:b/>
          <w:bCs/>
          <w:color w:val="262626"/>
          <w:lang w:val="en-US"/>
        </w:rPr>
        <w:t>Indexation</w:t>
      </w:r>
    </w:p>
    <w:p w14:paraId="1D63A4CB" w14:textId="0AF40615" w:rsidR="00EF5584" w:rsidRPr="00170D3A" w:rsidRDefault="00EF5584" w:rsidP="00170D3A">
      <w:pPr>
        <w:spacing w:before="120" w:after="120" w:line="276" w:lineRule="auto"/>
        <w:jc w:val="both"/>
        <w:rPr>
          <w:rFonts w:ascii="Times New Roman" w:hAnsi="Times New Roman" w:cs="Times New Roman"/>
          <w:bCs/>
          <w:color w:val="262626"/>
          <w:lang w:val="en-US"/>
        </w:rPr>
      </w:pPr>
      <w:r w:rsidRPr="00170D3A">
        <w:rPr>
          <w:rFonts w:ascii="Times New Roman" w:hAnsi="Times New Roman" w:cs="Times New Roman"/>
          <w:bCs/>
          <w:color w:val="262626"/>
          <w:lang w:val="en-US"/>
        </w:rPr>
        <w:t>Pensions in payment are indexed once a year based on, whichever is higher, the general or pensioner households' consumer price index topped up by at least 20 percent of real growth of average earnings in the previous year.</w:t>
      </w:r>
    </w:p>
    <w:p w14:paraId="12B5BC84" w14:textId="77777777" w:rsidR="00EF5584" w:rsidRPr="00170D3A" w:rsidRDefault="00EF5584" w:rsidP="00170D3A">
      <w:pPr>
        <w:spacing w:before="120" w:after="120" w:line="276" w:lineRule="auto"/>
        <w:jc w:val="both"/>
        <w:rPr>
          <w:rFonts w:ascii="Times New Roman" w:hAnsi="Times New Roman" w:cs="Times New Roman"/>
          <w:b/>
          <w:bCs/>
          <w:color w:val="262626"/>
          <w:lang w:val="en-US"/>
        </w:rPr>
      </w:pPr>
      <w:r w:rsidRPr="00170D3A">
        <w:rPr>
          <w:rFonts w:ascii="Times New Roman" w:hAnsi="Times New Roman" w:cs="Times New Roman"/>
          <w:b/>
          <w:bCs/>
          <w:color w:val="262626"/>
          <w:lang w:val="en-US"/>
        </w:rPr>
        <w:lastRenderedPageBreak/>
        <w:t>Possible changes</w:t>
      </w:r>
    </w:p>
    <w:p w14:paraId="610DD357" w14:textId="77777777" w:rsidR="00EF5584" w:rsidRPr="00170D3A" w:rsidRDefault="00EF5584" w:rsidP="00170D3A">
      <w:pPr>
        <w:spacing w:before="120" w:after="120" w:line="276" w:lineRule="auto"/>
        <w:jc w:val="both"/>
        <w:rPr>
          <w:rFonts w:ascii="Times New Roman" w:hAnsi="Times New Roman" w:cs="Times New Roman"/>
          <w:bCs/>
          <w:color w:val="262626"/>
          <w:lang w:val="en-US"/>
        </w:rPr>
      </w:pPr>
      <w:r w:rsidRPr="00170D3A">
        <w:rPr>
          <w:rFonts w:ascii="Times New Roman" w:hAnsi="Times New Roman" w:cs="Times New Roman"/>
          <w:bCs/>
          <w:color w:val="262626"/>
          <w:lang w:val="en-US"/>
        </w:rPr>
        <w:t xml:space="preserve">By the end of 2016 Polish government is obliged to conduct two reviews of pension system. One is related to introducing voluntary character of open pension funds, and it will be focused on functioning of the funded component of the system. The other, stemming from regulation which launched the increasing of retirement age, will be more broad and will touch several issues within social insurance system, inter alia: indexation (especially under deflation - when the indexation rate is very low), level of minimum pensions and conditions for obtaining old-age pensions - with the focus on retirement age. </w:t>
      </w:r>
    </w:p>
    <w:p w14:paraId="6A71A411" w14:textId="77777777" w:rsidR="00EF5584" w:rsidRPr="00170D3A" w:rsidRDefault="00EF5584" w:rsidP="00170D3A">
      <w:pPr>
        <w:spacing w:before="120" w:after="120" w:line="276" w:lineRule="auto"/>
        <w:jc w:val="both"/>
        <w:rPr>
          <w:rFonts w:ascii="Times New Roman" w:hAnsi="Times New Roman" w:cs="Times New Roman"/>
          <w:bCs/>
          <w:color w:val="262626"/>
          <w:lang w:val="en-US"/>
        </w:rPr>
      </w:pPr>
      <w:r w:rsidRPr="00170D3A">
        <w:rPr>
          <w:rFonts w:ascii="Times New Roman" w:hAnsi="Times New Roman" w:cs="Times New Roman"/>
          <w:bCs/>
          <w:color w:val="262626"/>
          <w:lang w:val="en-US"/>
        </w:rPr>
        <w:t xml:space="preserve">The discussions on retirement age are also connected with presidential bill on lowering retirement age passed to Polish parliament. </w:t>
      </w:r>
    </w:p>
    <w:p w14:paraId="24B01CDC" w14:textId="77777777" w:rsidR="00EF5584" w:rsidRPr="00170D3A" w:rsidRDefault="00EF5584" w:rsidP="00170D3A">
      <w:pPr>
        <w:spacing w:before="120" w:after="120" w:line="276" w:lineRule="auto"/>
        <w:jc w:val="both"/>
        <w:rPr>
          <w:rFonts w:ascii="Times New Roman" w:hAnsi="Times New Roman" w:cs="Times New Roman"/>
          <w:bCs/>
          <w:color w:val="262626"/>
          <w:lang w:val="en-US"/>
        </w:rPr>
      </w:pPr>
      <w:r w:rsidRPr="00170D3A">
        <w:rPr>
          <w:rFonts w:ascii="Times New Roman" w:hAnsi="Times New Roman" w:cs="Times New Roman"/>
          <w:bCs/>
          <w:color w:val="262626"/>
          <w:lang w:val="en-US"/>
        </w:rPr>
        <w:t xml:space="preserve">The outcomes of these reviews will be subject to extensive discussions with social partners and other stakeholders, and then will constitute basis for further reforms.    </w:t>
      </w:r>
    </w:p>
    <w:p w14:paraId="134FE0FE" w14:textId="77777777" w:rsidR="00EF5584" w:rsidRPr="00170D3A" w:rsidRDefault="00EF5584" w:rsidP="00170D3A">
      <w:pPr>
        <w:spacing w:line="276" w:lineRule="auto"/>
        <w:rPr>
          <w:rFonts w:ascii="Times New Roman" w:hAnsi="Times New Roman" w:cs="Times New Roman"/>
          <w:lang w:val="en-US"/>
        </w:rPr>
      </w:pPr>
    </w:p>
    <w:p w14:paraId="4D60A3B8" w14:textId="77777777" w:rsidR="007B28B8" w:rsidRPr="00170D3A" w:rsidRDefault="007B28B8" w:rsidP="00170D3A">
      <w:pPr>
        <w:pStyle w:val="NormalWeb"/>
        <w:spacing w:line="276" w:lineRule="auto"/>
        <w:jc w:val="both"/>
        <w:rPr>
          <w:rFonts w:ascii="Times New Roman" w:hAnsi="Times New Roman"/>
          <w:b/>
          <w:sz w:val="24"/>
          <w:szCs w:val="24"/>
          <w:lang w:val="en-AU"/>
        </w:rPr>
      </w:pPr>
    </w:p>
    <w:p w14:paraId="7C06D3A0" w14:textId="74552088" w:rsidR="005A525A" w:rsidRPr="00170D3A" w:rsidRDefault="005A525A" w:rsidP="00170D3A">
      <w:pPr>
        <w:spacing w:line="276" w:lineRule="auto"/>
        <w:rPr>
          <w:rFonts w:ascii="Times New Roman" w:hAnsi="Times New Roman" w:cs="Times New Roman"/>
          <w:lang w:val="en-GB"/>
        </w:rPr>
      </w:pPr>
    </w:p>
    <w:sectPr w:rsidR="005A525A" w:rsidRPr="00170D3A" w:rsidSect="00595350">
      <w:footerReference w:type="even" r:id="rId13"/>
      <w:footerReference w:type="default" r:id="rId14"/>
      <w:pgSz w:w="11900" w:h="16840"/>
      <w:pgMar w:top="1440" w:right="985" w:bottom="851" w:left="1276"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24F6E94" w15:done="0"/>
  <w15:commentEx w15:paraId="346DFE96" w15:done="0"/>
  <w15:commentEx w15:paraId="28C720C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924E52" w14:textId="77777777" w:rsidR="00E31CC5" w:rsidRDefault="00E31CC5" w:rsidP="003E3104">
      <w:r>
        <w:separator/>
      </w:r>
    </w:p>
  </w:endnote>
  <w:endnote w:type="continuationSeparator" w:id="0">
    <w:p w14:paraId="3ECE9F9A" w14:textId="77777777" w:rsidR="00E31CC5" w:rsidRDefault="00E31CC5" w:rsidP="003E3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SimSun">
    <w:altName w:val="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19F2A" w14:textId="77777777" w:rsidR="00595350" w:rsidRDefault="00595350" w:rsidP="004528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03D0F1" w14:textId="77777777" w:rsidR="00595350" w:rsidRDefault="00595350" w:rsidP="0045280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96D4A" w14:textId="77777777" w:rsidR="00595350" w:rsidRDefault="00595350" w:rsidP="004528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23706">
      <w:rPr>
        <w:rStyle w:val="PageNumber"/>
        <w:noProof/>
      </w:rPr>
      <w:t>2</w:t>
    </w:r>
    <w:r>
      <w:rPr>
        <w:rStyle w:val="PageNumber"/>
      </w:rPr>
      <w:fldChar w:fldCharType="end"/>
    </w:r>
  </w:p>
  <w:p w14:paraId="05127D70" w14:textId="77777777" w:rsidR="00595350" w:rsidRDefault="00595350" w:rsidP="0045280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9A35CC" w14:textId="77777777" w:rsidR="00E31CC5" w:rsidRDefault="00E31CC5" w:rsidP="003E3104">
      <w:r>
        <w:separator/>
      </w:r>
    </w:p>
  </w:footnote>
  <w:footnote w:type="continuationSeparator" w:id="0">
    <w:p w14:paraId="7260BD2D" w14:textId="77777777" w:rsidR="00E31CC5" w:rsidRDefault="00E31CC5" w:rsidP="003E3104">
      <w:r>
        <w:continuationSeparator/>
      </w:r>
    </w:p>
  </w:footnote>
  <w:footnote w:id="1">
    <w:p w14:paraId="02505F5E" w14:textId="760DC442" w:rsidR="0073574E" w:rsidRPr="0073574E" w:rsidRDefault="0073574E">
      <w:pPr>
        <w:pStyle w:val="FootnoteText"/>
        <w:rPr>
          <w:lang w:val="en-US"/>
        </w:rPr>
      </w:pPr>
      <w:r>
        <w:rPr>
          <w:rStyle w:val="FootnoteReference"/>
        </w:rPr>
        <w:footnoteRef/>
      </w:r>
      <w:r>
        <w:t xml:space="preserve"> </w:t>
      </w:r>
      <w:r>
        <w:rPr>
          <w:lang w:val="en-US"/>
        </w:rPr>
        <w:t>Pola</w:t>
      </w:r>
      <w:r w:rsidR="00007D72">
        <w:rPr>
          <w:lang w:val="en-US"/>
        </w:rPr>
        <w:t xml:space="preserve">nd is divided into </w:t>
      </w:r>
      <w:r>
        <w:rPr>
          <w:lang w:val="en-US"/>
        </w:rPr>
        <w:t>provinces (</w:t>
      </w:r>
      <w:proofErr w:type="spellStart"/>
      <w:r>
        <w:rPr>
          <w:lang w:val="en-US"/>
        </w:rPr>
        <w:t>voivodeships</w:t>
      </w:r>
      <w:proofErr w:type="spellEnd"/>
      <w:r>
        <w:rPr>
          <w:lang w:val="en-US"/>
        </w:rPr>
        <w:t xml:space="preserve">). Each </w:t>
      </w:r>
      <w:proofErr w:type="spellStart"/>
      <w:r>
        <w:rPr>
          <w:lang w:val="en-US"/>
        </w:rPr>
        <w:t>voivodeship</w:t>
      </w:r>
      <w:proofErr w:type="spellEnd"/>
      <w:r>
        <w:rPr>
          <w:lang w:val="en-US"/>
        </w:rPr>
        <w:t xml:space="preserve"> counts several </w:t>
      </w:r>
      <w:proofErr w:type="spellStart"/>
      <w:r>
        <w:rPr>
          <w:lang w:val="en-US"/>
        </w:rPr>
        <w:t>poviat</w:t>
      </w:r>
      <w:proofErr w:type="spellEnd"/>
      <w:r>
        <w:rPr>
          <w:lang w:val="en-US"/>
        </w:rPr>
        <w:t xml:space="preserve"> (counties) and each </w:t>
      </w:r>
      <w:proofErr w:type="spellStart"/>
      <w:r>
        <w:rPr>
          <w:lang w:val="en-US"/>
        </w:rPr>
        <w:t>poviat</w:t>
      </w:r>
      <w:proofErr w:type="spellEnd"/>
      <w:r>
        <w:rPr>
          <w:lang w:val="en-US"/>
        </w:rPr>
        <w:t xml:space="preserve"> several </w:t>
      </w:r>
      <w:proofErr w:type="spellStart"/>
      <w:r>
        <w:rPr>
          <w:lang w:val="en-US"/>
        </w:rPr>
        <w:t>gminas</w:t>
      </w:r>
      <w:proofErr w:type="spellEnd"/>
      <w:r>
        <w:rPr>
          <w:lang w:val="en-US"/>
        </w:rPr>
        <w:t xml:space="preserve"> (communes).</w:t>
      </w:r>
    </w:p>
  </w:footnote>
  <w:footnote w:id="2">
    <w:p w14:paraId="74C1287B" w14:textId="00D1C886" w:rsidR="0073574E" w:rsidRPr="0073574E" w:rsidRDefault="0073574E">
      <w:pPr>
        <w:pStyle w:val="FootnoteText"/>
        <w:rPr>
          <w:lang w:val="en-US"/>
        </w:rPr>
      </w:pPr>
      <w:r>
        <w:rPr>
          <w:rStyle w:val="FootnoteReference"/>
        </w:rPr>
        <w:footnoteRef/>
      </w:r>
      <w:r>
        <w:t xml:space="preserve"> </w:t>
      </w:r>
      <w:r>
        <w:rPr>
          <w:lang w:val="en-US"/>
        </w:rPr>
        <w:t xml:space="preserve">One </w:t>
      </w:r>
      <w:proofErr w:type="spellStart"/>
      <w:r>
        <w:rPr>
          <w:lang w:val="en-US"/>
        </w:rPr>
        <w:t>PLN</w:t>
      </w:r>
      <w:proofErr w:type="spellEnd"/>
      <w:r>
        <w:rPr>
          <w:lang w:val="en-US"/>
        </w:rPr>
        <w:t xml:space="preserve"> (Polish zloty) was worth </w:t>
      </w:r>
      <w:proofErr w:type="gramStart"/>
      <w:r>
        <w:rPr>
          <w:lang w:val="en-US"/>
        </w:rPr>
        <w:t>23 euro</w:t>
      </w:r>
      <w:proofErr w:type="gramEnd"/>
      <w:r>
        <w:rPr>
          <w:lang w:val="en-US"/>
        </w:rPr>
        <w:t xml:space="preserve"> cents or 1.75 RMB </w:t>
      </w:r>
      <w:proofErr w:type="spellStart"/>
      <w:r>
        <w:rPr>
          <w:lang w:val="en-US"/>
        </w:rPr>
        <w:t>yuan</w:t>
      </w:r>
      <w:proofErr w:type="spellEnd"/>
      <w:r>
        <w:rPr>
          <w:lang w:val="en-US"/>
        </w:rPr>
        <w:t xml:space="preserve"> in August 2016. </w:t>
      </w:r>
    </w:p>
  </w:footnote>
  <w:footnote w:id="3">
    <w:p w14:paraId="269F2FD1" w14:textId="77777777" w:rsidR="00A0413B" w:rsidRPr="00C507C0" w:rsidRDefault="00A0413B" w:rsidP="00A0413B">
      <w:pPr>
        <w:pStyle w:val="FootnoteText"/>
        <w:jc w:val="both"/>
        <w:rPr>
          <w:sz w:val="20"/>
          <w:szCs w:val="20"/>
        </w:rPr>
      </w:pPr>
      <w:r>
        <w:rPr>
          <w:rStyle w:val="FootnoteReference"/>
          <w:sz w:val="20"/>
          <w:szCs w:val="20"/>
          <w:lang w:val="en-GB"/>
        </w:rPr>
        <w:footnoteRef/>
      </w:r>
      <w:r>
        <w:rPr>
          <w:sz w:val="20"/>
          <w:szCs w:val="20"/>
          <w:lang w:val="en-GB"/>
        </w:rPr>
        <w:t xml:space="preserve"> </w:t>
      </w:r>
      <w:r>
        <w:rPr>
          <w:rFonts w:ascii="Times New Roman" w:hAnsi="Times New Roman"/>
          <w:sz w:val="20"/>
          <w:szCs w:val="20"/>
          <w:lang w:val="en-GB"/>
        </w:rPr>
        <w:t xml:space="preserve">According to the Act on Employment Promotion and Labour Market Institutions, on 1 June each year the President of the Central Statistical Office performs valorisation of the amount of the unemployment benefit, taking into account the average price level for goods and services from the previous year. However, the valorisation is not conducted where the average price level for goods and services from the previous year remains unchanged or decreases. This was the case in 2014–2015, in 2014 the price level remained unchanged compared with the previous year and in 2015 a deflation of 0.9% was noted. This means that the current benefit amount will be applicable at least </w:t>
      </w:r>
      <w:proofErr w:type="gramStart"/>
      <w:r>
        <w:rPr>
          <w:rFonts w:ascii="Times New Roman" w:hAnsi="Times New Roman"/>
          <w:sz w:val="20"/>
          <w:szCs w:val="20"/>
          <w:lang w:val="en-GB"/>
        </w:rPr>
        <w:t>until 31 May 2017 r</w:t>
      </w:r>
      <w:proofErr w:type="gramEnd"/>
      <w:r>
        <w:rPr>
          <w:rFonts w:ascii="Times New Roman" w:hAnsi="Times New Roman"/>
          <w:sz w:val="20"/>
          <w:szCs w:val="20"/>
          <w:lang w:val="en-GB"/>
        </w:rPr>
        <w:t>.</w:t>
      </w:r>
    </w:p>
  </w:footnote>
  <w:footnote w:id="4">
    <w:p w14:paraId="72B38B66" w14:textId="77777777" w:rsidR="009A276D" w:rsidRPr="00BD4E72" w:rsidRDefault="009A276D" w:rsidP="009A276D">
      <w:pPr>
        <w:pStyle w:val="FootnoteText"/>
        <w:rPr>
          <w:sz w:val="20"/>
          <w:szCs w:val="20"/>
        </w:rPr>
      </w:pPr>
      <w:r>
        <w:rPr>
          <w:rStyle w:val="FootnoteReference"/>
          <w:sz w:val="20"/>
          <w:szCs w:val="20"/>
          <w:lang w:val="en-GB"/>
        </w:rPr>
        <w:footnoteRef/>
      </w:r>
      <w:r>
        <w:rPr>
          <w:sz w:val="20"/>
          <w:szCs w:val="20"/>
          <w:lang w:val="en-GB"/>
        </w:rPr>
        <w:t xml:space="preserve"> On the basis of updated guidelines concerning forecasted macroeconomic indicators of the MF.</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9C161EB"/>
    <w:multiLevelType w:val="multilevel"/>
    <w:tmpl w:val="8444B0D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C195474"/>
    <w:multiLevelType w:val="hybridMultilevel"/>
    <w:tmpl w:val="5BCC0176"/>
    <w:lvl w:ilvl="0" w:tplc="86B417B6">
      <w:start w:val="1"/>
      <w:numFmt w:val="bullet"/>
      <w:lvlText w:val="•"/>
      <w:lvlJc w:val="left"/>
      <w:pPr>
        <w:tabs>
          <w:tab w:val="num" w:pos="720"/>
        </w:tabs>
        <w:ind w:left="720" w:hanging="360"/>
      </w:pPr>
      <w:rPr>
        <w:rFonts w:ascii="Arial" w:hAnsi="Arial" w:hint="default"/>
      </w:rPr>
    </w:lvl>
    <w:lvl w:ilvl="1" w:tplc="23A83C5A" w:tentative="1">
      <w:start w:val="1"/>
      <w:numFmt w:val="bullet"/>
      <w:lvlText w:val="•"/>
      <w:lvlJc w:val="left"/>
      <w:pPr>
        <w:tabs>
          <w:tab w:val="num" w:pos="1440"/>
        </w:tabs>
        <w:ind w:left="1440" w:hanging="360"/>
      </w:pPr>
      <w:rPr>
        <w:rFonts w:ascii="Arial" w:hAnsi="Arial" w:hint="default"/>
      </w:rPr>
    </w:lvl>
    <w:lvl w:ilvl="2" w:tplc="981A9B34" w:tentative="1">
      <w:start w:val="1"/>
      <w:numFmt w:val="bullet"/>
      <w:lvlText w:val="•"/>
      <w:lvlJc w:val="left"/>
      <w:pPr>
        <w:tabs>
          <w:tab w:val="num" w:pos="2160"/>
        </w:tabs>
        <w:ind w:left="2160" w:hanging="360"/>
      </w:pPr>
      <w:rPr>
        <w:rFonts w:ascii="Arial" w:hAnsi="Arial" w:hint="default"/>
      </w:rPr>
    </w:lvl>
    <w:lvl w:ilvl="3" w:tplc="9346559E" w:tentative="1">
      <w:start w:val="1"/>
      <w:numFmt w:val="bullet"/>
      <w:lvlText w:val="•"/>
      <w:lvlJc w:val="left"/>
      <w:pPr>
        <w:tabs>
          <w:tab w:val="num" w:pos="2880"/>
        </w:tabs>
        <w:ind w:left="2880" w:hanging="360"/>
      </w:pPr>
      <w:rPr>
        <w:rFonts w:ascii="Arial" w:hAnsi="Arial" w:hint="default"/>
      </w:rPr>
    </w:lvl>
    <w:lvl w:ilvl="4" w:tplc="1BBAF3DC" w:tentative="1">
      <w:start w:val="1"/>
      <w:numFmt w:val="bullet"/>
      <w:lvlText w:val="•"/>
      <w:lvlJc w:val="left"/>
      <w:pPr>
        <w:tabs>
          <w:tab w:val="num" w:pos="3600"/>
        </w:tabs>
        <w:ind w:left="3600" w:hanging="360"/>
      </w:pPr>
      <w:rPr>
        <w:rFonts w:ascii="Arial" w:hAnsi="Arial" w:hint="default"/>
      </w:rPr>
    </w:lvl>
    <w:lvl w:ilvl="5" w:tplc="E110E6A4" w:tentative="1">
      <w:start w:val="1"/>
      <w:numFmt w:val="bullet"/>
      <w:lvlText w:val="•"/>
      <w:lvlJc w:val="left"/>
      <w:pPr>
        <w:tabs>
          <w:tab w:val="num" w:pos="4320"/>
        </w:tabs>
        <w:ind w:left="4320" w:hanging="360"/>
      </w:pPr>
      <w:rPr>
        <w:rFonts w:ascii="Arial" w:hAnsi="Arial" w:hint="default"/>
      </w:rPr>
    </w:lvl>
    <w:lvl w:ilvl="6" w:tplc="B85E69D4" w:tentative="1">
      <w:start w:val="1"/>
      <w:numFmt w:val="bullet"/>
      <w:lvlText w:val="•"/>
      <w:lvlJc w:val="left"/>
      <w:pPr>
        <w:tabs>
          <w:tab w:val="num" w:pos="5040"/>
        </w:tabs>
        <w:ind w:left="5040" w:hanging="360"/>
      </w:pPr>
      <w:rPr>
        <w:rFonts w:ascii="Arial" w:hAnsi="Arial" w:hint="default"/>
      </w:rPr>
    </w:lvl>
    <w:lvl w:ilvl="7" w:tplc="89F8866A" w:tentative="1">
      <w:start w:val="1"/>
      <w:numFmt w:val="bullet"/>
      <w:lvlText w:val="•"/>
      <w:lvlJc w:val="left"/>
      <w:pPr>
        <w:tabs>
          <w:tab w:val="num" w:pos="5760"/>
        </w:tabs>
        <w:ind w:left="5760" w:hanging="360"/>
      </w:pPr>
      <w:rPr>
        <w:rFonts w:ascii="Arial" w:hAnsi="Arial" w:hint="default"/>
      </w:rPr>
    </w:lvl>
    <w:lvl w:ilvl="8" w:tplc="29981062" w:tentative="1">
      <w:start w:val="1"/>
      <w:numFmt w:val="bullet"/>
      <w:lvlText w:val="•"/>
      <w:lvlJc w:val="left"/>
      <w:pPr>
        <w:tabs>
          <w:tab w:val="num" w:pos="6480"/>
        </w:tabs>
        <w:ind w:left="6480" w:hanging="360"/>
      </w:pPr>
      <w:rPr>
        <w:rFonts w:ascii="Arial" w:hAnsi="Arial" w:hint="default"/>
      </w:rPr>
    </w:lvl>
  </w:abstractNum>
  <w:abstractNum w:abstractNumId="5">
    <w:nsid w:val="1E68237F"/>
    <w:multiLevelType w:val="hybridMultilevel"/>
    <w:tmpl w:val="2F568630"/>
    <w:lvl w:ilvl="0" w:tplc="202ED0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E609AA"/>
    <w:multiLevelType w:val="hybridMultilevel"/>
    <w:tmpl w:val="19FC3E04"/>
    <w:lvl w:ilvl="0" w:tplc="4BA67E84">
      <w:start w:val="1"/>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1E041B"/>
    <w:multiLevelType w:val="hybridMultilevel"/>
    <w:tmpl w:val="50649B1A"/>
    <w:lvl w:ilvl="0" w:tplc="A2DC74A8">
      <w:numFmt w:val="bullet"/>
      <w:lvlText w:val="–"/>
      <w:lvlJc w:val="left"/>
      <w:pPr>
        <w:ind w:left="720" w:hanging="360"/>
      </w:pPr>
      <w:rPr>
        <w:rFonts w:ascii="Calibri" w:eastAsia="SimSun" w:hAnsi="Calibri"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BE662EC"/>
    <w:multiLevelType w:val="hybridMultilevel"/>
    <w:tmpl w:val="86F63316"/>
    <w:lvl w:ilvl="0" w:tplc="632E59A6">
      <w:start w:val="1"/>
      <w:numFmt w:val="bullet"/>
      <w:lvlText w:val="•"/>
      <w:lvlJc w:val="left"/>
      <w:pPr>
        <w:tabs>
          <w:tab w:val="num" w:pos="720"/>
        </w:tabs>
        <w:ind w:left="720" w:hanging="360"/>
      </w:pPr>
      <w:rPr>
        <w:rFonts w:ascii="Arial" w:hAnsi="Arial" w:hint="default"/>
      </w:rPr>
    </w:lvl>
    <w:lvl w:ilvl="1" w:tplc="9ECA3C02" w:tentative="1">
      <w:start w:val="1"/>
      <w:numFmt w:val="bullet"/>
      <w:lvlText w:val="•"/>
      <w:lvlJc w:val="left"/>
      <w:pPr>
        <w:tabs>
          <w:tab w:val="num" w:pos="1440"/>
        </w:tabs>
        <w:ind w:left="1440" w:hanging="360"/>
      </w:pPr>
      <w:rPr>
        <w:rFonts w:ascii="Arial" w:hAnsi="Arial" w:hint="default"/>
      </w:rPr>
    </w:lvl>
    <w:lvl w:ilvl="2" w:tplc="7B583BB6" w:tentative="1">
      <w:start w:val="1"/>
      <w:numFmt w:val="bullet"/>
      <w:lvlText w:val="•"/>
      <w:lvlJc w:val="left"/>
      <w:pPr>
        <w:tabs>
          <w:tab w:val="num" w:pos="2160"/>
        </w:tabs>
        <w:ind w:left="2160" w:hanging="360"/>
      </w:pPr>
      <w:rPr>
        <w:rFonts w:ascii="Arial" w:hAnsi="Arial" w:hint="default"/>
      </w:rPr>
    </w:lvl>
    <w:lvl w:ilvl="3" w:tplc="1CE017C2" w:tentative="1">
      <w:start w:val="1"/>
      <w:numFmt w:val="bullet"/>
      <w:lvlText w:val="•"/>
      <w:lvlJc w:val="left"/>
      <w:pPr>
        <w:tabs>
          <w:tab w:val="num" w:pos="2880"/>
        </w:tabs>
        <w:ind w:left="2880" w:hanging="360"/>
      </w:pPr>
      <w:rPr>
        <w:rFonts w:ascii="Arial" w:hAnsi="Arial" w:hint="default"/>
      </w:rPr>
    </w:lvl>
    <w:lvl w:ilvl="4" w:tplc="DCC298A2" w:tentative="1">
      <w:start w:val="1"/>
      <w:numFmt w:val="bullet"/>
      <w:lvlText w:val="•"/>
      <w:lvlJc w:val="left"/>
      <w:pPr>
        <w:tabs>
          <w:tab w:val="num" w:pos="3600"/>
        </w:tabs>
        <w:ind w:left="3600" w:hanging="360"/>
      </w:pPr>
      <w:rPr>
        <w:rFonts w:ascii="Arial" w:hAnsi="Arial" w:hint="default"/>
      </w:rPr>
    </w:lvl>
    <w:lvl w:ilvl="5" w:tplc="FC167CA2" w:tentative="1">
      <w:start w:val="1"/>
      <w:numFmt w:val="bullet"/>
      <w:lvlText w:val="•"/>
      <w:lvlJc w:val="left"/>
      <w:pPr>
        <w:tabs>
          <w:tab w:val="num" w:pos="4320"/>
        </w:tabs>
        <w:ind w:left="4320" w:hanging="360"/>
      </w:pPr>
      <w:rPr>
        <w:rFonts w:ascii="Arial" w:hAnsi="Arial" w:hint="default"/>
      </w:rPr>
    </w:lvl>
    <w:lvl w:ilvl="6" w:tplc="BDCAA63E" w:tentative="1">
      <w:start w:val="1"/>
      <w:numFmt w:val="bullet"/>
      <w:lvlText w:val="•"/>
      <w:lvlJc w:val="left"/>
      <w:pPr>
        <w:tabs>
          <w:tab w:val="num" w:pos="5040"/>
        </w:tabs>
        <w:ind w:left="5040" w:hanging="360"/>
      </w:pPr>
      <w:rPr>
        <w:rFonts w:ascii="Arial" w:hAnsi="Arial" w:hint="default"/>
      </w:rPr>
    </w:lvl>
    <w:lvl w:ilvl="7" w:tplc="31666F6A" w:tentative="1">
      <w:start w:val="1"/>
      <w:numFmt w:val="bullet"/>
      <w:lvlText w:val="•"/>
      <w:lvlJc w:val="left"/>
      <w:pPr>
        <w:tabs>
          <w:tab w:val="num" w:pos="5760"/>
        </w:tabs>
        <w:ind w:left="5760" w:hanging="360"/>
      </w:pPr>
      <w:rPr>
        <w:rFonts w:ascii="Arial" w:hAnsi="Arial" w:hint="default"/>
      </w:rPr>
    </w:lvl>
    <w:lvl w:ilvl="8" w:tplc="D02A9C20" w:tentative="1">
      <w:start w:val="1"/>
      <w:numFmt w:val="bullet"/>
      <w:lvlText w:val="•"/>
      <w:lvlJc w:val="left"/>
      <w:pPr>
        <w:tabs>
          <w:tab w:val="num" w:pos="6480"/>
        </w:tabs>
        <w:ind w:left="6480" w:hanging="360"/>
      </w:pPr>
      <w:rPr>
        <w:rFonts w:ascii="Arial" w:hAnsi="Arial" w:hint="default"/>
      </w:rPr>
    </w:lvl>
  </w:abstractNum>
  <w:abstractNum w:abstractNumId="9">
    <w:nsid w:val="2D3E6808"/>
    <w:multiLevelType w:val="multilevel"/>
    <w:tmpl w:val="2F5686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BB42DDB"/>
    <w:multiLevelType w:val="hybridMultilevel"/>
    <w:tmpl w:val="D576B37C"/>
    <w:lvl w:ilvl="0" w:tplc="5E30E104">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6085A2E"/>
    <w:multiLevelType w:val="hybridMultilevel"/>
    <w:tmpl w:val="C6A8AF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4CD55B0A"/>
    <w:multiLevelType w:val="hybridMultilevel"/>
    <w:tmpl w:val="D14862B8"/>
    <w:lvl w:ilvl="0" w:tplc="B7A24424">
      <w:start w:val="1"/>
      <w:numFmt w:val="bullet"/>
      <w:lvlText w:val="•"/>
      <w:lvlJc w:val="left"/>
      <w:pPr>
        <w:tabs>
          <w:tab w:val="num" w:pos="720"/>
        </w:tabs>
        <w:ind w:left="720" w:hanging="360"/>
      </w:pPr>
      <w:rPr>
        <w:rFonts w:ascii="Arial" w:hAnsi="Arial" w:hint="default"/>
      </w:rPr>
    </w:lvl>
    <w:lvl w:ilvl="1" w:tplc="91222952" w:tentative="1">
      <w:start w:val="1"/>
      <w:numFmt w:val="bullet"/>
      <w:lvlText w:val="•"/>
      <w:lvlJc w:val="left"/>
      <w:pPr>
        <w:tabs>
          <w:tab w:val="num" w:pos="1440"/>
        </w:tabs>
        <w:ind w:left="1440" w:hanging="360"/>
      </w:pPr>
      <w:rPr>
        <w:rFonts w:ascii="Arial" w:hAnsi="Arial" w:hint="default"/>
      </w:rPr>
    </w:lvl>
    <w:lvl w:ilvl="2" w:tplc="766C91F6" w:tentative="1">
      <w:start w:val="1"/>
      <w:numFmt w:val="bullet"/>
      <w:lvlText w:val="•"/>
      <w:lvlJc w:val="left"/>
      <w:pPr>
        <w:tabs>
          <w:tab w:val="num" w:pos="2160"/>
        </w:tabs>
        <w:ind w:left="2160" w:hanging="360"/>
      </w:pPr>
      <w:rPr>
        <w:rFonts w:ascii="Arial" w:hAnsi="Arial" w:hint="default"/>
      </w:rPr>
    </w:lvl>
    <w:lvl w:ilvl="3" w:tplc="0A2A430E" w:tentative="1">
      <w:start w:val="1"/>
      <w:numFmt w:val="bullet"/>
      <w:lvlText w:val="•"/>
      <w:lvlJc w:val="left"/>
      <w:pPr>
        <w:tabs>
          <w:tab w:val="num" w:pos="2880"/>
        </w:tabs>
        <w:ind w:left="2880" w:hanging="360"/>
      </w:pPr>
      <w:rPr>
        <w:rFonts w:ascii="Arial" w:hAnsi="Arial" w:hint="default"/>
      </w:rPr>
    </w:lvl>
    <w:lvl w:ilvl="4" w:tplc="D324846C" w:tentative="1">
      <w:start w:val="1"/>
      <w:numFmt w:val="bullet"/>
      <w:lvlText w:val="•"/>
      <w:lvlJc w:val="left"/>
      <w:pPr>
        <w:tabs>
          <w:tab w:val="num" w:pos="3600"/>
        </w:tabs>
        <w:ind w:left="3600" w:hanging="360"/>
      </w:pPr>
      <w:rPr>
        <w:rFonts w:ascii="Arial" w:hAnsi="Arial" w:hint="default"/>
      </w:rPr>
    </w:lvl>
    <w:lvl w:ilvl="5" w:tplc="CC1039C4" w:tentative="1">
      <w:start w:val="1"/>
      <w:numFmt w:val="bullet"/>
      <w:lvlText w:val="•"/>
      <w:lvlJc w:val="left"/>
      <w:pPr>
        <w:tabs>
          <w:tab w:val="num" w:pos="4320"/>
        </w:tabs>
        <w:ind w:left="4320" w:hanging="360"/>
      </w:pPr>
      <w:rPr>
        <w:rFonts w:ascii="Arial" w:hAnsi="Arial" w:hint="default"/>
      </w:rPr>
    </w:lvl>
    <w:lvl w:ilvl="6" w:tplc="9338676E" w:tentative="1">
      <w:start w:val="1"/>
      <w:numFmt w:val="bullet"/>
      <w:lvlText w:val="•"/>
      <w:lvlJc w:val="left"/>
      <w:pPr>
        <w:tabs>
          <w:tab w:val="num" w:pos="5040"/>
        </w:tabs>
        <w:ind w:left="5040" w:hanging="360"/>
      </w:pPr>
      <w:rPr>
        <w:rFonts w:ascii="Arial" w:hAnsi="Arial" w:hint="default"/>
      </w:rPr>
    </w:lvl>
    <w:lvl w:ilvl="7" w:tplc="5E9AB2D6" w:tentative="1">
      <w:start w:val="1"/>
      <w:numFmt w:val="bullet"/>
      <w:lvlText w:val="•"/>
      <w:lvlJc w:val="left"/>
      <w:pPr>
        <w:tabs>
          <w:tab w:val="num" w:pos="5760"/>
        </w:tabs>
        <w:ind w:left="5760" w:hanging="360"/>
      </w:pPr>
      <w:rPr>
        <w:rFonts w:ascii="Arial" w:hAnsi="Arial" w:hint="default"/>
      </w:rPr>
    </w:lvl>
    <w:lvl w:ilvl="8" w:tplc="2A486392" w:tentative="1">
      <w:start w:val="1"/>
      <w:numFmt w:val="bullet"/>
      <w:lvlText w:val="•"/>
      <w:lvlJc w:val="left"/>
      <w:pPr>
        <w:tabs>
          <w:tab w:val="num" w:pos="6480"/>
        </w:tabs>
        <w:ind w:left="6480" w:hanging="360"/>
      </w:pPr>
      <w:rPr>
        <w:rFonts w:ascii="Arial" w:hAnsi="Arial" w:hint="default"/>
      </w:rPr>
    </w:lvl>
  </w:abstractNum>
  <w:abstractNum w:abstractNumId="13">
    <w:nsid w:val="524E446D"/>
    <w:multiLevelType w:val="hybridMultilevel"/>
    <w:tmpl w:val="BBB6D30A"/>
    <w:lvl w:ilvl="0" w:tplc="CC0A137E">
      <w:start w:val="1"/>
      <w:numFmt w:val="bullet"/>
      <w:lvlText w:val="•"/>
      <w:lvlJc w:val="left"/>
      <w:pPr>
        <w:tabs>
          <w:tab w:val="num" w:pos="720"/>
        </w:tabs>
        <w:ind w:left="720" w:hanging="360"/>
      </w:pPr>
      <w:rPr>
        <w:rFonts w:ascii="Arial" w:hAnsi="Arial" w:hint="default"/>
      </w:rPr>
    </w:lvl>
    <w:lvl w:ilvl="1" w:tplc="4BD8F476" w:tentative="1">
      <w:start w:val="1"/>
      <w:numFmt w:val="bullet"/>
      <w:lvlText w:val="•"/>
      <w:lvlJc w:val="left"/>
      <w:pPr>
        <w:tabs>
          <w:tab w:val="num" w:pos="1440"/>
        </w:tabs>
        <w:ind w:left="1440" w:hanging="360"/>
      </w:pPr>
      <w:rPr>
        <w:rFonts w:ascii="Arial" w:hAnsi="Arial" w:hint="default"/>
      </w:rPr>
    </w:lvl>
    <w:lvl w:ilvl="2" w:tplc="E840644C" w:tentative="1">
      <w:start w:val="1"/>
      <w:numFmt w:val="bullet"/>
      <w:lvlText w:val="•"/>
      <w:lvlJc w:val="left"/>
      <w:pPr>
        <w:tabs>
          <w:tab w:val="num" w:pos="2160"/>
        </w:tabs>
        <w:ind w:left="2160" w:hanging="360"/>
      </w:pPr>
      <w:rPr>
        <w:rFonts w:ascii="Arial" w:hAnsi="Arial" w:hint="default"/>
      </w:rPr>
    </w:lvl>
    <w:lvl w:ilvl="3" w:tplc="4B882896" w:tentative="1">
      <w:start w:val="1"/>
      <w:numFmt w:val="bullet"/>
      <w:lvlText w:val="•"/>
      <w:lvlJc w:val="left"/>
      <w:pPr>
        <w:tabs>
          <w:tab w:val="num" w:pos="2880"/>
        </w:tabs>
        <w:ind w:left="2880" w:hanging="360"/>
      </w:pPr>
      <w:rPr>
        <w:rFonts w:ascii="Arial" w:hAnsi="Arial" w:hint="default"/>
      </w:rPr>
    </w:lvl>
    <w:lvl w:ilvl="4" w:tplc="61EAE41C" w:tentative="1">
      <w:start w:val="1"/>
      <w:numFmt w:val="bullet"/>
      <w:lvlText w:val="•"/>
      <w:lvlJc w:val="left"/>
      <w:pPr>
        <w:tabs>
          <w:tab w:val="num" w:pos="3600"/>
        </w:tabs>
        <w:ind w:left="3600" w:hanging="360"/>
      </w:pPr>
      <w:rPr>
        <w:rFonts w:ascii="Arial" w:hAnsi="Arial" w:hint="default"/>
      </w:rPr>
    </w:lvl>
    <w:lvl w:ilvl="5" w:tplc="BBECE950" w:tentative="1">
      <w:start w:val="1"/>
      <w:numFmt w:val="bullet"/>
      <w:lvlText w:val="•"/>
      <w:lvlJc w:val="left"/>
      <w:pPr>
        <w:tabs>
          <w:tab w:val="num" w:pos="4320"/>
        </w:tabs>
        <w:ind w:left="4320" w:hanging="360"/>
      </w:pPr>
      <w:rPr>
        <w:rFonts w:ascii="Arial" w:hAnsi="Arial" w:hint="default"/>
      </w:rPr>
    </w:lvl>
    <w:lvl w:ilvl="6" w:tplc="26722A7E" w:tentative="1">
      <w:start w:val="1"/>
      <w:numFmt w:val="bullet"/>
      <w:lvlText w:val="•"/>
      <w:lvlJc w:val="left"/>
      <w:pPr>
        <w:tabs>
          <w:tab w:val="num" w:pos="5040"/>
        </w:tabs>
        <w:ind w:left="5040" w:hanging="360"/>
      </w:pPr>
      <w:rPr>
        <w:rFonts w:ascii="Arial" w:hAnsi="Arial" w:hint="default"/>
      </w:rPr>
    </w:lvl>
    <w:lvl w:ilvl="7" w:tplc="8A6CCEE6" w:tentative="1">
      <w:start w:val="1"/>
      <w:numFmt w:val="bullet"/>
      <w:lvlText w:val="•"/>
      <w:lvlJc w:val="left"/>
      <w:pPr>
        <w:tabs>
          <w:tab w:val="num" w:pos="5760"/>
        </w:tabs>
        <w:ind w:left="5760" w:hanging="360"/>
      </w:pPr>
      <w:rPr>
        <w:rFonts w:ascii="Arial" w:hAnsi="Arial" w:hint="default"/>
      </w:rPr>
    </w:lvl>
    <w:lvl w:ilvl="8" w:tplc="E6DABD1A" w:tentative="1">
      <w:start w:val="1"/>
      <w:numFmt w:val="bullet"/>
      <w:lvlText w:val="•"/>
      <w:lvlJc w:val="left"/>
      <w:pPr>
        <w:tabs>
          <w:tab w:val="num" w:pos="6480"/>
        </w:tabs>
        <w:ind w:left="6480" w:hanging="360"/>
      </w:pPr>
      <w:rPr>
        <w:rFonts w:ascii="Arial" w:hAnsi="Arial" w:hint="default"/>
      </w:rPr>
    </w:lvl>
  </w:abstractNum>
  <w:abstractNum w:abstractNumId="14">
    <w:nsid w:val="56EF57D7"/>
    <w:multiLevelType w:val="hybridMultilevel"/>
    <w:tmpl w:val="20744EBA"/>
    <w:lvl w:ilvl="0" w:tplc="99C47038">
      <w:start w:val="1"/>
      <w:numFmt w:val="bullet"/>
      <w:lvlText w:val="•"/>
      <w:lvlJc w:val="left"/>
      <w:pPr>
        <w:tabs>
          <w:tab w:val="num" w:pos="720"/>
        </w:tabs>
        <w:ind w:left="720" w:hanging="360"/>
      </w:pPr>
      <w:rPr>
        <w:rFonts w:ascii="Arial" w:hAnsi="Arial" w:hint="default"/>
      </w:rPr>
    </w:lvl>
    <w:lvl w:ilvl="1" w:tplc="9A6E0E0A" w:tentative="1">
      <w:start w:val="1"/>
      <w:numFmt w:val="bullet"/>
      <w:lvlText w:val="•"/>
      <w:lvlJc w:val="left"/>
      <w:pPr>
        <w:tabs>
          <w:tab w:val="num" w:pos="1440"/>
        </w:tabs>
        <w:ind w:left="1440" w:hanging="360"/>
      </w:pPr>
      <w:rPr>
        <w:rFonts w:ascii="Arial" w:hAnsi="Arial" w:hint="default"/>
      </w:rPr>
    </w:lvl>
    <w:lvl w:ilvl="2" w:tplc="FAD0B456" w:tentative="1">
      <w:start w:val="1"/>
      <w:numFmt w:val="bullet"/>
      <w:lvlText w:val="•"/>
      <w:lvlJc w:val="left"/>
      <w:pPr>
        <w:tabs>
          <w:tab w:val="num" w:pos="2160"/>
        </w:tabs>
        <w:ind w:left="2160" w:hanging="360"/>
      </w:pPr>
      <w:rPr>
        <w:rFonts w:ascii="Arial" w:hAnsi="Arial" w:hint="default"/>
      </w:rPr>
    </w:lvl>
    <w:lvl w:ilvl="3" w:tplc="B6881052" w:tentative="1">
      <w:start w:val="1"/>
      <w:numFmt w:val="bullet"/>
      <w:lvlText w:val="•"/>
      <w:lvlJc w:val="left"/>
      <w:pPr>
        <w:tabs>
          <w:tab w:val="num" w:pos="2880"/>
        </w:tabs>
        <w:ind w:left="2880" w:hanging="360"/>
      </w:pPr>
      <w:rPr>
        <w:rFonts w:ascii="Arial" w:hAnsi="Arial" w:hint="default"/>
      </w:rPr>
    </w:lvl>
    <w:lvl w:ilvl="4" w:tplc="8C0C4B02" w:tentative="1">
      <w:start w:val="1"/>
      <w:numFmt w:val="bullet"/>
      <w:lvlText w:val="•"/>
      <w:lvlJc w:val="left"/>
      <w:pPr>
        <w:tabs>
          <w:tab w:val="num" w:pos="3600"/>
        </w:tabs>
        <w:ind w:left="3600" w:hanging="360"/>
      </w:pPr>
      <w:rPr>
        <w:rFonts w:ascii="Arial" w:hAnsi="Arial" w:hint="default"/>
      </w:rPr>
    </w:lvl>
    <w:lvl w:ilvl="5" w:tplc="2244DAD8" w:tentative="1">
      <w:start w:val="1"/>
      <w:numFmt w:val="bullet"/>
      <w:lvlText w:val="•"/>
      <w:lvlJc w:val="left"/>
      <w:pPr>
        <w:tabs>
          <w:tab w:val="num" w:pos="4320"/>
        </w:tabs>
        <w:ind w:left="4320" w:hanging="360"/>
      </w:pPr>
      <w:rPr>
        <w:rFonts w:ascii="Arial" w:hAnsi="Arial" w:hint="default"/>
      </w:rPr>
    </w:lvl>
    <w:lvl w:ilvl="6" w:tplc="2D7065B4" w:tentative="1">
      <w:start w:val="1"/>
      <w:numFmt w:val="bullet"/>
      <w:lvlText w:val="•"/>
      <w:lvlJc w:val="left"/>
      <w:pPr>
        <w:tabs>
          <w:tab w:val="num" w:pos="5040"/>
        </w:tabs>
        <w:ind w:left="5040" w:hanging="360"/>
      </w:pPr>
      <w:rPr>
        <w:rFonts w:ascii="Arial" w:hAnsi="Arial" w:hint="default"/>
      </w:rPr>
    </w:lvl>
    <w:lvl w:ilvl="7" w:tplc="23386D60" w:tentative="1">
      <w:start w:val="1"/>
      <w:numFmt w:val="bullet"/>
      <w:lvlText w:val="•"/>
      <w:lvlJc w:val="left"/>
      <w:pPr>
        <w:tabs>
          <w:tab w:val="num" w:pos="5760"/>
        </w:tabs>
        <w:ind w:left="5760" w:hanging="360"/>
      </w:pPr>
      <w:rPr>
        <w:rFonts w:ascii="Arial" w:hAnsi="Arial" w:hint="default"/>
      </w:rPr>
    </w:lvl>
    <w:lvl w:ilvl="8" w:tplc="88EEA66C" w:tentative="1">
      <w:start w:val="1"/>
      <w:numFmt w:val="bullet"/>
      <w:lvlText w:val="•"/>
      <w:lvlJc w:val="left"/>
      <w:pPr>
        <w:tabs>
          <w:tab w:val="num" w:pos="6480"/>
        </w:tabs>
        <w:ind w:left="6480" w:hanging="360"/>
      </w:pPr>
      <w:rPr>
        <w:rFonts w:ascii="Arial" w:hAnsi="Arial" w:hint="default"/>
      </w:rPr>
    </w:lvl>
  </w:abstractNum>
  <w:abstractNum w:abstractNumId="15">
    <w:nsid w:val="5A83128F"/>
    <w:multiLevelType w:val="multilevel"/>
    <w:tmpl w:val="8444B0D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ED565FF"/>
    <w:multiLevelType w:val="hybridMultilevel"/>
    <w:tmpl w:val="8CAE68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611651BE"/>
    <w:multiLevelType w:val="hybridMultilevel"/>
    <w:tmpl w:val="1C88E2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670D2BA2"/>
    <w:multiLevelType w:val="hybridMultilevel"/>
    <w:tmpl w:val="1CB4ABF0"/>
    <w:lvl w:ilvl="0" w:tplc="B2085FBE">
      <w:start w:val="1"/>
      <w:numFmt w:val="bullet"/>
      <w:lvlText w:val="•"/>
      <w:lvlJc w:val="left"/>
      <w:pPr>
        <w:tabs>
          <w:tab w:val="num" w:pos="720"/>
        </w:tabs>
        <w:ind w:left="720" w:hanging="360"/>
      </w:pPr>
      <w:rPr>
        <w:rFonts w:ascii="Arial" w:hAnsi="Arial" w:hint="default"/>
      </w:rPr>
    </w:lvl>
    <w:lvl w:ilvl="1" w:tplc="88662FBC" w:tentative="1">
      <w:start w:val="1"/>
      <w:numFmt w:val="bullet"/>
      <w:lvlText w:val="•"/>
      <w:lvlJc w:val="left"/>
      <w:pPr>
        <w:tabs>
          <w:tab w:val="num" w:pos="1440"/>
        </w:tabs>
        <w:ind w:left="1440" w:hanging="360"/>
      </w:pPr>
      <w:rPr>
        <w:rFonts w:ascii="Arial" w:hAnsi="Arial" w:hint="default"/>
      </w:rPr>
    </w:lvl>
    <w:lvl w:ilvl="2" w:tplc="9710CBFC" w:tentative="1">
      <w:start w:val="1"/>
      <w:numFmt w:val="bullet"/>
      <w:lvlText w:val="•"/>
      <w:lvlJc w:val="left"/>
      <w:pPr>
        <w:tabs>
          <w:tab w:val="num" w:pos="2160"/>
        </w:tabs>
        <w:ind w:left="2160" w:hanging="360"/>
      </w:pPr>
      <w:rPr>
        <w:rFonts w:ascii="Arial" w:hAnsi="Arial" w:hint="default"/>
      </w:rPr>
    </w:lvl>
    <w:lvl w:ilvl="3" w:tplc="3FB0AFA8" w:tentative="1">
      <w:start w:val="1"/>
      <w:numFmt w:val="bullet"/>
      <w:lvlText w:val="•"/>
      <w:lvlJc w:val="left"/>
      <w:pPr>
        <w:tabs>
          <w:tab w:val="num" w:pos="2880"/>
        </w:tabs>
        <w:ind w:left="2880" w:hanging="360"/>
      </w:pPr>
      <w:rPr>
        <w:rFonts w:ascii="Arial" w:hAnsi="Arial" w:hint="default"/>
      </w:rPr>
    </w:lvl>
    <w:lvl w:ilvl="4" w:tplc="77067FF2" w:tentative="1">
      <w:start w:val="1"/>
      <w:numFmt w:val="bullet"/>
      <w:lvlText w:val="•"/>
      <w:lvlJc w:val="left"/>
      <w:pPr>
        <w:tabs>
          <w:tab w:val="num" w:pos="3600"/>
        </w:tabs>
        <w:ind w:left="3600" w:hanging="360"/>
      </w:pPr>
      <w:rPr>
        <w:rFonts w:ascii="Arial" w:hAnsi="Arial" w:hint="default"/>
      </w:rPr>
    </w:lvl>
    <w:lvl w:ilvl="5" w:tplc="F192364A" w:tentative="1">
      <w:start w:val="1"/>
      <w:numFmt w:val="bullet"/>
      <w:lvlText w:val="•"/>
      <w:lvlJc w:val="left"/>
      <w:pPr>
        <w:tabs>
          <w:tab w:val="num" w:pos="4320"/>
        </w:tabs>
        <w:ind w:left="4320" w:hanging="360"/>
      </w:pPr>
      <w:rPr>
        <w:rFonts w:ascii="Arial" w:hAnsi="Arial" w:hint="default"/>
      </w:rPr>
    </w:lvl>
    <w:lvl w:ilvl="6" w:tplc="11900E80" w:tentative="1">
      <w:start w:val="1"/>
      <w:numFmt w:val="bullet"/>
      <w:lvlText w:val="•"/>
      <w:lvlJc w:val="left"/>
      <w:pPr>
        <w:tabs>
          <w:tab w:val="num" w:pos="5040"/>
        </w:tabs>
        <w:ind w:left="5040" w:hanging="360"/>
      </w:pPr>
      <w:rPr>
        <w:rFonts w:ascii="Arial" w:hAnsi="Arial" w:hint="default"/>
      </w:rPr>
    </w:lvl>
    <w:lvl w:ilvl="7" w:tplc="97A4192A" w:tentative="1">
      <w:start w:val="1"/>
      <w:numFmt w:val="bullet"/>
      <w:lvlText w:val="•"/>
      <w:lvlJc w:val="left"/>
      <w:pPr>
        <w:tabs>
          <w:tab w:val="num" w:pos="5760"/>
        </w:tabs>
        <w:ind w:left="5760" w:hanging="360"/>
      </w:pPr>
      <w:rPr>
        <w:rFonts w:ascii="Arial" w:hAnsi="Arial" w:hint="default"/>
      </w:rPr>
    </w:lvl>
    <w:lvl w:ilvl="8" w:tplc="BA409FD0" w:tentative="1">
      <w:start w:val="1"/>
      <w:numFmt w:val="bullet"/>
      <w:lvlText w:val="•"/>
      <w:lvlJc w:val="left"/>
      <w:pPr>
        <w:tabs>
          <w:tab w:val="num" w:pos="6480"/>
        </w:tabs>
        <w:ind w:left="6480" w:hanging="360"/>
      </w:pPr>
      <w:rPr>
        <w:rFonts w:ascii="Arial" w:hAnsi="Arial" w:hint="default"/>
      </w:rPr>
    </w:lvl>
  </w:abstractNum>
  <w:abstractNum w:abstractNumId="19">
    <w:nsid w:val="6DF92FCB"/>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BB5179C"/>
    <w:multiLevelType w:val="multilevel"/>
    <w:tmpl w:val="6B62F9B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0"/>
  </w:num>
  <w:num w:numId="2">
    <w:abstractNumId w:val="3"/>
  </w:num>
  <w:num w:numId="3">
    <w:abstractNumId w:val="6"/>
  </w:num>
  <w:num w:numId="4">
    <w:abstractNumId w:val="0"/>
  </w:num>
  <w:num w:numId="5">
    <w:abstractNumId w:val="1"/>
  </w:num>
  <w:num w:numId="6">
    <w:abstractNumId w:val="2"/>
  </w:num>
  <w:num w:numId="7">
    <w:abstractNumId w:val="5"/>
  </w:num>
  <w:num w:numId="8">
    <w:abstractNumId w:val="9"/>
  </w:num>
  <w:num w:numId="9">
    <w:abstractNumId w:val="19"/>
  </w:num>
  <w:num w:numId="10">
    <w:abstractNumId w:val="7"/>
  </w:num>
  <w:num w:numId="11">
    <w:abstractNumId w:val="15"/>
  </w:num>
  <w:num w:numId="12">
    <w:abstractNumId w:val="10"/>
  </w:num>
  <w:num w:numId="13">
    <w:abstractNumId w:val="14"/>
  </w:num>
  <w:num w:numId="14">
    <w:abstractNumId w:val="12"/>
  </w:num>
  <w:num w:numId="15">
    <w:abstractNumId w:val="18"/>
  </w:num>
  <w:num w:numId="16">
    <w:abstractNumId w:val="13"/>
  </w:num>
  <w:num w:numId="17">
    <w:abstractNumId w:val="4"/>
  </w:num>
  <w:num w:numId="18">
    <w:abstractNumId w:val="8"/>
  </w:num>
  <w:num w:numId="19">
    <w:abstractNumId w:val="17"/>
  </w:num>
  <w:num w:numId="20">
    <w:abstractNumId w:val="11"/>
  </w:num>
  <w:num w:numId="21">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wona Siek">
    <w15:presenceInfo w15:providerId="AD" w15:userId="S-1-5-21-1644749857-4167005408-139124366-15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C1F"/>
    <w:rsid w:val="0000526F"/>
    <w:rsid w:val="00007D72"/>
    <w:rsid w:val="00023706"/>
    <w:rsid w:val="00031FDD"/>
    <w:rsid w:val="0005779F"/>
    <w:rsid w:val="0007379D"/>
    <w:rsid w:val="000876FB"/>
    <w:rsid w:val="000942CE"/>
    <w:rsid w:val="000A231D"/>
    <w:rsid w:val="000A30CD"/>
    <w:rsid w:val="000B5A4D"/>
    <w:rsid w:val="000E715B"/>
    <w:rsid w:val="00147D8F"/>
    <w:rsid w:val="00170D3A"/>
    <w:rsid w:val="00174A28"/>
    <w:rsid w:val="001778B3"/>
    <w:rsid w:val="001B45F2"/>
    <w:rsid w:val="001C0E1B"/>
    <w:rsid w:val="001E0FBD"/>
    <w:rsid w:val="001E24EC"/>
    <w:rsid w:val="001F11B9"/>
    <w:rsid w:val="0020011C"/>
    <w:rsid w:val="00202E15"/>
    <w:rsid w:val="00230592"/>
    <w:rsid w:val="00280E2F"/>
    <w:rsid w:val="002A66C8"/>
    <w:rsid w:val="002C2607"/>
    <w:rsid w:val="002C6096"/>
    <w:rsid w:val="00322F0A"/>
    <w:rsid w:val="00363312"/>
    <w:rsid w:val="003764FE"/>
    <w:rsid w:val="003D2B93"/>
    <w:rsid w:val="003E3104"/>
    <w:rsid w:val="003E3D7C"/>
    <w:rsid w:val="004027E2"/>
    <w:rsid w:val="0041402A"/>
    <w:rsid w:val="0045280C"/>
    <w:rsid w:val="00454617"/>
    <w:rsid w:val="00476D63"/>
    <w:rsid w:val="00490592"/>
    <w:rsid w:val="004B631D"/>
    <w:rsid w:val="004B7953"/>
    <w:rsid w:val="004C07DF"/>
    <w:rsid w:val="004C73FE"/>
    <w:rsid w:val="004E0874"/>
    <w:rsid w:val="004E6DFE"/>
    <w:rsid w:val="00560CBB"/>
    <w:rsid w:val="00586F8A"/>
    <w:rsid w:val="00595350"/>
    <w:rsid w:val="005A4A53"/>
    <w:rsid w:val="005A525A"/>
    <w:rsid w:val="005B689E"/>
    <w:rsid w:val="005E66E9"/>
    <w:rsid w:val="005E6A78"/>
    <w:rsid w:val="00656972"/>
    <w:rsid w:val="0068411B"/>
    <w:rsid w:val="00706127"/>
    <w:rsid w:val="00720483"/>
    <w:rsid w:val="00723016"/>
    <w:rsid w:val="0073574E"/>
    <w:rsid w:val="00741E30"/>
    <w:rsid w:val="007A4B0B"/>
    <w:rsid w:val="007A777D"/>
    <w:rsid w:val="007B28B8"/>
    <w:rsid w:val="007D59FD"/>
    <w:rsid w:val="00813A37"/>
    <w:rsid w:val="00860EA6"/>
    <w:rsid w:val="008736E6"/>
    <w:rsid w:val="008811F7"/>
    <w:rsid w:val="008A0F06"/>
    <w:rsid w:val="008B5995"/>
    <w:rsid w:val="008B7223"/>
    <w:rsid w:val="008C0C1F"/>
    <w:rsid w:val="008D2C36"/>
    <w:rsid w:val="009050F9"/>
    <w:rsid w:val="009058B1"/>
    <w:rsid w:val="009071EE"/>
    <w:rsid w:val="00915B13"/>
    <w:rsid w:val="00976FD8"/>
    <w:rsid w:val="009A126A"/>
    <w:rsid w:val="009A276D"/>
    <w:rsid w:val="009A2A34"/>
    <w:rsid w:val="009C6DC8"/>
    <w:rsid w:val="009D369A"/>
    <w:rsid w:val="009E191B"/>
    <w:rsid w:val="009F3A08"/>
    <w:rsid w:val="00A0413B"/>
    <w:rsid w:val="00A1112B"/>
    <w:rsid w:val="00A12025"/>
    <w:rsid w:val="00A2108D"/>
    <w:rsid w:val="00A21F87"/>
    <w:rsid w:val="00A22C38"/>
    <w:rsid w:val="00A5307F"/>
    <w:rsid w:val="00A62BEB"/>
    <w:rsid w:val="00AC2B6D"/>
    <w:rsid w:val="00AC2F3C"/>
    <w:rsid w:val="00AF0200"/>
    <w:rsid w:val="00B03066"/>
    <w:rsid w:val="00B050ED"/>
    <w:rsid w:val="00B17732"/>
    <w:rsid w:val="00B356DE"/>
    <w:rsid w:val="00B40017"/>
    <w:rsid w:val="00B45454"/>
    <w:rsid w:val="00B61AFA"/>
    <w:rsid w:val="00B631DF"/>
    <w:rsid w:val="00B95EA1"/>
    <w:rsid w:val="00BA6A38"/>
    <w:rsid w:val="00BD4E72"/>
    <w:rsid w:val="00C03E4C"/>
    <w:rsid w:val="00C04D92"/>
    <w:rsid w:val="00C12262"/>
    <w:rsid w:val="00C16FA2"/>
    <w:rsid w:val="00C27337"/>
    <w:rsid w:val="00C507C0"/>
    <w:rsid w:val="00C86509"/>
    <w:rsid w:val="00C95A2C"/>
    <w:rsid w:val="00CE24AE"/>
    <w:rsid w:val="00CE635C"/>
    <w:rsid w:val="00D477C8"/>
    <w:rsid w:val="00D47C5A"/>
    <w:rsid w:val="00D76671"/>
    <w:rsid w:val="00D7673F"/>
    <w:rsid w:val="00DB42BF"/>
    <w:rsid w:val="00DC49DA"/>
    <w:rsid w:val="00DD7CFC"/>
    <w:rsid w:val="00E12496"/>
    <w:rsid w:val="00E12CB0"/>
    <w:rsid w:val="00E27B90"/>
    <w:rsid w:val="00E31087"/>
    <w:rsid w:val="00E31CC5"/>
    <w:rsid w:val="00E33E86"/>
    <w:rsid w:val="00E35611"/>
    <w:rsid w:val="00E57374"/>
    <w:rsid w:val="00E63DF5"/>
    <w:rsid w:val="00E66E52"/>
    <w:rsid w:val="00E71A66"/>
    <w:rsid w:val="00E86CE7"/>
    <w:rsid w:val="00EA10F7"/>
    <w:rsid w:val="00EF5584"/>
    <w:rsid w:val="00F02FD4"/>
    <w:rsid w:val="00F03A69"/>
    <w:rsid w:val="00F42A7C"/>
    <w:rsid w:val="00F44697"/>
    <w:rsid w:val="00F73A6E"/>
    <w:rsid w:val="00F8681C"/>
    <w:rsid w:val="00F91AF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21F5E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C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0C1F"/>
    <w:rPr>
      <w:rFonts w:ascii="Lucida Grande" w:hAnsi="Lucida Grande" w:cs="Lucida Grande"/>
      <w:sz w:val="18"/>
      <w:szCs w:val="18"/>
    </w:rPr>
  </w:style>
  <w:style w:type="paragraph" w:styleId="ListParagraph">
    <w:name w:val="List Paragraph"/>
    <w:aliases w:val="Dot pt,F5 List Paragraph,List Paragraph1,Recommendation,List Paragraph11"/>
    <w:basedOn w:val="Normal"/>
    <w:link w:val="ListParagraphChar"/>
    <w:uiPriority w:val="34"/>
    <w:qFormat/>
    <w:rsid w:val="008C0C1F"/>
    <w:pPr>
      <w:ind w:left="720"/>
      <w:contextualSpacing/>
    </w:pPr>
  </w:style>
  <w:style w:type="character" w:styleId="Hyperlink">
    <w:name w:val="Hyperlink"/>
    <w:basedOn w:val="DefaultParagraphFont"/>
    <w:uiPriority w:val="99"/>
    <w:unhideWhenUsed/>
    <w:rsid w:val="001778B3"/>
    <w:rPr>
      <w:color w:val="0000FF" w:themeColor="hyperlink"/>
      <w:u w:val="single"/>
    </w:rPr>
  </w:style>
  <w:style w:type="paragraph" w:styleId="NormalWeb">
    <w:name w:val="Normal (Web)"/>
    <w:basedOn w:val="Normal"/>
    <w:uiPriority w:val="99"/>
    <w:unhideWhenUsed/>
    <w:rsid w:val="001778B3"/>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3E31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Podrozdział"/>
    <w:basedOn w:val="Normal"/>
    <w:link w:val="FootnoteTextChar"/>
    <w:unhideWhenUsed/>
    <w:rsid w:val="003E3104"/>
  </w:style>
  <w:style w:type="character" w:customStyle="1" w:styleId="FootnoteTextChar">
    <w:name w:val="Footnote Text Char"/>
    <w:aliases w:val="Podrozdział Char"/>
    <w:basedOn w:val="DefaultParagraphFont"/>
    <w:link w:val="FootnoteText"/>
    <w:rsid w:val="003E3104"/>
  </w:style>
  <w:style w:type="character" w:styleId="FootnoteReference">
    <w:name w:val="footnote reference"/>
    <w:aliases w:val="Footnote Reference Number,E FNZ,-E Fußnotenzeichen,Footnote#,Footnote symbol,Footnote,Times 10 Point,Exposant 3 Point,Ref,de nota al pie,Footnote reference number,note TESI,SUPERS,EN Footnote Reference"/>
    <w:basedOn w:val="DefaultParagraphFont"/>
    <w:unhideWhenUsed/>
    <w:rsid w:val="003E3104"/>
    <w:rPr>
      <w:vertAlign w:val="superscript"/>
    </w:rPr>
  </w:style>
  <w:style w:type="character" w:styleId="FollowedHyperlink">
    <w:name w:val="FollowedHyperlink"/>
    <w:basedOn w:val="DefaultParagraphFont"/>
    <w:uiPriority w:val="99"/>
    <w:semiHidden/>
    <w:unhideWhenUsed/>
    <w:rsid w:val="003E3104"/>
    <w:rPr>
      <w:color w:val="800080" w:themeColor="followedHyperlink"/>
      <w:u w:val="single"/>
    </w:rPr>
  </w:style>
  <w:style w:type="paragraph" w:styleId="Footer">
    <w:name w:val="footer"/>
    <w:basedOn w:val="Normal"/>
    <w:link w:val="FooterChar"/>
    <w:uiPriority w:val="99"/>
    <w:unhideWhenUsed/>
    <w:rsid w:val="0045280C"/>
    <w:pPr>
      <w:tabs>
        <w:tab w:val="center" w:pos="4153"/>
        <w:tab w:val="right" w:pos="8306"/>
      </w:tabs>
    </w:pPr>
  </w:style>
  <w:style w:type="character" w:customStyle="1" w:styleId="FooterChar">
    <w:name w:val="Footer Char"/>
    <w:basedOn w:val="DefaultParagraphFont"/>
    <w:link w:val="Footer"/>
    <w:uiPriority w:val="99"/>
    <w:rsid w:val="0045280C"/>
  </w:style>
  <w:style w:type="character" w:styleId="PageNumber">
    <w:name w:val="page number"/>
    <w:basedOn w:val="DefaultParagraphFont"/>
    <w:uiPriority w:val="99"/>
    <w:semiHidden/>
    <w:unhideWhenUsed/>
    <w:rsid w:val="0045280C"/>
  </w:style>
  <w:style w:type="character" w:customStyle="1" w:styleId="ListParagraphChar">
    <w:name w:val="List Paragraph Char"/>
    <w:aliases w:val="Dot pt Char,F5 List Paragraph Char,List Paragraph1 Char,Recommendation Char,List Paragraph11 Char"/>
    <w:basedOn w:val="DefaultParagraphFont"/>
    <w:link w:val="ListParagraph"/>
    <w:uiPriority w:val="34"/>
    <w:locked/>
    <w:rsid w:val="004B7953"/>
  </w:style>
  <w:style w:type="paragraph" w:styleId="BodyText">
    <w:name w:val="Body Text"/>
    <w:aliases w:val="bt,b,wypunktowanie,Tekst podstawowy-bold,Tekst podstawowy Znak Znak Znak Znak Znak Znak Znak Znak,block style,szaro,numerowany,aga,Tekst podstawowyG,b1,Tekst podstawowy Znak Znak,(F2),anita1, uvlaka 3,A Body Text"/>
    <w:basedOn w:val="Normal"/>
    <w:link w:val="BodyTextChar"/>
    <w:semiHidden/>
    <w:rsid w:val="009F3A08"/>
    <w:pPr>
      <w:autoSpaceDE w:val="0"/>
      <w:autoSpaceDN w:val="0"/>
      <w:adjustRightInd w:val="0"/>
      <w:jc w:val="both"/>
    </w:pPr>
    <w:rPr>
      <w:rFonts w:ascii="Times New Roman" w:eastAsia="Times New Roman" w:hAnsi="Times New Roman" w:cs="Times New Roman"/>
      <w:bCs/>
      <w:i/>
      <w:iCs/>
      <w:szCs w:val="19"/>
      <w:lang w:val="en-US" w:eastAsia="pl-PL"/>
    </w:rPr>
  </w:style>
  <w:style w:type="character" w:customStyle="1" w:styleId="BodyTextChar">
    <w:name w:val="Body Text Char"/>
    <w:aliases w:val="bt Char,b Char,wypunktowanie Char,Tekst podstawowy-bold Char,Tekst podstawowy Znak Znak Znak Znak Znak Znak Znak Znak Char,block style Char,szaro Char,numerowany Char,aga Char,Tekst podstawowyG Char,b1 Char,Tekst podstawowy Znak Znak Char"/>
    <w:basedOn w:val="DefaultParagraphFont"/>
    <w:link w:val="BodyText"/>
    <w:semiHidden/>
    <w:rsid w:val="009F3A08"/>
    <w:rPr>
      <w:rFonts w:ascii="Times New Roman" w:eastAsia="Times New Roman" w:hAnsi="Times New Roman" w:cs="Times New Roman"/>
      <w:bCs/>
      <w:i/>
      <w:iCs/>
      <w:szCs w:val="19"/>
      <w:lang w:val="en-US" w:eastAsia="pl-PL"/>
    </w:rPr>
  </w:style>
  <w:style w:type="paragraph" w:styleId="CommentText">
    <w:name w:val="annotation text"/>
    <w:basedOn w:val="Normal"/>
    <w:link w:val="CommentTextChar"/>
    <w:uiPriority w:val="99"/>
    <w:rsid w:val="009F3A08"/>
    <w:rPr>
      <w:rFonts w:ascii="Times New Roman" w:eastAsia="Times New Roman" w:hAnsi="Times New Roman" w:cs="Times New Roman"/>
      <w:sz w:val="20"/>
      <w:szCs w:val="20"/>
      <w:lang w:val="pl-PL" w:eastAsia="pl-PL"/>
    </w:rPr>
  </w:style>
  <w:style w:type="character" w:customStyle="1" w:styleId="CommentTextChar">
    <w:name w:val="Comment Text Char"/>
    <w:basedOn w:val="DefaultParagraphFont"/>
    <w:link w:val="CommentText"/>
    <w:uiPriority w:val="99"/>
    <w:rsid w:val="009F3A08"/>
    <w:rPr>
      <w:rFonts w:ascii="Times New Roman" w:eastAsia="Times New Roman" w:hAnsi="Times New Roman" w:cs="Times New Roman"/>
      <w:sz w:val="20"/>
      <w:szCs w:val="20"/>
      <w:lang w:val="pl-PL" w:eastAsia="pl-PL"/>
    </w:rPr>
  </w:style>
  <w:style w:type="character" w:styleId="CommentReference">
    <w:name w:val="annotation reference"/>
    <w:uiPriority w:val="99"/>
    <w:semiHidden/>
    <w:unhideWhenUsed/>
    <w:rsid w:val="009F3A08"/>
    <w:rPr>
      <w:sz w:val="16"/>
      <w:szCs w:val="16"/>
    </w:rPr>
  </w:style>
  <w:style w:type="character" w:customStyle="1" w:styleId="tabulatory">
    <w:name w:val="tabulatory"/>
    <w:basedOn w:val="DefaultParagraphFont"/>
    <w:rsid w:val="009E191B"/>
  </w:style>
  <w:style w:type="paragraph" w:styleId="CommentSubject">
    <w:name w:val="annotation subject"/>
    <w:basedOn w:val="CommentText"/>
    <w:next w:val="CommentText"/>
    <w:link w:val="CommentSubjectChar"/>
    <w:uiPriority w:val="99"/>
    <w:semiHidden/>
    <w:unhideWhenUsed/>
    <w:rsid w:val="003E3D7C"/>
    <w:rPr>
      <w:rFonts w:asciiTheme="minorHAnsi" w:eastAsiaTheme="minorEastAsia" w:hAnsiTheme="minorHAnsi" w:cstheme="minorBidi"/>
      <w:b/>
      <w:bCs/>
      <w:lang w:val="fr-FR" w:eastAsia="en-US"/>
    </w:rPr>
  </w:style>
  <w:style w:type="character" w:customStyle="1" w:styleId="CommentSubjectChar">
    <w:name w:val="Comment Subject Char"/>
    <w:basedOn w:val="CommentTextChar"/>
    <w:link w:val="CommentSubject"/>
    <w:uiPriority w:val="99"/>
    <w:semiHidden/>
    <w:rsid w:val="003E3D7C"/>
    <w:rPr>
      <w:rFonts w:ascii="Times New Roman" w:eastAsia="Times New Roman" w:hAnsi="Times New Roman" w:cs="Times New Roman"/>
      <w:b/>
      <w:bCs/>
      <w:sz w:val="20"/>
      <w:szCs w:val="20"/>
      <w:lang w:val="pl-PL" w:eastAsia="pl-PL"/>
    </w:rPr>
  </w:style>
  <w:style w:type="paragraph" w:customStyle="1" w:styleId="Default">
    <w:name w:val="Default"/>
    <w:rsid w:val="00EF5584"/>
    <w:pPr>
      <w:autoSpaceDE w:val="0"/>
      <w:autoSpaceDN w:val="0"/>
      <w:adjustRightInd w:val="0"/>
    </w:pPr>
    <w:rPr>
      <w:rFonts w:ascii="Times New Roman" w:eastAsia="Calibri" w:hAnsi="Times New Roman" w:cs="Times New Roman"/>
      <w:color w:val="000000"/>
      <w:lang w:val="pl-P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C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0C1F"/>
    <w:rPr>
      <w:rFonts w:ascii="Lucida Grande" w:hAnsi="Lucida Grande" w:cs="Lucida Grande"/>
      <w:sz w:val="18"/>
      <w:szCs w:val="18"/>
    </w:rPr>
  </w:style>
  <w:style w:type="paragraph" w:styleId="ListParagraph">
    <w:name w:val="List Paragraph"/>
    <w:aliases w:val="Dot pt,F5 List Paragraph,List Paragraph1,Recommendation,List Paragraph11"/>
    <w:basedOn w:val="Normal"/>
    <w:link w:val="ListParagraphChar"/>
    <w:uiPriority w:val="34"/>
    <w:qFormat/>
    <w:rsid w:val="008C0C1F"/>
    <w:pPr>
      <w:ind w:left="720"/>
      <w:contextualSpacing/>
    </w:pPr>
  </w:style>
  <w:style w:type="character" w:styleId="Hyperlink">
    <w:name w:val="Hyperlink"/>
    <w:basedOn w:val="DefaultParagraphFont"/>
    <w:uiPriority w:val="99"/>
    <w:unhideWhenUsed/>
    <w:rsid w:val="001778B3"/>
    <w:rPr>
      <w:color w:val="0000FF" w:themeColor="hyperlink"/>
      <w:u w:val="single"/>
    </w:rPr>
  </w:style>
  <w:style w:type="paragraph" w:styleId="NormalWeb">
    <w:name w:val="Normal (Web)"/>
    <w:basedOn w:val="Normal"/>
    <w:uiPriority w:val="99"/>
    <w:unhideWhenUsed/>
    <w:rsid w:val="001778B3"/>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3E31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Podrozdział"/>
    <w:basedOn w:val="Normal"/>
    <w:link w:val="FootnoteTextChar"/>
    <w:unhideWhenUsed/>
    <w:rsid w:val="003E3104"/>
  </w:style>
  <w:style w:type="character" w:customStyle="1" w:styleId="FootnoteTextChar">
    <w:name w:val="Footnote Text Char"/>
    <w:aliases w:val="Podrozdział Char"/>
    <w:basedOn w:val="DefaultParagraphFont"/>
    <w:link w:val="FootnoteText"/>
    <w:rsid w:val="003E3104"/>
  </w:style>
  <w:style w:type="character" w:styleId="FootnoteReference">
    <w:name w:val="footnote reference"/>
    <w:aliases w:val="Footnote Reference Number,E FNZ,-E Fußnotenzeichen,Footnote#,Footnote symbol,Footnote,Times 10 Point,Exposant 3 Point,Ref,de nota al pie,Footnote reference number,note TESI,SUPERS,EN Footnote Reference"/>
    <w:basedOn w:val="DefaultParagraphFont"/>
    <w:unhideWhenUsed/>
    <w:rsid w:val="003E3104"/>
    <w:rPr>
      <w:vertAlign w:val="superscript"/>
    </w:rPr>
  </w:style>
  <w:style w:type="character" w:styleId="FollowedHyperlink">
    <w:name w:val="FollowedHyperlink"/>
    <w:basedOn w:val="DefaultParagraphFont"/>
    <w:uiPriority w:val="99"/>
    <w:semiHidden/>
    <w:unhideWhenUsed/>
    <w:rsid w:val="003E3104"/>
    <w:rPr>
      <w:color w:val="800080" w:themeColor="followedHyperlink"/>
      <w:u w:val="single"/>
    </w:rPr>
  </w:style>
  <w:style w:type="paragraph" w:styleId="Footer">
    <w:name w:val="footer"/>
    <w:basedOn w:val="Normal"/>
    <w:link w:val="FooterChar"/>
    <w:uiPriority w:val="99"/>
    <w:unhideWhenUsed/>
    <w:rsid w:val="0045280C"/>
    <w:pPr>
      <w:tabs>
        <w:tab w:val="center" w:pos="4153"/>
        <w:tab w:val="right" w:pos="8306"/>
      </w:tabs>
    </w:pPr>
  </w:style>
  <w:style w:type="character" w:customStyle="1" w:styleId="FooterChar">
    <w:name w:val="Footer Char"/>
    <w:basedOn w:val="DefaultParagraphFont"/>
    <w:link w:val="Footer"/>
    <w:uiPriority w:val="99"/>
    <w:rsid w:val="0045280C"/>
  </w:style>
  <w:style w:type="character" w:styleId="PageNumber">
    <w:name w:val="page number"/>
    <w:basedOn w:val="DefaultParagraphFont"/>
    <w:uiPriority w:val="99"/>
    <w:semiHidden/>
    <w:unhideWhenUsed/>
    <w:rsid w:val="0045280C"/>
  </w:style>
  <w:style w:type="character" w:customStyle="1" w:styleId="ListParagraphChar">
    <w:name w:val="List Paragraph Char"/>
    <w:aliases w:val="Dot pt Char,F5 List Paragraph Char,List Paragraph1 Char,Recommendation Char,List Paragraph11 Char"/>
    <w:basedOn w:val="DefaultParagraphFont"/>
    <w:link w:val="ListParagraph"/>
    <w:uiPriority w:val="34"/>
    <w:locked/>
    <w:rsid w:val="004B7953"/>
  </w:style>
  <w:style w:type="paragraph" w:styleId="BodyText">
    <w:name w:val="Body Text"/>
    <w:aliases w:val="bt,b,wypunktowanie,Tekst podstawowy-bold,Tekst podstawowy Znak Znak Znak Znak Znak Znak Znak Znak,block style,szaro,numerowany,aga,Tekst podstawowyG,b1,Tekst podstawowy Znak Znak,(F2),anita1, uvlaka 3,A Body Text"/>
    <w:basedOn w:val="Normal"/>
    <w:link w:val="BodyTextChar"/>
    <w:semiHidden/>
    <w:rsid w:val="009F3A08"/>
    <w:pPr>
      <w:autoSpaceDE w:val="0"/>
      <w:autoSpaceDN w:val="0"/>
      <w:adjustRightInd w:val="0"/>
      <w:jc w:val="both"/>
    </w:pPr>
    <w:rPr>
      <w:rFonts w:ascii="Times New Roman" w:eastAsia="Times New Roman" w:hAnsi="Times New Roman" w:cs="Times New Roman"/>
      <w:bCs/>
      <w:i/>
      <w:iCs/>
      <w:szCs w:val="19"/>
      <w:lang w:val="en-US" w:eastAsia="pl-PL"/>
    </w:rPr>
  </w:style>
  <w:style w:type="character" w:customStyle="1" w:styleId="BodyTextChar">
    <w:name w:val="Body Text Char"/>
    <w:aliases w:val="bt Char,b Char,wypunktowanie Char,Tekst podstawowy-bold Char,Tekst podstawowy Znak Znak Znak Znak Znak Znak Znak Znak Char,block style Char,szaro Char,numerowany Char,aga Char,Tekst podstawowyG Char,b1 Char,Tekst podstawowy Znak Znak Char"/>
    <w:basedOn w:val="DefaultParagraphFont"/>
    <w:link w:val="BodyText"/>
    <w:semiHidden/>
    <w:rsid w:val="009F3A08"/>
    <w:rPr>
      <w:rFonts w:ascii="Times New Roman" w:eastAsia="Times New Roman" w:hAnsi="Times New Roman" w:cs="Times New Roman"/>
      <w:bCs/>
      <w:i/>
      <w:iCs/>
      <w:szCs w:val="19"/>
      <w:lang w:val="en-US" w:eastAsia="pl-PL"/>
    </w:rPr>
  </w:style>
  <w:style w:type="paragraph" w:styleId="CommentText">
    <w:name w:val="annotation text"/>
    <w:basedOn w:val="Normal"/>
    <w:link w:val="CommentTextChar"/>
    <w:uiPriority w:val="99"/>
    <w:rsid w:val="009F3A08"/>
    <w:rPr>
      <w:rFonts w:ascii="Times New Roman" w:eastAsia="Times New Roman" w:hAnsi="Times New Roman" w:cs="Times New Roman"/>
      <w:sz w:val="20"/>
      <w:szCs w:val="20"/>
      <w:lang w:val="pl-PL" w:eastAsia="pl-PL"/>
    </w:rPr>
  </w:style>
  <w:style w:type="character" w:customStyle="1" w:styleId="CommentTextChar">
    <w:name w:val="Comment Text Char"/>
    <w:basedOn w:val="DefaultParagraphFont"/>
    <w:link w:val="CommentText"/>
    <w:uiPriority w:val="99"/>
    <w:rsid w:val="009F3A08"/>
    <w:rPr>
      <w:rFonts w:ascii="Times New Roman" w:eastAsia="Times New Roman" w:hAnsi="Times New Roman" w:cs="Times New Roman"/>
      <w:sz w:val="20"/>
      <w:szCs w:val="20"/>
      <w:lang w:val="pl-PL" w:eastAsia="pl-PL"/>
    </w:rPr>
  </w:style>
  <w:style w:type="character" w:styleId="CommentReference">
    <w:name w:val="annotation reference"/>
    <w:uiPriority w:val="99"/>
    <w:semiHidden/>
    <w:unhideWhenUsed/>
    <w:rsid w:val="009F3A08"/>
    <w:rPr>
      <w:sz w:val="16"/>
      <w:szCs w:val="16"/>
    </w:rPr>
  </w:style>
  <w:style w:type="character" w:customStyle="1" w:styleId="tabulatory">
    <w:name w:val="tabulatory"/>
    <w:basedOn w:val="DefaultParagraphFont"/>
    <w:rsid w:val="009E191B"/>
  </w:style>
  <w:style w:type="paragraph" w:styleId="CommentSubject">
    <w:name w:val="annotation subject"/>
    <w:basedOn w:val="CommentText"/>
    <w:next w:val="CommentText"/>
    <w:link w:val="CommentSubjectChar"/>
    <w:uiPriority w:val="99"/>
    <w:semiHidden/>
    <w:unhideWhenUsed/>
    <w:rsid w:val="003E3D7C"/>
    <w:rPr>
      <w:rFonts w:asciiTheme="minorHAnsi" w:eastAsiaTheme="minorEastAsia" w:hAnsiTheme="minorHAnsi" w:cstheme="minorBidi"/>
      <w:b/>
      <w:bCs/>
      <w:lang w:val="fr-FR" w:eastAsia="en-US"/>
    </w:rPr>
  </w:style>
  <w:style w:type="character" w:customStyle="1" w:styleId="CommentSubjectChar">
    <w:name w:val="Comment Subject Char"/>
    <w:basedOn w:val="CommentTextChar"/>
    <w:link w:val="CommentSubject"/>
    <w:uiPriority w:val="99"/>
    <w:semiHidden/>
    <w:rsid w:val="003E3D7C"/>
    <w:rPr>
      <w:rFonts w:ascii="Times New Roman" w:eastAsia="Times New Roman" w:hAnsi="Times New Roman" w:cs="Times New Roman"/>
      <w:b/>
      <w:bCs/>
      <w:sz w:val="20"/>
      <w:szCs w:val="20"/>
      <w:lang w:val="pl-PL" w:eastAsia="pl-PL"/>
    </w:rPr>
  </w:style>
  <w:style w:type="paragraph" w:customStyle="1" w:styleId="Default">
    <w:name w:val="Default"/>
    <w:rsid w:val="00EF5584"/>
    <w:pPr>
      <w:autoSpaceDE w:val="0"/>
      <w:autoSpaceDN w:val="0"/>
      <w:adjustRightInd w:val="0"/>
    </w:pPr>
    <w:rPr>
      <w:rFonts w:ascii="Times New Roman" w:eastAsia="Calibri" w:hAnsi="Times New Roman" w:cs="Times New Roman"/>
      <w:color w:val="000000"/>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016319">
      <w:bodyDiv w:val="1"/>
      <w:marLeft w:val="0"/>
      <w:marRight w:val="0"/>
      <w:marTop w:val="0"/>
      <w:marBottom w:val="0"/>
      <w:divBdr>
        <w:top w:val="none" w:sz="0" w:space="0" w:color="auto"/>
        <w:left w:val="none" w:sz="0" w:space="0" w:color="auto"/>
        <w:bottom w:val="none" w:sz="0" w:space="0" w:color="auto"/>
        <w:right w:val="none" w:sz="0" w:space="0" w:color="auto"/>
      </w:divBdr>
      <w:divsChild>
        <w:div w:id="1701321800">
          <w:marLeft w:val="0"/>
          <w:marRight w:val="0"/>
          <w:marTop w:val="0"/>
          <w:marBottom w:val="0"/>
          <w:divBdr>
            <w:top w:val="none" w:sz="0" w:space="0" w:color="auto"/>
            <w:left w:val="none" w:sz="0" w:space="0" w:color="auto"/>
            <w:bottom w:val="none" w:sz="0" w:space="0" w:color="auto"/>
            <w:right w:val="none" w:sz="0" w:space="0" w:color="auto"/>
          </w:divBdr>
          <w:divsChild>
            <w:div w:id="398788614">
              <w:marLeft w:val="0"/>
              <w:marRight w:val="0"/>
              <w:marTop w:val="0"/>
              <w:marBottom w:val="0"/>
              <w:divBdr>
                <w:top w:val="none" w:sz="0" w:space="0" w:color="auto"/>
                <w:left w:val="none" w:sz="0" w:space="0" w:color="auto"/>
                <w:bottom w:val="none" w:sz="0" w:space="0" w:color="auto"/>
                <w:right w:val="none" w:sz="0" w:space="0" w:color="auto"/>
              </w:divBdr>
              <w:divsChild>
                <w:div w:id="11830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851539">
      <w:bodyDiv w:val="1"/>
      <w:marLeft w:val="0"/>
      <w:marRight w:val="0"/>
      <w:marTop w:val="0"/>
      <w:marBottom w:val="0"/>
      <w:divBdr>
        <w:top w:val="none" w:sz="0" w:space="0" w:color="auto"/>
        <w:left w:val="none" w:sz="0" w:space="0" w:color="auto"/>
        <w:bottom w:val="none" w:sz="0" w:space="0" w:color="auto"/>
        <w:right w:val="none" w:sz="0" w:space="0" w:color="auto"/>
      </w:divBdr>
      <w:divsChild>
        <w:div w:id="495850111">
          <w:marLeft w:val="547"/>
          <w:marRight w:val="0"/>
          <w:marTop w:val="115"/>
          <w:marBottom w:val="0"/>
          <w:divBdr>
            <w:top w:val="none" w:sz="0" w:space="0" w:color="auto"/>
            <w:left w:val="none" w:sz="0" w:space="0" w:color="auto"/>
            <w:bottom w:val="none" w:sz="0" w:space="0" w:color="auto"/>
            <w:right w:val="none" w:sz="0" w:space="0" w:color="auto"/>
          </w:divBdr>
        </w:div>
        <w:div w:id="1165785937">
          <w:marLeft w:val="547"/>
          <w:marRight w:val="0"/>
          <w:marTop w:val="67"/>
          <w:marBottom w:val="0"/>
          <w:divBdr>
            <w:top w:val="none" w:sz="0" w:space="0" w:color="auto"/>
            <w:left w:val="none" w:sz="0" w:space="0" w:color="auto"/>
            <w:bottom w:val="none" w:sz="0" w:space="0" w:color="auto"/>
            <w:right w:val="none" w:sz="0" w:space="0" w:color="auto"/>
          </w:divBdr>
        </w:div>
        <w:div w:id="563489813">
          <w:marLeft w:val="547"/>
          <w:marRight w:val="0"/>
          <w:marTop w:val="67"/>
          <w:marBottom w:val="0"/>
          <w:divBdr>
            <w:top w:val="none" w:sz="0" w:space="0" w:color="auto"/>
            <w:left w:val="none" w:sz="0" w:space="0" w:color="auto"/>
            <w:bottom w:val="none" w:sz="0" w:space="0" w:color="auto"/>
            <w:right w:val="none" w:sz="0" w:space="0" w:color="auto"/>
          </w:divBdr>
        </w:div>
        <w:div w:id="1130588466">
          <w:marLeft w:val="547"/>
          <w:marRight w:val="0"/>
          <w:marTop w:val="125"/>
          <w:marBottom w:val="0"/>
          <w:divBdr>
            <w:top w:val="none" w:sz="0" w:space="0" w:color="auto"/>
            <w:left w:val="none" w:sz="0" w:space="0" w:color="auto"/>
            <w:bottom w:val="none" w:sz="0" w:space="0" w:color="auto"/>
            <w:right w:val="none" w:sz="0" w:space="0" w:color="auto"/>
          </w:divBdr>
        </w:div>
        <w:div w:id="1075396413">
          <w:marLeft w:val="547"/>
          <w:marRight w:val="0"/>
          <w:marTop w:val="96"/>
          <w:marBottom w:val="0"/>
          <w:divBdr>
            <w:top w:val="none" w:sz="0" w:space="0" w:color="auto"/>
            <w:left w:val="none" w:sz="0" w:space="0" w:color="auto"/>
            <w:bottom w:val="none" w:sz="0" w:space="0" w:color="auto"/>
            <w:right w:val="none" w:sz="0" w:space="0" w:color="auto"/>
          </w:divBdr>
        </w:div>
        <w:div w:id="300814799">
          <w:marLeft w:val="547"/>
          <w:marRight w:val="0"/>
          <w:marTop w:val="96"/>
          <w:marBottom w:val="0"/>
          <w:divBdr>
            <w:top w:val="none" w:sz="0" w:space="0" w:color="auto"/>
            <w:left w:val="none" w:sz="0" w:space="0" w:color="auto"/>
            <w:bottom w:val="none" w:sz="0" w:space="0" w:color="auto"/>
            <w:right w:val="none" w:sz="0" w:space="0" w:color="auto"/>
          </w:divBdr>
        </w:div>
        <w:div w:id="832917152">
          <w:marLeft w:val="547"/>
          <w:marRight w:val="0"/>
          <w:marTop w:val="96"/>
          <w:marBottom w:val="0"/>
          <w:divBdr>
            <w:top w:val="none" w:sz="0" w:space="0" w:color="auto"/>
            <w:left w:val="none" w:sz="0" w:space="0" w:color="auto"/>
            <w:bottom w:val="none" w:sz="0" w:space="0" w:color="auto"/>
            <w:right w:val="none" w:sz="0" w:space="0" w:color="auto"/>
          </w:divBdr>
        </w:div>
        <w:div w:id="1949190439">
          <w:marLeft w:val="547"/>
          <w:marRight w:val="0"/>
          <w:marTop w:val="96"/>
          <w:marBottom w:val="0"/>
          <w:divBdr>
            <w:top w:val="none" w:sz="0" w:space="0" w:color="auto"/>
            <w:left w:val="none" w:sz="0" w:space="0" w:color="auto"/>
            <w:bottom w:val="none" w:sz="0" w:space="0" w:color="auto"/>
            <w:right w:val="none" w:sz="0" w:space="0" w:color="auto"/>
          </w:divBdr>
        </w:div>
        <w:div w:id="320306943">
          <w:marLeft w:val="547"/>
          <w:marRight w:val="0"/>
          <w:marTop w:val="96"/>
          <w:marBottom w:val="0"/>
          <w:divBdr>
            <w:top w:val="none" w:sz="0" w:space="0" w:color="auto"/>
            <w:left w:val="none" w:sz="0" w:space="0" w:color="auto"/>
            <w:bottom w:val="none" w:sz="0" w:space="0" w:color="auto"/>
            <w:right w:val="none" w:sz="0" w:space="0" w:color="auto"/>
          </w:divBdr>
        </w:div>
        <w:div w:id="1182939733">
          <w:marLeft w:val="547"/>
          <w:marRight w:val="0"/>
          <w:marTop w:val="96"/>
          <w:marBottom w:val="0"/>
          <w:divBdr>
            <w:top w:val="none" w:sz="0" w:space="0" w:color="auto"/>
            <w:left w:val="none" w:sz="0" w:space="0" w:color="auto"/>
            <w:bottom w:val="none" w:sz="0" w:space="0" w:color="auto"/>
            <w:right w:val="none" w:sz="0" w:space="0" w:color="auto"/>
          </w:divBdr>
        </w:div>
        <w:div w:id="1432554092">
          <w:marLeft w:val="547"/>
          <w:marRight w:val="0"/>
          <w:marTop w:val="96"/>
          <w:marBottom w:val="0"/>
          <w:divBdr>
            <w:top w:val="none" w:sz="0" w:space="0" w:color="auto"/>
            <w:left w:val="none" w:sz="0" w:space="0" w:color="auto"/>
            <w:bottom w:val="none" w:sz="0" w:space="0" w:color="auto"/>
            <w:right w:val="none" w:sz="0" w:space="0" w:color="auto"/>
          </w:divBdr>
        </w:div>
        <w:div w:id="1115707443">
          <w:marLeft w:val="547"/>
          <w:marRight w:val="0"/>
          <w:marTop w:val="67"/>
          <w:marBottom w:val="0"/>
          <w:divBdr>
            <w:top w:val="none" w:sz="0" w:space="0" w:color="auto"/>
            <w:left w:val="none" w:sz="0" w:space="0" w:color="auto"/>
            <w:bottom w:val="none" w:sz="0" w:space="0" w:color="auto"/>
            <w:right w:val="none" w:sz="0" w:space="0" w:color="auto"/>
          </w:divBdr>
        </w:div>
        <w:div w:id="1925333545">
          <w:marLeft w:val="547"/>
          <w:marRight w:val="0"/>
          <w:marTop w:val="67"/>
          <w:marBottom w:val="0"/>
          <w:divBdr>
            <w:top w:val="none" w:sz="0" w:space="0" w:color="auto"/>
            <w:left w:val="none" w:sz="0" w:space="0" w:color="auto"/>
            <w:bottom w:val="none" w:sz="0" w:space="0" w:color="auto"/>
            <w:right w:val="none" w:sz="0" w:space="0" w:color="auto"/>
          </w:divBdr>
        </w:div>
        <w:div w:id="863177351">
          <w:marLeft w:val="547"/>
          <w:marRight w:val="0"/>
          <w:marTop w:val="67"/>
          <w:marBottom w:val="0"/>
          <w:divBdr>
            <w:top w:val="none" w:sz="0" w:space="0" w:color="auto"/>
            <w:left w:val="none" w:sz="0" w:space="0" w:color="auto"/>
            <w:bottom w:val="none" w:sz="0" w:space="0" w:color="auto"/>
            <w:right w:val="none" w:sz="0" w:space="0" w:color="auto"/>
          </w:divBdr>
        </w:div>
        <w:div w:id="1022242515">
          <w:marLeft w:val="547"/>
          <w:marRight w:val="0"/>
          <w:marTop w:val="67"/>
          <w:marBottom w:val="0"/>
          <w:divBdr>
            <w:top w:val="none" w:sz="0" w:space="0" w:color="auto"/>
            <w:left w:val="none" w:sz="0" w:space="0" w:color="auto"/>
            <w:bottom w:val="none" w:sz="0" w:space="0" w:color="auto"/>
            <w:right w:val="none" w:sz="0" w:space="0" w:color="auto"/>
          </w:divBdr>
        </w:div>
        <w:div w:id="2132245024">
          <w:marLeft w:val="547"/>
          <w:marRight w:val="0"/>
          <w:marTop w:val="134"/>
          <w:marBottom w:val="0"/>
          <w:divBdr>
            <w:top w:val="none" w:sz="0" w:space="0" w:color="auto"/>
            <w:left w:val="none" w:sz="0" w:space="0" w:color="auto"/>
            <w:bottom w:val="none" w:sz="0" w:space="0" w:color="auto"/>
            <w:right w:val="none" w:sz="0" w:space="0" w:color="auto"/>
          </w:divBdr>
        </w:div>
        <w:div w:id="132716582">
          <w:marLeft w:val="547"/>
          <w:marRight w:val="0"/>
          <w:marTop w:val="67"/>
          <w:marBottom w:val="0"/>
          <w:divBdr>
            <w:top w:val="none" w:sz="0" w:space="0" w:color="auto"/>
            <w:left w:val="none" w:sz="0" w:space="0" w:color="auto"/>
            <w:bottom w:val="none" w:sz="0" w:space="0" w:color="auto"/>
            <w:right w:val="none" w:sz="0" w:space="0" w:color="auto"/>
          </w:divBdr>
        </w:div>
        <w:div w:id="1441029022">
          <w:marLeft w:val="547"/>
          <w:marRight w:val="0"/>
          <w:marTop w:val="67"/>
          <w:marBottom w:val="0"/>
          <w:divBdr>
            <w:top w:val="none" w:sz="0" w:space="0" w:color="auto"/>
            <w:left w:val="none" w:sz="0" w:space="0" w:color="auto"/>
            <w:bottom w:val="none" w:sz="0" w:space="0" w:color="auto"/>
            <w:right w:val="none" w:sz="0" w:space="0" w:color="auto"/>
          </w:divBdr>
        </w:div>
        <w:div w:id="1927958926">
          <w:marLeft w:val="547"/>
          <w:marRight w:val="0"/>
          <w:marTop w:val="67"/>
          <w:marBottom w:val="0"/>
          <w:divBdr>
            <w:top w:val="none" w:sz="0" w:space="0" w:color="auto"/>
            <w:left w:val="none" w:sz="0" w:space="0" w:color="auto"/>
            <w:bottom w:val="none" w:sz="0" w:space="0" w:color="auto"/>
            <w:right w:val="none" w:sz="0" w:space="0" w:color="auto"/>
          </w:divBdr>
        </w:div>
        <w:div w:id="1080908741">
          <w:marLeft w:val="547"/>
          <w:marRight w:val="0"/>
          <w:marTop w:val="67"/>
          <w:marBottom w:val="0"/>
          <w:divBdr>
            <w:top w:val="none" w:sz="0" w:space="0" w:color="auto"/>
            <w:left w:val="none" w:sz="0" w:space="0" w:color="auto"/>
            <w:bottom w:val="none" w:sz="0" w:space="0" w:color="auto"/>
            <w:right w:val="none" w:sz="0" w:space="0" w:color="auto"/>
          </w:divBdr>
        </w:div>
        <w:div w:id="180705246">
          <w:marLeft w:val="547"/>
          <w:marRight w:val="0"/>
          <w:marTop w:val="67"/>
          <w:marBottom w:val="0"/>
          <w:divBdr>
            <w:top w:val="none" w:sz="0" w:space="0" w:color="auto"/>
            <w:left w:val="none" w:sz="0" w:space="0" w:color="auto"/>
            <w:bottom w:val="none" w:sz="0" w:space="0" w:color="auto"/>
            <w:right w:val="none" w:sz="0" w:space="0" w:color="auto"/>
          </w:divBdr>
        </w:div>
        <w:div w:id="75179128">
          <w:marLeft w:val="547"/>
          <w:marRight w:val="0"/>
          <w:marTop w:val="67"/>
          <w:marBottom w:val="0"/>
          <w:divBdr>
            <w:top w:val="none" w:sz="0" w:space="0" w:color="auto"/>
            <w:left w:val="none" w:sz="0" w:space="0" w:color="auto"/>
            <w:bottom w:val="none" w:sz="0" w:space="0" w:color="auto"/>
            <w:right w:val="none" w:sz="0" w:space="0" w:color="auto"/>
          </w:divBdr>
        </w:div>
        <w:div w:id="635376523">
          <w:marLeft w:val="547"/>
          <w:marRight w:val="0"/>
          <w:marTop w:val="67"/>
          <w:marBottom w:val="0"/>
          <w:divBdr>
            <w:top w:val="none" w:sz="0" w:space="0" w:color="auto"/>
            <w:left w:val="none" w:sz="0" w:space="0" w:color="auto"/>
            <w:bottom w:val="none" w:sz="0" w:space="0" w:color="auto"/>
            <w:right w:val="none" w:sz="0" w:space="0" w:color="auto"/>
          </w:divBdr>
        </w:div>
        <w:div w:id="2003777033">
          <w:marLeft w:val="547"/>
          <w:marRight w:val="0"/>
          <w:marTop w:val="67"/>
          <w:marBottom w:val="0"/>
          <w:divBdr>
            <w:top w:val="none" w:sz="0" w:space="0" w:color="auto"/>
            <w:left w:val="none" w:sz="0" w:space="0" w:color="auto"/>
            <w:bottom w:val="none" w:sz="0" w:space="0" w:color="auto"/>
            <w:right w:val="none" w:sz="0" w:space="0" w:color="auto"/>
          </w:divBdr>
        </w:div>
      </w:divsChild>
    </w:div>
    <w:div w:id="350226587">
      <w:bodyDiv w:val="1"/>
      <w:marLeft w:val="0"/>
      <w:marRight w:val="0"/>
      <w:marTop w:val="0"/>
      <w:marBottom w:val="0"/>
      <w:divBdr>
        <w:top w:val="none" w:sz="0" w:space="0" w:color="auto"/>
        <w:left w:val="none" w:sz="0" w:space="0" w:color="auto"/>
        <w:bottom w:val="none" w:sz="0" w:space="0" w:color="auto"/>
        <w:right w:val="none" w:sz="0" w:space="0" w:color="auto"/>
      </w:divBdr>
      <w:divsChild>
        <w:div w:id="1239290261">
          <w:marLeft w:val="0"/>
          <w:marRight w:val="0"/>
          <w:marTop w:val="0"/>
          <w:marBottom w:val="0"/>
          <w:divBdr>
            <w:top w:val="none" w:sz="0" w:space="0" w:color="auto"/>
            <w:left w:val="none" w:sz="0" w:space="0" w:color="auto"/>
            <w:bottom w:val="none" w:sz="0" w:space="0" w:color="auto"/>
            <w:right w:val="none" w:sz="0" w:space="0" w:color="auto"/>
          </w:divBdr>
          <w:divsChild>
            <w:div w:id="659120896">
              <w:marLeft w:val="0"/>
              <w:marRight w:val="0"/>
              <w:marTop w:val="0"/>
              <w:marBottom w:val="0"/>
              <w:divBdr>
                <w:top w:val="none" w:sz="0" w:space="0" w:color="auto"/>
                <w:left w:val="none" w:sz="0" w:space="0" w:color="auto"/>
                <w:bottom w:val="none" w:sz="0" w:space="0" w:color="auto"/>
                <w:right w:val="none" w:sz="0" w:space="0" w:color="auto"/>
              </w:divBdr>
              <w:divsChild>
                <w:div w:id="796335117">
                  <w:marLeft w:val="0"/>
                  <w:marRight w:val="0"/>
                  <w:marTop w:val="0"/>
                  <w:marBottom w:val="0"/>
                  <w:divBdr>
                    <w:top w:val="none" w:sz="0" w:space="0" w:color="auto"/>
                    <w:left w:val="none" w:sz="0" w:space="0" w:color="auto"/>
                    <w:bottom w:val="none" w:sz="0" w:space="0" w:color="auto"/>
                    <w:right w:val="none" w:sz="0" w:space="0" w:color="auto"/>
                  </w:divBdr>
                </w:div>
              </w:divsChild>
            </w:div>
            <w:div w:id="1873374956">
              <w:marLeft w:val="0"/>
              <w:marRight w:val="0"/>
              <w:marTop w:val="0"/>
              <w:marBottom w:val="0"/>
              <w:divBdr>
                <w:top w:val="none" w:sz="0" w:space="0" w:color="auto"/>
                <w:left w:val="none" w:sz="0" w:space="0" w:color="auto"/>
                <w:bottom w:val="none" w:sz="0" w:space="0" w:color="auto"/>
                <w:right w:val="none" w:sz="0" w:space="0" w:color="auto"/>
              </w:divBdr>
              <w:divsChild>
                <w:div w:id="704870645">
                  <w:marLeft w:val="0"/>
                  <w:marRight w:val="0"/>
                  <w:marTop w:val="0"/>
                  <w:marBottom w:val="0"/>
                  <w:divBdr>
                    <w:top w:val="none" w:sz="0" w:space="0" w:color="auto"/>
                    <w:left w:val="none" w:sz="0" w:space="0" w:color="auto"/>
                    <w:bottom w:val="none" w:sz="0" w:space="0" w:color="auto"/>
                    <w:right w:val="none" w:sz="0" w:space="0" w:color="auto"/>
                  </w:divBdr>
                </w:div>
              </w:divsChild>
            </w:div>
            <w:div w:id="722214783">
              <w:marLeft w:val="0"/>
              <w:marRight w:val="0"/>
              <w:marTop w:val="0"/>
              <w:marBottom w:val="0"/>
              <w:divBdr>
                <w:top w:val="none" w:sz="0" w:space="0" w:color="auto"/>
                <w:left w:val="none" w:sz="0" w:space="0" w:color="auto"/>
                <w:bottom w:val="none" w:sz="0" w:space="0" w:color="auto"/>
                <w:right w:val="none" w:sz="0" w:space="0" w:color="auto"/>
              </w:divBdr>
              <w:divsChild>
                <w:div w:id="194773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369211">
      <w:bodyDiv w:val="1"/>
      <w:marLeft w:val="0"/>
      <w:marRight w:val="0"/>
      <w:marTop w:val="0"/>
      <w:marBottom w:val="0"/>
      <w:divBdr>
        <w:top w:val="none" w:sz="0" w:space="0" w:color="auto"/>
        <w:left w:val="none" w:sz="0" w:space="0" w:color="auto"/>
        <w:bottom w:val="none" w:sz="0" w:space="0" w:color="auto"/>
        <w:right w:val="none" w:sz="0" w:space="0" w:color="auto"/>
      </w:divBdr>
      <w:divsChild>
        <w:div w:id="940381152">
          <w:marLeft w:val="0"/>
          <w:marRight w:val="0"/>
          <w:marTop w:val="0"/>
          <w:marBottom w:val="0"/>
          <w:divBdr>
            <w:top w:val="none" w:sz="0" w:space="0" w:color="auto"/>
            <w:left w:val="none" w:sz="0" w:space="0" w:color="auto"/>
            <w:bottom w:val="none" w:sz="0" w:space="0" w:color="auto"/>
            <w:right w:val="none" w:sz="0" w:space="0" w:color="auto"/>
          </w:divBdr>
          <w:divsChild>
            <w:div w:id="151868917">
              <w:marLeft w:val="0"/>
              <w:marRight w:val="0"/>
              <w:marTop w:val="0"/>
              <w:marBottom w:val="0"/>
              <w:divBdr>
                <w:top w:val="none" w:sz="0" w:space="0" w:color="auto"/>
                <w:left w:val="none" w:sz="0" w:space="0" w:color="auto"/>
                <w:bottom w:val="none" w:sz="0" w:space="0" w:color="auto"/>
                <w:right w:val="none" w:sz="0" w:space="0" w:color="auto"/>
              </w:divBdr>
              <w:divsChild>
                <w:div w:id="134246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439193">
      <w:bodyDiv w:val="1"/>
      <w:marLeft w:val="0"/>
      <w:marRight w:val="0"/>
      <w:marTop w:val="0"/>
      <w:marBottom w:val="0"/>
      <w:divBdr>
        <w:top w:val="none" w:sz="0" w:space="0" w:color="auto"/>
        <w:left w:val="none" w:sz="0" w:space="0" w:color="auto"/>
        <w:bottom w:val="none" w:sz="0" w:space="0" w:color="auto"/>
        <w:right w:val="none" w:sz="0" w:space="0" w:color="auto"/>
      </w:divBdr>
    </w:div>
    <w:div w:id="441191870">
      <w:bodyDiv w:val="1"/>
      <w:marLeft w:val="0"/>
      <w:marRight w:val="0"/>
      <w:marTop w:val="0"/>
      <w:marBottom w:val="0"/>
      <w:divBdr>
        <w:top w:val="none" w:sz="0" w:space="0" w:color="auto"/>
        <w:left w:val="none" w:sz="0" w:space="0" w:color="auto"/>
        <w:bottom w:val="none" w:sz="0" w:space="0" w:color="auto"/>
        <w:right w:val="none" w:sz="0" w:space="0" w:color="auto"/>
      </w:divBdr>
      <w:divsChild>
        <w:div w:id="1310743829">
          <w:marLeft w:val="0"/>
          <w:marRight w:val="0"/>
          <w:marTop w:val="0"/>
          <w:marBottom w:val="0"/>
          <w:divBdr>
            <w:top w:val="none" w:sz="0" w:space="0" w:color="auto"/>
            <w:left w:val="none" w:sz="0" w:space="0" w:color="auto"/>
            <w:bottom w:val="none" w:sz="0" w:space="0" w:color="auto"/>
            <w:right w:val="none" w:sz="0" w:space="0" w:color="auto"/>
          </w:divBdr>
          <w:divsChild>
            <w:div w:id="1270313560">
              <w:marLeft w:val="0"/>
              <w:marRight w:val="0"/>
              <w:marTop w:val="0"/>
              <w:marBottom w:val="0"/>
              <w:divBdr>
                <w:top w:val="none" w:sz="0" w:space="0" w:color="auto"/>
                <w:left w:val="none" w:sz="0" w:space="0" w:color="auto"/>
                <w:bottom w:val="none" w:sz="0" w:space="0" w:color="auto"/>
                <w:right w:val="none" w:sz="0" w:space="0" w:color="auto"/>
              </w:divBdr>
              <w:divsChild>
                <w:div w:id="199734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644090">
      <w:bodyDiv w:val="1"/>
      <w:marLeft w:val="0"/>
      <w:marRight w:val="0"/>
      <w:marTop w:val="0"/>
      <w:marBottom w:val="0"/>
      <w:divBdr>
        <w:top w:val="none" w:sz="0" w:space="0" w:color="auto"/>
        <w:left w:val="none" w:sz="0" w:space="0" w:color="auto"/>
        <w:bottom w:val="none" w:sz="0" w:space="0" w:color="auto"/>
        <w:right w:val="none" w:sz="0" w:space="0" w:color="auto"/>
      </w:divBdr>
      <w:divsChild>
        <w:div w:id="1857621254">
          <w:marLeft w:val="0"/>
          <w:marRight w:val="0"/>
          <w:marTop w:val="0"/>
          <w:marBottom w:val="0"/>
          <w:divBdr>
            <w:top w:val="none" w:sz="0" w:space="0" w:color="auto"/>
            <w:left w:val="none" w:sz="0" w:space="0" w:color="auto"/>
            <w:bottom w:val="none" w:sz="0" w:space="0" w:color="auto"/>
            <w:right w:val="none" w:sz="0" w:space="0" w:color="auto"/>
          </w:divBdr>
          <w:divsChild>
            <w:div w:id="694693067">
              <w:marLeft w:val="0"/>
              <w:marRight w:val="0"/>
              <w:marTop w:val="0"/>
              <w:marBottom w:val="0"/>
              <w:divBdr>
                <w:top w:val="none" w:sz="0" w:space="0" w:color="auto"/>
                <w:left w:val="none" w:sz="0" w:space="0" w:color="auto"/>
                <w:bottom w:val="none" w:sz="0" w:space="0" w:color="auto"/>
                <w:right w:val="none" w:sz="0" w:space="0" w:color="auto"/>
              </w:divBdr>
              <w:divsChild>
                <w:div w:id="59043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706164">
      <w:bodyDiv w:val="1"/>
      <w:marLeft w:val="0"/>
      <w:marRight w:val="0"/>
      <w:marTop w:val="0"/>
      <w:marBottom w:val="0"/>
      <w:divBdr>
        <w:top w:val="none" w:sz="0" w:space="0" w:color="auto"/>
        <w:left w:val="none" w:sz="0" w:space="0" w:color="auto"/>
        <w:bottom w:val="none" w:sz="0" w:space="0" w:color="auto"/>
        <w:right w:val="none" w:sz="0" w:space="0" w:color="auto"/>
      </w:divBdr>
      <w:divsChild>
        <w:div w:id="136530133">
          <w:marLeft w:val="0"/>
          <w:marRight w:val="0"/>
          <w:marTop w:val="0"/>
          <w:marBottom w:val="0"/>
          <w:divBdr>
            <w:top w:val="none" w:sz="0" w:space="0" w:color="auto"/>
            <w:left w:val="none" w:sz="0" w:space="0" w:color="auto"/>
            <w:bottom w:val="none" w:sz="0" w:space="0" w:color="auto"/>
            <w:right w:val="none" w:sz="0" w:space="0" w:color="auto"/>
          </w:divBdr>
          <w:divsChild>
            <w:div w:id="1516920699">
              <w:marLeft w:val="0"/>
              <w:marRight w:val="0"/>
              <w:marTop w:val="0"/>
              <w:marBottom w:val="0"/>
              <w:divBdr>
                <w:top w:val="none" w:sz="0" w:space="0" w:color="auto"/>
                <w:left w:val="none" w:sz="0" w:space="0" w:color="auto"/>
                <w:bottom w:val="none" w:sz="0" w:space="0" w:color="auto"/>
                <w:right w:val="none" w:sz="0" w:space="0" w:color="auto"/>
              </w:divBdr>
              <w:divsChild>
                <w:div w:id="201865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30341">
      <w:bodyDiv w:val="1"/>
      <w:marLeft w:val="0"/>
      <w:marRight w:val="0"/>
      <w:marTop w:val="0"/>
      <w:marBottom w:val="0"/>
      <w:divBdr>
        <w:top w:val="none" w:sz="0" w:space="0" w:color="auto"/>
        <w:left w:val="none" w:sz="0" w:space="0" w:color="auto"/>
        <w:bottom w:val="none" w:sz="0" w:space="0" w:color="auto"/>
        <w:right w:val="none" w:sz="0" w:space="0" w:color="auto"/>
      </w:divBdr>
      <w:divsChild>
        <w:div w:id="1531406738">
          <w:marLeft w:val="0"/>
          <w:marRight w:val="0"/>
          <w:marTop w:val="0"/>
          <w:marBottom w:val="0"/>
          <w:divBdr>
            <w:top w:val="none" w:sz="0" w:space="0" w:color="auto"/>
            <w:left w:val="none" w:sz="0" w:space="0" w:color="auto"/>
            <w:bottom w:val="none" w:sz="0" w:space="0" w:color="auto"/>
            <w:right w:val="none" w:sz="0" w:space="0" w:color="auto"/>
          </w:divBdr>
          <w:divsChild>
            <w:div w:id="444038993">
              <w:marLeft w:val="0"/>
              <w:marRight w:val="0"/>
              <w:marTop w:val="0"/>
              <w:marBottom w:val="0"/>
              <w:divBdr>
                <w:top w:val="none" w:sz="0" w:space="0" w:color="auto"/>
                <w:left w:val="none" w:sz="0" w:space="0" w:color="auto"/>
                <w:bottom w:val="none" w:sz="0" w:space="0" w:color="auto"/>
                <w:right w:val="none" w:sz="0" w:space="0" w:color="auto"/>
              </w:divBdr>
              <w:divsChild>
                <w:div w:id="408355507">
                  <w:marLeft w:val="0"/>
                  <w:marRight w:val="0"/>
                  <w:marTop w:val="0"/>
                  <w:marBottom w:val="0"/>
                  <w:divBdr>
                    <w:top w:val="none" w:sz="0" w:space="0" w:color="auto"/>
                    <w:left w:val="none" w:sz="0" w:space="0" w:color="auto"/>
                    <w:bottom w:val="none" w:sz="0" w:space="0" w:color="auto"/>
                    <w:right w:val="none" w:sz="0" w:space="0" w:color="auto"/>
                  </w:divBdr>
                </w:div>
              </w:divsChild>
            </w:div>
            <w:div w:id="1558937031">
              <w:marLeft w:val="0"/>
              <w:marRight w:val="0"/>
              <w:marTop w:val="0"/>
              <w:marBottom w:val="0"/>
              <w:divBdr>
                <w:top w:val="none" w:sz="0" w:space="0" w:color="auto"/>
                <w:left w:val="none" w:sz="0" w:space="0" w:color="auto"/>
                <w:bottom w:val="none" w:sz="0" w:space="0" w:color="auto"/>
                <w:right w:val="none" w:sz="0" w:space="0" w:color="auto"/>
              </w:divBdr>
              <w:divsChild>
                <w:div w:id="165159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0363">
          <w:marLeft w:val="0"/>
          <w:marRight w:val="0"/>
          <w:marTop w:val="0"/>
          <w:marBottom w:val="0"/>
          <w:divBdr>
            <w:top w:val="none" w:sz="0" w:space="0" w:color="auto"/>
            <w:left w:val="none" w:sz="0" w:space="0" w:color="auto"/>
            <w:bottom w:val="none" w:sz="0" w:space="0" w:color="auto"/>
            <w:right w:val="none" w:sz="0" w:space="0" w:color="auto"/>
          </w:divBdr>
          <w:divsChild>
            <w:div w:id="306788132">
              <w:marLeft w:val="0"/>
              <w:marRight w:val="0"/>
              <w:marTop w:val="0"/>
              <w:marBottom w:val="0"/>
              <w:divBdr>
                <w:top w:val="none" w:sz="0" w:space="0" w:color="auto"/>
                <w:left w:val="none" w:sz="0" w:space="0" w:color="auto"/>
                <w:bottom w:val="none" w:sz="0" w:space="0" w:color="auto"/>
                <w:right w:val="none" w:sz="0" w:space="0" w:color="auto"/>
              </w:divBdr>
              <w:divsChild>
                <w:div w:id="753552670">
                  <w:marLeft w:val="0"/>
                  <w:marRight w:val="0"/>
                  <w:marTop w:val="0"/>
                  <w:marBottom w:val="0"/>
                  <w:divBdr>
                    <w:top w:val="none" w:sz="0" w:space="0" w:color="auto"/>
                    <w:left w:val="none" w:sz="0" w:space="0" w:color="auto"/>
                    <w:bottom w:val="none" w:sz="0" w:space="0" w:color="auto"/>
                    <w:right w:val="none" w:sz="0" w:space="0" w:color="auto"/>
                  </w:divBdr>
                </w:div>
              </w:divsChild>
            </w:div>
            <w:div w:id="914323143">
              <w:marLeft w:val="0"/>
              <w:marRight w:val="0"/>
              <w:marTop w:val="0"/>
              <w:marBottom w:val="0"/>
              <w:divBdr>
                <w:top w:val="none" w:sz="0" w:space="0" w:color="auto"/>
                <w:left w:val="none" w:sz="0" w:space="0" w:color="auto"/>
                <w:bottom w:val="none" w:sz="0" w:space="0" w:color="auto"/>
                <w:right w:val="none" w:sz="0" w:space="0" w:color="auto"/>
              </w:divBdr>
              <w:divsChild>
                <w:div w:id="199926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772186">
      <w:bodyDiv w:val="1"/>
      <w:marLeft w:val="0"/>
      <w:marRight w:val="0"/>
      <w:marTop w:val="0"/>
      <w:marBottom w:val="0"/>
      <w:divBdr>
        <w:top w:val="none" w:sz="0" w:space="0" w:color="auto"/>
        <w:left w:val="none" w:sz="0" w:space="0" w:color="auto"/>
        <w:bottom w:val="none" w:sz="0" w:space="0" w:color="auto"/>
        <w:right w:val="none" w:sz="0" w:space="0" w:color="auto"/>
      </w:divBdr>
      <w:divsChild>
        <w:div w:id="664555233">
          <w:marLeft w:val="0"/>
          <w:marRight w:val="0"/>
          <w:marTop w:val="0"/>
          <w:marBottom w:val="0"/>
          <w:divBdr>
            <w:top w:val="none" w:sz="0" w:space="0" w:color="auto"/>
            <w:left w:val="none" w:sz="0" w:space="0" w:color="auto"/>
            <w:bottom w:val="none" w:sz="0" w:space="0" w:color="auto"/>
            <w:right w:val="none" w:sz="0" w:space="0" w:color="auto"/>
          </w:divBdr>
          <w:divsChild>
            <w:div w:id="1321155155">
              <w:marLeft w:val="0"/>
              <w:marRight w:val="0"/>
              <w:marTop w:val="0"/>
              <w:marBottom w:val="0"/>
              <w:divBdr>
                <w:top w:val="none" w:sz="0" w:space="0" w:color="auto"/>
                <w:left w:val="none" w:sz="0" w:space="0" w:color="auto"/>
                <w:bottom w:val="none" w:sz="0" w:space="0" w:color="auto"/>
                <w:right w:val="none" w:sz="0" w:space="0" w:color="auto"/>
              </w:divBdr>
              <w:divsChild>
                <w:div w:id="15572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590426">
      <w:bodyDiv w:val="1"/>
      <w:marLeft w:val="0"/>
      <w:marRight w:val="0"/>
      <w:marTop w:val="0"/>
      <w:marBottom w:val="0"/>
      <w:divBdr>
        <w:top w:val="none" w:sz="0" w:space="0" w:color="auto"/>
        <w:left w:val="none" w:sz="0" w:space="0" w:color="auto"/>
        <w:bottom w:val="none" w:sz="0" w:space="0" w:color="auto"/>
        <w:right w:val="none" w:sz="0" w:space="0" w:color="auto"/>
      </w:divBdr>
    </w:div>
    <w:div w:id="1022320146">
      <w:bodyDiv w:val="1"/>
      <w:marLeft w:val="0"/>
      <w:marRight w:val="0"/>
      <w:marTop w:val="0"/>
      <w:marBottom w:val="0"/>
      <w:divBdr>
        <w:top w:val="none" w:sz="0" w:space="0" w:color="auto"/>
        <w:left w:val="none" w:sz="0" w:space="0" w:color="auto"/>
        <w:bottom w:val="none" w:sz="0" w:space="0" w:color="auto"/>
        <w:right w:val="none" w:sz="0" w:space="0" w:color="auto"/>
      </w:divBdr>
    </w:div>
    <w:div w:id="1093933010">
      <w:bodyDiv w:val="1"/>
      <w:marLeft w:val="0"/>
      <w:marRight w:val="0"/>
      <w:marTop w:val="0"/>
      <w:marBottom w:val="0"/>
      <w:divBdr>
        <w:top w:val="none" w:sz="0" w:space="0" w:color="auto"/>
        <w:left w:val="none" w:sz="0" w:space="0" w:color="auto"/>
        <w:bottom w:val="none" w:sz="0" w:space="0" w:color="auto"/>
        <w:right w:val="none" w:sz="0" w:space="0" w:color="auto"/>
      </w:divBdr>
      <w:divsChild>
        <w:div w:id="675041784">
          <w:marLeft w:val="0"/>
          <w:marRight w:val="0"/>
          <w:marTop w:val="0"/>
          <w:marBottom w:val="0"/>
          <w:divBdr>
            <w:top w:val="none" w:sz="0" w:space="0" w:color="auto"/>
            <w:left w:val="none" w:sz="0" w:space="0" w:color="auto"/>
            <w:bottom w:val="none" w:sz="0" w:space="0" w:color="auto"/>
            <w:right w:val="none" w:sz="0" w:space="0" w:color="auto"/>
          </w:divBdr>
          <w:divsChild>
            <w:div w:id="545291794">
              <w:marLeft w:val="0"/>
              <w:marRight w:val="0"/>
              <w:marTop w:val="0"/>
              <w:marBottom w:val="0"/>
              <w:divBdr>
                <w:top w:val="none" w:sz="0" w:space="0" w:color="auto"/>
                <w:left w:val="none" w:sz="0" w:space="0" w:color="auto"/>
                <w:bottom w:val="none" w:sz="0" w:space="0" w:color="auto"/>
                <w:right w:val="none" w:sz="0" w:space="0" w:color="auto"/>
              </w:divBdr>
              <w:divsChild>
                <w:div w:id="108013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92114">
      <w:bodyDiv w:val="1"/>
      <w:marLeft w:val="0"/>
      <w:marRight w:val="0"/>
      <w:marTop w:val="0"/>
      <w:marBottom w:val="0"/>
      <w:divBdr>
        <w:top w:val="none" w:sz="0" w:space="0" w:color="auto"/>
        <w:left w:val="none" w:sz="0" w:space="0" w:color="auto"/>
        <w:bottom w:val="none" w:sz="0" w:space="0" w:color="auto"/>
        <w:right w:val="none" w:sz="0" w:space="0" w:color="auto"/>
      </w:divBdr>
    </w:div>
    <w:div w:id="1319308830">
      <w:bodyDiv w:val="1"/>
      <w:marLeft w:val="0"/>
      <w:marRight w:val="0"/>
      <w:marTop w:val="0"/>
      <w:marBottom w:val="0"/>
      <w:divBdr>
        <w:top w:val="none" w:sz="0" w:space="0" w:color="auto"/>
        <w:left w:val="none" w:sz="0" w:space="0" w:color="auto"/>
        <w:bottom w:val="none" w:sz="0" w:space="0" w:color="auto"/>
        <w:right w:val="none" w:sz="0" w:space="0" w:color="auto"/>
      </w:divBdr>
      <w:divsChild>
        <w:div w:id="369957365">
          <w:marLeft w:val="0"/>
          <w:marRight w:val="0"/>
          <w:marTop w:val="0"/>
          <w:marBottom w:val="0"/>
          <w:divBdr>
            <w:top w:val="none" w:sz="0" w:space="0" w:color="auto"/>
            <w:left w:val="none" w:sz="0" w:space="0" w:color="auto"/>
            <w:bottom w:val="none" w:sz="0" w:space="0" w:color="auto"/>
            <w:right w:val="none" w:sz="0" w:space="0" w:color="auto"/>
          </w:divBdr>
          <w:divsChild>
            <w:div w:id="1968192613">
              <w:marLeft w:val="0"/>
              <w:marRight w:val="0"/>
              <w:marTop w:val="0"/>
              <w:marBottom w:val="0"/>
              <w:divBdr>
                <w:top w:val="none" w:sz="0" w:space="0" w:color="auto"/>
                <w:left w:val="none" w:sz="0" w:space="0" w:color="auto"/>
                <w:bottom w:val="none" w:sz="0" w:space="0" w:color="auto"/>
                <w:right w:val="none" w:sz="0" w:space="0" w:color="auto"/>
              </w:divBdr>
              <w:divsChild>
                <w:div w:id="15147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19940">
      <w:bodyDiv w:val="1"/>
      <w:marLeft w:val="0"/>
      <w:marRight w:val="0"/>
      <w:marTop w:val="0"/>
      <w:marBottom w:val="0"/>
      <w:divBdr>
        <w:top w:val="none" w:sz="0" w:space="0" w:color="auto"/>
        <w:left w:val="none" w:sz="0" w:space="0" w:color="auto"/>
        <w:bottom w:val="none" w:sz="0" w:space="0" w:color="auto"/>
        <w:right w:val="none" w:sz="0" w:space="0" w:color="auto"/>
      </w:divBdr>
      <w:divsChild>
        <w:div w:id="1297031579">
          <w:marLeft w:val="0"/>
          <w:marRight w:val="0"/>
          <w:marTop w:val="0"/>
          <w:marBottom w:val="0"/>
          <w:divBdr>
            <w:top w:val="none" w:sz="0" w:space="0" w:color="auto"/>
            <w:left w:val="none" w:sz="0" w:space="0" w:color="auto"/>
            <w:bottom w:val="none" w:sz="0" w:space="0" w:color="auto"/>
            <w:right w:val="none" w:sz="0" w:space="0" w:color="auto"/>
          </w:divBdr>
          <w:divsChild>
            <w:div w:id="1529836798">
              <w:marLeft w:val="0"/>
              <w:marRight w:val="0"/>
              <w:marTop w:val="0"/>
              <w:marBottom w:val="0"/>
              <w:divBdr>
                <w:top w:val="none" w:sz="0" w:space="0" w:color="auto"/>
                <w:left w:val="none" w:sz="0" w:space="0" w:color="auto"/>
                <w:bottom w:val="none" w:sz="0" w:space="0" w:color="auto"/>
                <w:right w:val="none" w:sz="0" w:space="0" w:color="auto"/>
              </w:divBdr>
              <w:divsChild>
                <w:div w:id="133465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45873">
      <w:bodyDiv w:val="1"/>
      <w:marLeft w:val="0"/>
      <w:marRight w:val="0"/>
      <w:marTop w:val="0"/>
      <w:marBottom w:val="0"/>
      <w:divBdr>
        <w:top w:val="none" w:sz="0" w:space="0" w:color="auto"/>
        <w:left w:val="none" w:sz="0" w:space="0" w:color="auto"/>
        <w:bottom w:val="none" w:sz="0" w:space="0" w:color="auto"/>
        <w:right w:val="none" w:sz="0" w:space="0" w:color="auto"/>
      </w:divBdr>
      <w:divsChild>
        <w:div w:id="227619015">
          <w:marLeft w:val="0"/>
          <w:marRight w:val="0"/>
          <w:marTop w:val="0"/>
          <w:marBottom w:val="0"/>
          <w:divBdr>
            <w:top w:val="none" w:sz="0" w:space="0" w:color="auto"/>
            <w:left w:val="none" w:sz="0" w:space="0" w:color="auto"/>
            <w:bottom w:val="none" w:sz="0" w:space="0" w:color="auto"/>
            <w:right w:val="none" w:sz="0" w:space="0" w:color="auto"/>
          </w:divBdr>
          <w:divsChild>
            <w:div w:id="1020854539">
              <w:marLeft w:val="0"/>
              <w:marRight w:val="0"/>
              <w:marTop w:val="0"/>
              <w:marBottom w:val="0"/>
              <w:divBdr>
                <w:top w:val="none" w:sz="0" w:space="0" w:color="auto"/>
                <w:left w:val="none" w:sz="0" w:space="0" w:color="auto"/>
                <w:bottom w:val="none" w:sz="0" w:space="0" w:color="auto"/>
                <w:right w:val="none" w:sz="0" w:space="0" w:color="auto"/>
              </w:divBdr>
              <w:divsChild>
                <w:div w:id="76677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88596">
      <w:bodyDiv w:val="1"/>
      <w:marLeft w:val="0"/>
      <w:marRight w:val="0"/>
      <w:marTop w:val="0"/>
      <w:marBottom w:val="0"/>
      <w:divBdr>
        <w:top w:val="none" w:sz="0" w:space="0" w:color="auto"/>
        <w:left w:val="none" w:sz="0" w:space="0" w:color="auto"/>
        <w:bottom w:val="none" w:sz="0" w:space="0" w:color="auto"/>
        <w:right w:val="none" w:sz="0" w:space="0" w:color="auto"/>
      </w:divBdr>
      <w:divsChild>
        <w:div w:id="262032909">
          <w:marLeft w:val="0"/>
          <w:marRight w:val="0"/>
          <w:marTop w:val="0"/>
          <w:marBottom w:val="0"/>
          <w:divBdr>
            <w:top w:val="none" w:sz="0" w:space="0" w:color="auto"/>
            <w:left w:val="none" w:sz="0" w:space="0" w:color="auto"/>
            <w:bottom w:val="none" w:sz="0" w:space="0" w:color="auto"/>
            <w:right w:val="none" w:sz="0" w:space="0" w:color="auto"/>
          </w:divBdr>
          <w:divsChild>
            <w:div w:id="1930190968">
              <w:marLeft w:val="0"/>
              <w:marRight w:val="0"/>
              <w:marTop w:val="0"/>
              <w:marBottom w:val="0"/>
              <w:divBdr>
                <w:top w:val="none" w:sz="0" w:space="0" w:color="auto"/>
                <w:left w:val="none" w:sz="0" w:space="0" w:color="auto"/>
                <w:bottom w:val="none" w:sz="0" w:space="0" w:color="auto"/>
                <w:right w:val="none" w:sz="0" w:space="0" w:color="auto"/>
              </w:divBdr>
              <w:divsChild>
                <w:div w:id="19686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468751">
      <w:bodyDiv w:val="1"/>
      <w:marLeft w:val="0"/>
      <w:marRight w:val="0"/>
      <w:marTop w:val="0"/>
      <w:marBottom w:val="0"/>
      <w:divBdr>
        <w:top w:val="none" w:sz="0" w:space="0" w:color="auto"/>
        <w:left w:val="none" w:sz="0" w:space="0" w:color="auto"/>
        <w:bottom w:val="none" w:sz="0" w:space="0" w:color="auto"/>
        <w:right w:val="none" w:sz="0" w:space="0" w:color="auto"/>
      </w:divBdr>
      <w:divsChild>
        <w:div w:id="819466054">
          <w:marLeft w:val="0"/>
          <w:marRight w:val="0"/>
          <w:marTop w:val="0"/>
          <w:marBottom w:val="0"/>
          <w:divBdr>
            <w:top w:val="none" w:sz="0" w:space="0" w:color="auto"/>
            <w:left w:val="none" w:sz="0" w:space="0" w:color="auto"/>
            <w:bottom w:val="none" w:sz="0" w:space="0" w:color="auto"/>
            <w:right w:val="none" w:sz="0" w:space="0" w:color="auto"/>
          </w:divBdr>
          <w:divsChild>
            <w:div w:id="1036852954">
              <w:marLeft w:val="0"/>
              <w:marRight w:val="0"/>
              <w:marTop w:val="0"/>
              <w:marBottom w:val="0"/>
              <w:divBdr>
                <w:top w:val="none" w:sz="0" w:space="0" w:color="auto"/>
                <w:left w:val="none" w:sz="0" w:space="0" w:color="auto"/>
                <w:bottom w:val="none" w:sz="0" w:space="0" w:color="auto"/>
                <w:right w:val="none" w:sz="0" w:space="0" w:color="auto"/>
              </w:divBdr>
              <w:divsChild>
                <w:div w:id="1521045498">
                  <w:marLeft w:val="0"/>
                  <w:marRight w:val="0"/>
                  <w:marTop w:val="0"/>
                  <w:marBottom w:val="0"/>
                  <w:divBdr>
                    <w:top w:val="none" w:sz="0" w:space="0" w:color="auto"/>
                    <w:left w:val="none" w:sz="0" w:space="0" w:color="auto"/>
                    <w:bottom w:val="none" w:sz="0" w:space="0" w:color="auto"/>
                    <w:right w:val="none" w:sz="0" w:space="0" w:color="auto"/>
                  </w:divBdr>
                  <w:divsChild>
                    <w:div w:id="93782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491249">
      <w:bodyDiv w:val="1"/>
      <w:marLeft w:val="0"/>
      <w:marRight w:val="0"/>
      <w:marTop w:val="0"/>
      <w:marBottom w:val="0"/>
      <w:divBdr>
        <w:top w:val="none" w:sz="0" w:space="0" w:color="auto"/>
        <w:left w:val="none" w:sz="0" w:space="0" w:color="auto"/>
        <w:bottom w:val="none" w:sz="0" w:space="0" w:color="auto"/>
        <w:right w:val="none" w:sz="0" w:space="0" w:color="auto"/>
      </w:divBdr>
    </w:div>
    <w:div w:id="2034573682">
      <w:bodyDiv w:val="1"/>
      <w:marLeft w:val="0"/>
      <w:marRight w:val="0"/>
      <w:marTop w:val="0"/>
      <w:marBottom w:val="0"/>
      <w:divBdr>
        <w:top w:val="none" w:sz="0" w:space="0" w:color="auto"/>
        <w:left w:val="none" w:sz="0" w:space="0" w:color="auto"/>
        <w:bottom w:val="none" w:sz="0" w:space="0" w:color="auto"/>
        <w:right w:val="none" w:sz="0" w:space="0" w:color="auto"/>
      </w:divBdr>
      <w:divsChild>
        <w:div w:id="813792394">
          <w:marLeft w:val="0"/>
          <w:marRight w:val="0"/>
          <w:marTop w:val="0"/>
          <w:marBottom w:val="0"/>
          <w:divBdr>
            <w:top w:val="none" w:sz="0" w:space="0" w:color="auto"/>
            <w:left w:val="none" w:sz="0" w:space="0" w:color="auto"/>
            <w:bottom w:val="none" w:sz="0" w:space="0" w:color="auto"/>
            <w:right w:val="none" w:sz="0" w:space="0" w:color="auto"/>
          </w:divBdr>
          <w:divsChild>
            <w:div w:id="2102290927">
              <w:marLeft w:val="0"/>
              <w:marRight w:val="0"/>
              <w:marTop w:val="0"/>
              <w:marBottom w:val="0"/>
              <w:divBdr>
                <w:top w:val="none" w:sz="0" w:space="0" w:color="auto"/>
                <w:left w:val="none" w:sz="0" w:space="0" w:color="auto"/>
                <w:bottom w:val="none" w:sz="0" w:space="0" w:color="auto"/>
                <w:right w:val="none" w:sz="0" w:space="0" w:color="auto"/>
              </w:divBdr>
              <w:divsChild>
                <w:div w:id="132673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35854">
      <w:bodyDiv w:val="1"/>
      <w:marLeft w:val="0"/>
      <w:marRight w:val="0"/>
      <w:marTop w:val="0"/>
      <w:marBottom w:val="0"/>
      <w:divBdr>
        <w:top w:val="none" w:sz="0" w:space="0" w:color="auto"/>
        <w:left w:val="none" w:sz="0" w:space="0" w:color="auto"/>
        <w:bottom w:val="none" w:sz="0" w:space="0" w:color="auto"/>
        <w:right w:val="none" w:sz="0" w:space="0" w:color="auto"/>
      </w:divBdr>
      <w:divsChild>
        <w:div w:id="780026471">
          <w:marLeft w:val="0"/>
          <w:marRight w:val="0"/>
          <w:marTop w:val="0"/>
          <w:marBottom w:val="0"/>
          <w:divBdr>
            <w:top w:val="none" w:sz="0" w:space="0" w:color="auto"/>
            <w:left w:val="none" w:sz="0" w:space="0" w:color="auto"/>
            <w:bottom w:val="none" w:sz="0" w:space="0" w:color="auto"/>
            <w:right w:val="none" w:sz="0" w:space="0" w:color="auto"/>
          </w:divBdr>
          <w:divsChild>
            <w:div w:id="507057828">
              <w:marLeft w:val="0"/>
              <w:marRight w:val="0"/>
              <w:marTop w:val="0"/>
              <w:marBottom w:val="0"/>
              <w:divBdr>
                <w:top w:val="none" w:sz="0" w:space="0" w:color="auto"/>
                <w:left w:val="none" w:sz="0" w:space="0" w:color="auto"/>
                <w:bottom w:val="none" w:sz="0" w:space="0" w:color="auto"/>
                <w:right w:val="none" w:sz="0" w:space="0" w:color="auto"/>
              </w:divBdr>
              <w:divsChild>
                <w:div w:id="1280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061336">
      <w:bodyDiv w:val="1"/>
      <w:marLeft w:val="0"/>
      <w:marRight w:val="0"/>
      <w:marTop w:val="0"/>
      <w:marBottom w:val="0"/>
      <w:divBdr>
        <w:top w:val="none" w:sz="0" w:space="0" w:color="auto"/>
        <w:left w:val="none" w:sz="0" w:space="0" w:color="auto"/>
        <w:bottom w:val="none" w:sz="0" w:space="0" w:color="auto"/>
        <w:right w:val="none" w:sz="0" w:space="0" w:color="auto"/>
      </w:divBdr>
      <w:divsChild>
        <w:div w:id="1869560402">
          <w:marLeft w:val="0"/>
          <w:marRight w:val="0"/>
          <w:marTop w:val="0"/>
          <w:marBottom w:val="0"/>
          <w:divBdr>
            <w:top w:val="none" w:sz="0" w:space="0" w:color="auto"/>
            <w:left w:val="none" w:sz="0" w:space="0" w:color="auto"/>
            <w:bottom w:val="none" w:sz="0" w:space="0" w:color="auto"/>
            <w:right w:val="none" w:sz="0" w:space="0" w:color="auto"/>
          </w:divBdr>
          <w:divsChild>
            <w:div w:id="225410363">
              <w:marLeft w:val="0"/>
              <w:marRight w:val="0"/>
              <w:marTop w:val="0"/>
              <w:marBottom w:val="0"/>
              <w:divBdr>
                <w:top w:val="none" w:sz="0" w:space="0" w:color="auto"/>
                <w:left w:val="none" w:sz="0" w:space="0" w:color="auto"/>
                <w:bottom w:val="none" w:sz="0" w:space="0" w:color="auto"/>
                <w:right w:val="none" w:sz="0" w:space="0" w:color="auto"/>
              </w:divBdr>
              <w:divsChild>
                <w:div w:id="122390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84561">
      <w:bodyDiv w:val="1"/>
      <w:marLeft w:val="0"/>
      <w:marRight w:val="0"/>
      <w:marTop w:val="0"/>
      <w:marBottom w:val="0"/>
      <w:divBdr>
        <w:top w:val="none" w:sz="0" w:space="0" w:color="auto"/>
        <w:left w:val="none" w:sz="0" w:space="0" w:color="auto"/>
        <w:bottom w:val="none" w:sz="0" w:space="0" w:color="auto"/>
        <w:right w:val="none" w:sz="0" w:space="0" w:color="auto"/>
      </w:divBdr>
      <w:divsChild>
        <w:div w:id="26419496">
          <w:marLeft w:val="0"/>
          <w:marRight w:val="0"/>
          <w:marTop w:val="0"/>
          <w:marBottom w:val="0"/>
          <w:divBdr>
            <w:top w:val="none" w:sz="0" w:space="0" w:color="auto"/>
            <w:left w:val="none" w:sz="0" w:space="0" w:color="auto"/>
            <w:bottom w:val="none" w:sz="0" w:space="0" w:color="auto"/>
            <w:right w:val="none" w:sz="0" w:space="0" w:color="auto"/>
          </w:divBdr>
          <w:divsChild>
            <w:div w:id="2028361247">
              <w:marLeft w:val="0"/>
              <w:marRight w:val="0"/>
              <w:marTop w:val="0"/>
              <w:marBottom w:val="0"/>
              <w:divBdr>
                <w:top w:val="none" w:sz="0" w:space="0" w:color="auto"/>
                <w:left w:val="none" w:sz="0" w:space="0" w:color="auto"/>
                <w:bottom w:val="none" w:sz="0" w:space="0" w:color="auto"/>
                <w:right w:val="none" w:sz="0" w:space="0" w:color="auto"/>
              </w:divBdr>
              <w:divsChild>
                <w:div w:id="10136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8" Type="http://schemas.microsoft.com/office/2011/relationships/commentsExtended" Target="commentsExtended.xml"/><Relationship Id="rId19"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78519257491004"/>
          <c:y val="0.0220288088988876"/>
          <c:w val="0.91555682236553"/>
          <c:h val="0.768276309211348"/>
        </c:manualLayout>
      </c:layout>
      <c:lineChart>
        <c:grouping val="standard"/>
        <c:varyColors val="0"/>
        <c:ser>
          <c:idx val="0"/>
          <c:order val="0"/>
          <c:tx>
            <c:strRef>
              <c:f>'ZESTAW zasiłki nowy'!$AA$4</c:f>
              <c:strCache>
                <c:ptCount val="1"/>
                <c:pt idx="0">
                  <c:v>Amount of basic unemployment benefit (PLN)</c:v>
                </c:pt>
              </c:strCache>
            </c:strRef>
          </c:tx>
          <c:spPr>
            <a:ln w="38107"/>
          </c:spPr>
          <c:marker>
            <c:symbol val="none"/>
          </c:marker>
          <c:dLbls>
            <c:dLbl>
              <c:idx val="3"/>
              <c:layout/>
              <c:numFmt formatCode="#,##0.00\ \z\ł" sourceLinked="0"/>
              <c:spPr/>
              <c:txPr>
                <a:bodyPr/>
                <a:lstStyle/>
                <a:p>
                  <a:pPr>
                    <a:defRPr/>
                  </a:pPr>
                  <a:endParaRPr lang="en-US"/>
                </a:p>
              </c:txPr>
              <c:dLblPos val="t"/>
              <c:showLegendKey val="0"/>
              <c:showVal val="1"/>
              <c:showCatName val="0"/>
              <c:showSerName val="0"/>
              <c:showPercent val="0"/>
              <c:showBubbleSize val="0"/>
              <c:extLst>
                <c:ext xmlns:c15="http://schemas.microsoft.com/office/drawing/2012/chart" uri="{CE6537A1-D6FC-4f65-9D91-7224C49458BB}">
                  <c15:layout/>
                </c:ext>
              </c:extLst>
            </c:dLbl>
            <c:dLbl>
              <c:idx val="5"/>
              <c:layout/>
              <c:numFmt formatCode="#,##0.00\ \z\ł" sourceLinked="0"/>
              <c:spPr/>
              <c:txPr>
                <a:bodyPr/>
                <a:lstStyle/>
                <a:p>
                  <a:pPr>
                    <a:defRPr/>
                  </a:pPr>
                  <a:endParaRPr lang="en-US"/>
                </a:p>
              </c:txPr>
              <c:dLblPos val="t"/>
              <c:showLegendKey val="0"/>
              <c:showVal val="1"/>
              <c:showCatName val="0"/>
              <c:showSerName val="0"/>
              <c:showPercent val="0"/>
              <c:showBubbleSize val="0"/>
              <c:extLst>
                <c:ext xmlns:c15="http://schemas.microsoft.com/office/drawing/2012/chart" uri="{CE6537A1-D6FC-4f65-9D91-7224C49458BB}">
                  <c15:layout/>
                </c:ext>
              </c:extLst>
            </c:dLbl>
            <c:dLbl>
              <c:idx val="17"/>
              <c:layout/>
              <c:numFmt formatCode="#,##0.00\ \z\ł" sourceLinked="0"/>
              <c:spPr/>
              <c:txPr>
                <a:bodyPr/>
                <a:lstStyle/>
                <a:p>
                  <a:pPr>
                    <a:defRPr/>
                  </a:pPr>
                  <a:endParaRPr lang="en-US"/>
                </a:p>
              </c:txPr>
              <c:dLblPos val="t"/>
              <c:showLegendKey val="0"/>
              <c:showVal val="1"/>
              <c:showCatName val="0"/>
              <c:showSerName val="0"/>
              <c:showPercent val="0"/>
              <c:showBubbleSize val="0"/>
              <c:extLst>
                <c:ext xmlns:c15="http://schemas.microsoft.com/office/drawing/2012/chart" uri="{CE6537A1-D6FC-4f65-9D91-7224C49458BB}">
                  <c15:layout/>
                </c:ext>
              </c:extLst>
            </c:dLbl>
            <c:dLbl>
              <c:idx val="29"/>
              <c:layout/>
              <c:numFmt formatCode="#,##0.00\ \z\ł" sourceLinked="0"/>
              <c:spPr/>
              <c:txPr>
                <a:bodyPr/>
                <a:lstStyle/>
                <a:p>
                  <a:pPr>
                    <a:defRPr/>
                  </a:pPr>
                  <a:endParaRPr lang="en-US"/>
                </a:p>
              </c:txPr>
              <c:dLblPos val="t"/>
              <c:showLegendKey val="0"/>
              <c:showVal val="1"/>
              <c:showCatName val="0"/>
              <c:showSerName val="0"/>
              <c:showPercent val="0"/>
              <c:showBubbleSize val="0"/>
              <c:extLst>
                <c:ext xmlns:c15="http://schemas.microsoft.com/office/drawing/2012/chart" uri="{CE6537A1-D6FC-4f65-9D91-7224C49458BB}">
                  <c15:layout/>
                </c:ext>
              </c:extLst>
            </c:dLbl>
            <c:dLbl>
              <c:idx val="41"/>
              <c:layout/>
              <c:numFmt formatCode="#,##0.00\ \z\ł" sourceLinked="0"/>
              <c:spPr/>
              <c:txPr>
                <a:bodyPr/>
                <a:lstStyle/>
                <a:p>
                  <a:pPr>
                    <a:defRPr/>
                  </a:pPr>
                  <a:endParaRPr lang="en-US"/>
                </a:p>
              </c:txPr>
              <c:dLblPos val="t"/>
              <c:showLegendKey val="0"/>
              <c:showVal val="1"/>
              <c:showCatName val="0"/>
              <c:showSerName val="0"/>
              <c:showPercent val="0"/>
              <c:showBubbleSize val="0"/>
              <c:extLst>
                <c:ext xmlns:c15="http://schemas.microsoft.com/office/drawing/2012/chart" uri="{CE6537A1-D6FC-4f65-9D91-7224C49458BB}">
                  <c15:layout/>
                </c:ext>
              </c:extLst>
            </c:dLbl>
            <c:dLbl>
              <c:idx val="53"/>
              <c:layout/>
              <c:numFmt formatCode="#,##0.00\ \z\ł" sourceLinked="0"/>
              <c:spPr/>
              <c:txPr>
                <a:bodyPr/>
                <a:lstStyle/>
                <a:p>
                  <a:pPr>
                    <a:defRPr/>
                  </a:pPr>
                  <a:endParaRPr lang="en-US"/>
                </a:p>
              </c:txPr>
              <c:dLblPos val="t"/>
              <c:showLegendKey val="0"/>
              <c:showVal val="1"/>
              <c:showCatName val="0"/>
              <c:showSerName val="0"/>
              <c:showPercent val="0"/>
              <c:showBubbleSize val="0"/>
              <c:extLst>
                <c:ext xmlns:c15="http://schemas.microsoft.com/office/drawing/2012/chart" uri="{CE6537A1-D6FC-4f65-9D91-7224C49458BB}">
                  <c15:layout/>
                </c:ext>
              </c:extLst>
            </c:dLbl>
            <c:dLbl>
              <c:idx val="65"/>
              <c:layout/>
              <c:numFmt formatCode="#,##0.00\ \z\ł" sourceLinked="0"/>
              <c:spPr/>
              <c:txPr>
                <a:bodyPr/>
                <a:lstStyle/>
                <a:p>
                  <a:pPr>
                    <a:defRPr/>
                  </a:pPr>
                  <a:endParaRPr lang="en-US"/>
                </a:p>
              </c:txPr>
              <c:dLblPos val="t"/>
              <c:showLegendKey val="0"/>
              <c:showVal val="1"/>
              <c:showCatName val="0"/>
              <c:showSerName val="0"/>
              <c:showPercent val="0"/>
              <c:showBubbleSize val="0"/>
              <c:extLst>
                <c:ext xmlns:c15="http://schemas.microsoft.com/office/drawing/2012/chart" uri="{CE6537A1-D6FC-4f65-9D91-7224C49458BB}">
                  <c15:layout/>
                </c:ext>
              </c:extLst>
            </c:dLbl>
            <c:dLbl>
              <c:idx val="77"/>
              <c:layout/>
              <c:numFmt formatCode="#,##0.00\ \z\ł" sourceLinked="0"/>
              <c:spPr/>
              <c:txPr>
                <a:bodyPr/>
                <a:lstStyle/>
                <a:p>
                  <a:pPr>
                    <a:defRPr/>
                  </a:pPr>
                  <a:endParaRPr lang="en-US"/>
                </a:p>
              </c:txPr>
              <c:dLblPos val="t"/>
              <c:showLegendKey val="0"/>
              <c:showVal val="1"/>
              <c:showCatName val="0"/>
              <c:showSerName val="0"/>
              <c:showPercent val="0"/>
              <c:showBubbleSize val="0"/>
              <c:extLst>
                <c:ext xmlns:c15="http://schemas.microsoft.com/office/drawing/2012/chart" uri="{CE6537A1-D6FC-4f65-9D91-7224C49458BB}">
                  <c15:layout/>
                </c:ext>
              </c:extLst>
            </c:dLbl>
            <c:dLbl>
              <c:idx val="89"/>
              <c:layout/>
              <c:numFmt formatCode="#,##0.00\ \z\ł" sourceLinked="0"/>
              <c:spPr/>
              <c:txPr>
                <a:bodyPr/>
                <a:lstStyle/>
                <a:p>
                  <a:pPr>
                    <a:defRPr/>
                  </a:pPr>
                  <a:endParaRPr lang="en-US"/>
                </a:p>
              </c:txPr>
              <c:dLblPos val="t"/>
              <c:showLegendKey val="0"/>
              <c:showVal val="1"/>
              <c:showCatName val="0"/>
              <c:showSerName val="0"/>
              <c:showPercent val="0"/>
              <c:showBubbleSize val="0"/>
              <c:extLst>
                <c:ext xmlns:c15="http://schemas.microsoft.com/office/drawing/2012/chart" uri="{CE6537A1-D6FC-4f65-9D91-7224C49458BB}">
                  <c15:layout/>
                </c:ext>
              </c:extLst>
            </c:dLbl>
            <c:dLbl>
              <c:idx val="101"/>
              <c:layout/>
              <c:numFmt formatCode="#,##0.00\ \z\ł" sourceLinked="0"/>
              <c:spPr/>
              <c:txPr>
                <a:bodyPr/>
                <a:lstStyle/>
                <a:p>
                  <a:pPr>
                    <a:defRPr/>
                  </a:pPr>
                  <a:endParaRPr lang="en-US"/>
                </a:p>
              </c:txPr>
              <c:dLblPos val="t"/>
              <c:showLegendKey val="0"/>
              <c:showVal val="1"/>
              <c:showCatName val="0"/>
              <c:showSerName val="0"/>
              <c:showPercent val="0"/>
              <c:showBubbleSize val="0"/>
              <c:extLst>
                <c:ext xmlns:c15="http://schemas.microsoft.com/office/drawing/2012/chart" uri="{CE6537A1-D6FC-4f65-9D91-7224C49458BB}">
                  <c15:layout/>
                </c:ext>
              </c:extLst>
            </c:dLbl>
            <c:dLbl>
              <c:idx val="121"/>
              <c:layout/>
              <c:numFmt formatCode="#,##0.00\ \z\ł" sourceLinked="0"/>
              <c:spPr/>
              <c:txPr>
                <a:bodyPr/>
                <a:lstStyle/>
                <a:p>
                  <a:pPr>
                    <a:defRPr/>
                  </a:pPr>
                  <a:endParaRPr lang="en-US"/>
                </a:p>
              </c:txPr>
              <c:dLblPos val="t"/>
              <c:showLegendKey val="0"/>
              <c:showVal val="1"/>
              <c:showCatName val="0"/>
              <c:showSerName val="0"/>
              <c:showPercent val="0"/>
              <c:showBubbleSize val="0"/>
              <c:extLst>
                <c:ext xmlns:c15="http://schemas.microsoft.com/office/drawing/2012/chart" uri="{CE6537A1-D6FC-4f65-9D91-7224C49458BB}">
                  <c15:layout/>
                </c:ext>
              </c:extLst>
            </c:dLbl>
            <c:dLbl>
              <c:idx val="140"/>
              <c:layout/>
              <c:numFmt formatCode="#,##0.00\ \z\ł" sourceLinked="0"/>
              <c:spPr/>
              <c:txPr>
                <a:bodyPr/>
                <a:lstStyle/>
                <a:p>
                  <a:pPr>
                    <a:defRPr/>
                  </a:pPr>
                  <a:endParaRPr lang="en-US"/>
                </a:p>
              </c:txPr>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'ZESTAW zasiłki nowy'!$Y$5:$Z$153</c:f>
              <c:multiLvlStrCache>
                <c:ptCount val="14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pt idx="106">
                    <c:v>11</c:v>
                  </c:pt>
                  <c:pt idx="107">
                    <c:v>12</c:v>
                  </c:pt>
                  <c:pt idx="108">
                    <c:v>1</c:v>
                  </c:pt>
                  <c:pt idx="109">
                    <c:v>2</c:v>
                  </c:pt>
                  <c:pt idx="110">
                    <c:v>3</c:v>
                  </c:pt>
                  <c:pt idx="111">
                    <c:v>4</c:v>
                  </c:pt>
                  <c:pt idx="112">
                    <c:v>5</c:v>
                  </c:pt>
                  <c:pt idx="113">
                    <c:v>6</c:v>
                  </c:pt>
                  <c:pt idx="114">
                    <c:v>7</c:v>
                  </c:pt>
                  <c:pt idx="115">
                    <c:v>8</c:v>
                  </c:pt>
                  <c:pt idx="116">
                    <c:v>9</c:v>
                  </c:pt>
                  <c:pt idx="117">
                    <c:v>10</c:v>
                  </c:pt>
                  <c:pt idx="118">
                    <c:v>11</c:v>
                  </c:pt>
                  <c:pt idx="119">
                    <c:v>12</c:v>
                  </c:pt>
                  <c:pt idx="120">
                    <c:v>1</c:v>
                  </c:pt>
                  <c:pt idx="121">
                    <c:v>2</c:v>
                  </c:pt>
                  <c:pt idx="122">
                    <c:v>3</c:v>
                  </c:pt>
                  <c:pt idx="123">
                    <c:v>4</c:v>
                  </c:pt>
                  <c:pt idx="124">
                    <c:v>5</c:v>
                  </c:pt>
                  <c:pt idx="125">
                    <c:v>6</c:v>
                  </c:pt>
                  <c:pt idx="126">
                    <c:v>7</c:v>
                  </c:pt>
                  <c:pt idx="127">
                    <c:v>8</c:v>
                  </c:pt>
                  <c:pt idx="128">
                    <c:v>9</c:v>
                  </c:pt>
                  <c:pt idx="129">
                    <c:v>10</c:v>
                  </c:pt>
                  <c:pt idx="130">
                    <c:v>11</c:v>
                  </c:pt>
                  <c:pt idx="131">
                    <c:v>12</c:v>
                  </c:pt>
                  <c:pt idx="132">
                    <c:v>1</c:v>
                  </c:pt>
                  <c:pt idx="133">
                    <c:v>2</c:v>
                  </c:pt>
                  <c:pt idx="134">
                    <c:v>3</c:v>
                  </c:pt>
                  <c:pt idx="135">
                    <c:v>4</c:v>
                  </c:pt>
                  <c:pt idx="136">
                    <c:v>5</c:v>
                  </c:pt>
                  <c:pt idx="137">
                    <c:v>6</c:v>
                  </c:pt>
                  <c:pt idx="138">
                    <c:v>7</c:v>
                  </c:pt>
                  <c:pt idx="139">
                    <c:v>8</c:v>
                  </c:pt>
                  <c:pt idx="140">
                    <c:v>9</c:v>
                  </c:pt>
                  <c:pt idx="141">
                    <c:v>10</c:v>
                  </c:pt>
                  <c:pt idx="142">
                    <c:v>11</c:v>
                  </c:pt>
                  <c:pt idx="143">
                    <c:v>12</c:v>
                  </c:pt>
                  <c:pt idx="144">
                    <c:v>1</c:v>
                  </c:pt>
                  <c:pt idx="145">
                    <c:v>2</c:v>
                  </c:pt>
                  <c:pt idx="146">
                    <c:v>3</c:v>
                  </c:pt>
                  <c:pt idx="147">
                    <c:v>4</c:v>
                  </c:pt>
                  <c:pt idx="148">
                    <c:v>5</c:v>
                  </c:pt>
                </c:lvl>
                <c:lvl>
                  <c:pt idx="0">
                    <c:v>2005</c:v>
                  </c:pt>
                  <c:pt idx="12">
                    <c:v>2006</c:v>
                  </c:pt>
                  <c:pt idx="24">
                    <c:v>2007</c:v>
                  </c:pt>
                  <c:pt idx="36">
                    <c:v>2008</c:v>
                  </c:pt>
                  <c:pt idx="48">
                    <c:v>2009</c:v>
                  </c:pt>
                  <c:pt idx="60">
                    <c:v>2010</c:v>
                  </c:pt>
                  <c:pt idx="72">
                    <c:v>2011</c:v>
                  </c:pt>
                  <c:pt idx="84">
                    <c:v>2012</c:v>
                  </c:pt>
                  <c:pt idx="96">
                    <c:v>2013</c:v>
                  </c:pt>
                  <c:pt idx="108">
                    <c:v>2014</c:v>
                  </c:pt>
                  <c:pt idx="120">
                    <c:v>2015</c:v>
                  </c:pt>
                  <c:pt idx="132">
                    <c:v>2016</c:v>
                  </c:pt>
                  <c:pt idx="144">
                    <c:v>2017</c:v>
                  </c:pt>
                </c:lvl>
              </c:multiLvlStrCache>
            </c:multiLvlStrRef>
          </c:cat>
          <c:val>
            <c:numRef>
              <c:f>'ZESTAW zasiłki nowy'!$AA$5:$AA$153</c:f>
              <c:numCache>
                <c:formatCode>General</c:formatCode>
                <c:ptCount val="149"/>
                <c:pt idx="0">
                  <c:v>504.2</c:v>
                </c:pt>
                <c:pt idx="1">
                  <c:v>504.2</c:v>
                </c:pt>
                <c:pt idx="2">
                  <c:v>504.2</c:v>
                </c:pt>
                <c:pt idx="3">
                  <c:v>504.2</c:v>
                </c:pt>
                <c:pt idx="4">
                  <c:v>504.2</c:v>
                </c:pt>
                <c:pt idx="5">
                  <c:v>521.9</c:v>
                </c:pt>
                <c:pt idx="6">
                  <c:v>521.9</c:v>
                </c:pt>
                <c:pt idx="7">
                  <c:v>521.9</c:v>
                </c:pt>
                <c:pt idx="8">
                  <c:v>521.9</c:v>
                </c:pt>
                <c:pt idx="9">
                  <c:v>521.9</c:v>
                </c:pt>
                <c:pt idx="10">
                  <c:v>521.9</c:v>
                </c:pt>
                <c:pt idx="11">
                  <c:v>521.9</c:v>
                </c:pt>
                <c:pt idx="12">
                  <c:v>521.9</c:v>
                </c:pt>
                <c:pt idx="13">
                  <c:v>521.9</c:v>
                </c:pt>
                <c:pt idx="14">
                  <c:v>521.9</c:v>
                </c:pt>
                <c:pt idx="15">
                  <c:v>521.9</c:v>
                </c:pt>
                <c:pt idx="16">
                  <c:v>521.9</c:v>
                </c:pt>
                <c:pt idx="17">
                  <c:v>532.9</c:v>
                </c:pt>
                <c:pt idx="18">
                  <c:v>532.9</c:v>
                </c:pt>
                <c:pt idx="19">
                  <c:v>532.9</c:v>
                </c:pt>
                <c:pt idx="20">
                  <c:v>532.9</c:v>
                </c:pt>
                <c:pt idx="21">
                  <c:v>532.9</c:v>
                </c:pt>
                <c:pt idx="22">
                  <c:v>532.9</c:v>
                </c:pt>
                <c:pt idx="23">
                  <c:v>532.9</c:v>
                </c:pt>
                <c:pt idx="24">
                  <c:v>532.9</c:v>
                </c:pt>
                <c:pt idx="25">
                  <c:v>532.9</c:v>
                </c:pt>
                <c:pt idx="26">
                  <c:v>532.9</c:v>
                </c:pt>
                <c:pt idx="27">
                  <c:v>532.9</c:v>
                </c:pt>
                <c:pt idx="28">
                  <c:v>532.9</c:v>
                </c:pt>
                <c:pt idx="29">
                  <c:v>538.3</c:v>
                </c:pt>
                <c:pt idx="30">
                  <c:v>538.3</c:v>
                </c:pt>
                <c:pt idx="31">
                  <c:v>538.3</c:v>
                </c:pt>
                <c:pt idx="32">
                  <c:v>538.3</c:v>
                </c:pt>
                <c:pt idx="33">
                  <c:v>538.3</c:v>
                </c:pt>
                <c:pt idx="34">
                  <c:v>538.3</c:v>
                </c:pt>
                <c:pt idx="35">
                  <c:v>538.3</c:v>
                </c:pt>
                <c:pt idx="36">
                  <c:v>538.3</c:v>
                </c:pt>
                <c:pt idx="37">
                  <c:v>538.3</c:v>
                </c:pt>
                <c:pt idx="38">
                  <c:v>538.3</c:v>
                </c:pt>
                <c:pt idx="39">
                  <c:v>538.3</c:v>
                </c:pt>
                <c:pt idx="40">
                  <c:v>538.3</c:v>
                </c:pt>
                <c:pt idx="41">
                  <c:v>551.8</c:v>
                </c:pt>
                <c:pt idx="42">
                  <c:v>551.8</c:v>
                </c:pt>
                <c:pt idx="43">
                  <c:v>551.8</c:v>
                </c:pt>
                <c:pt idx="44">
                  <c:v>551.8</c:v>
                </c:pt>
                <c:pt idx="45">
                  <c:v>551.8</c:v>
                </c:pt>
                <c:pt idx="46">
                  <c:v>551.8</c:v>
                </c:pt>
                <c:pt idx="47">
                  <c:v>551.8</c:v>
                </c:pt>
                <c:pt idx="48">
                  <c:v>551.8</c:v>
                </c:pt>
                <c:pt idx="49">
                  <c:v>551.8</c:v>
                </c:pt>
                <c:pt idx="50">
                  <c:v>551.8</c:v>
                </c:pt>
                <c:pt idx="51">
                  <c:v>551.8</c:v>
                </c:pt>
                <c:pt idx="52">
                  <c:v>551.8</c:v>
                </c:pt>
                <c:pt idx="53">
                  <c:v>574.9756</c:v>
                </c:pt>
                <c:pt idx="54">
                  <c:v>574.9756</c:v>
                </c:pt>
                <c:pt idx="55">
                  <c:v>574.9756</c:v>
                </c:pt>
                <c:pt idx="56">
                  <c:v>574.9756</c:v>
                </c:pt>
                <c:pt idx="57">
                  <c:v>574.9756</c:v>
                </c:pt>
                <c:pt idx="58">
                  <c:v>574.9756</c:v>
                </c:pt>
                <c:pt idx="59">
                  <c:v>574.9756</c:v>
                </c:pt>
                <c:pt idx="60">
                  <c:v>574.9756</c:v>
                </c:pt>
                <c:pt idx="61">
                  <c:v>574.9756</c:v>
                </c:pt>
                <c:pt idx="62">
                  <c:v>574.9756</c:v>
                </c:pt>
                <c:pt idx="63">
                  <c:v>574.9756</c:v>
                </c:pt>
                <c:pt idx="64">
                  <c:v>574.9756</c:v>
                </c:pt>
                <c:pt idx="65">
                  <c:v>622.5500000000001</c:v>
                </c:pt>
                <c:pt idx="66">
                  <c:v>622.5500000000001</c:v>
                </c:pt>
                <c:pt idx="67">
                  <c:v>622.5500000000001</c:v>
                </c:pt>
                <c:pt idx="68">
                  <c:v>622.5500000000001</c:v>
                </c:pt>
                <c:pt idx="69">
                  <c:v>622.5500000000001</c:v>
                </c:pt>
                <c:pt idx="70">
                  <c:v>622.5500000000001</c:v>
                </c:pt>
                <c:pt idx="71">
                  <c:v>622.5500000000001</c:v>
                </c:pt>
                <c:pt idx="72">
                  <c:v>622.5500000000001</c:v>
                </c:pt>
                <c:pt idx="73">
                  <c:v>622.5500000000001</c:v>
                </c:pt>
                <c:pt idx="74">
                  <c:v>622.5500000000001</c:v>
                </c:pt>
                <c:pt idx="75">
                  <c:v>622.5500000000001</c:v>
                </c:pt>
                <c:pt idx="76">
                  <c:v>622.5500000000001</c:v>
                </c:pt>
                <c:pt idx="77">
                  <c:v>638.775</c:v>
                </c:pt>
                <c:pt idx="78">
                  <c:v>638.775</c:v>
                </c:pt>
                <c:pt idx="79">
                  <c:v>638.775</c:v>
                </c:pt>
                <c:pt idx="80">
                  <c:v>638.775</c:v>
                </c:pt>
                <c:pt idx="81">
                  <c:v>638.775</c:v>
                </c:pt>
                <c:pt idx="82">
                  <c:v>638.775</c:v>
                </c:pt>
                <c:pt idx="83">
                  <c:v>638.775</c:v>
                </c:pt>
                <c:pt idx="84">
                  <c:v>638.775</c:v>
                </c:pt>
                <c:pt idx="85">
                  <c:v>638.775</c:v>
                </c:pt>
                <c:pt idx="86">
                  <c:v>638.775</c:v>
                </c:pt>
                <c:pt idx="87">
                  <c:v>638.775</c:v>
                </c:pt>
                <c:pt idx="88">
                  <c:v>638.775</c:v>
                </c:pt>
                <c:pt idx="89">
                  <c:v>666.2500000000001</c:v>
                </c:pt>
                <c:pt idx="90">
                  <c:v>666.2500000000001</c:v>
                </c:pt>
                <c:pt idx="91">
                  <c:v>666.2500000000001</c:v>
                </c:pt>
                <c:pt idx="92">
                  <c:v>666.2500000000001</c:v>
                </c:pt>
                <c:pt idx="93">
                  <c:v>666.2500000000001</c:v>
                </c:pt>
                <c:pt idx="94">
                  <c:v>666.2500000000001</c:v>
                </c:pt>
                <c:pt idx="95">
                  <c:v>666.2500000000001</c:v>
                </c:pt>
                <c:pt idx="96">
                  <c:v>666.2500000000001</c:v>
                </c:pt>
                <c:pt idx="97">
                  <c:v>666.2500000000001</c:v>
                </c:pt>
                <c:pt idx="98">
                  <c:v>666.2500000000001</c:v>
                </c:pt>
                <c:pt idx="99">
                  <c:v>666.2500000000001</c:v>
                </c:pt>
                <c:pt idx="100">
                  <c:v>666.2500000000001</c:v>
                </c:pt>
                <c:pt idx="101">
                  <c:v>690.9250000000001</c:v>
                </c:pt>
                <c:pt idx="102">
                  <c:v>690.9250000000001</c:v>
                </c:pt>
                <c:pt idx="103">
                  <c:v>690.9250000000001</c:v>
                </c:pt>
                <c:pt idx="104">
                  <c:v>690.9250000000001</c:v>
                </c:pt>
                <c:pt idx="105">
                  <c:v>690.9250000000001</c:v>
                </c:pt>
                <c:pt idx="106">
                  <c:v>690.9250000000001</c:v>
                </c:pt>
                <c:pt idx="107">
                  <c:v>690.9250000000001</c:v>
                </c:pt>
                <c:pt idx="108">
                  <c:v>690.9250000000001</c:v>
                </c:pt>
                <c:pt idx="109">
                  <c:v>690.9250000000001</c:v>
                </c:pt>
                <c:pt idx="110">
                  <c:v>690.9250000000001</c:v>
                </c:pt>
                <c:pt idx="111">
                  <c:v>690.9250000000001</c:v>
                </c:pt>
                <c:pt idx="112">
                  <c:v>690.9250000000001</c:v>
                </c:pt>
                <c:pt idx="113">
                  <c:v>690.9250000000001</c:v>
                </c:pt>
                <c:pt idx="114">
                  <c:v>690.9250000000001</c:v>
                </c:pt>
                <c:pt idx="115">
                  <c:v>690.9250000000001</c:v>
                </c:pt>
                <c:pt idx="116">
                  <c:v>690.9250000000001</c:v>
                </c:pt>
                <c:pt idx="117">
                  <c:v>690.9250000000001</c:v>
                </c:pt>
                <c:pt idx="118">
                  <c:v>690.9250000000001</c:v>
                </c:pt>
                <c:pt idx="119">
                  <c:v>690.9250000000001</c:v>
                </c:pt>
                <c:pt idx="120">
                  <c:v>690.9250000000001</c:v>
                </c:pt>
                <c:pt idx="121">
                  <c:v>690.9250000000001</c:v>
                </c:pt>
                <c:pt idx="122">
                  <c:v>690.9250000000001</c:v>
                </c:pt>
                <c:pt idx="123">
                  <c:v>690.9250000000001</c:v>
                </c:pt>
                <c:pt idx="124">
                  <c:v>690.9250000000001</c:v>
                </c:pt>
                <c:pt idx="125">
                  <c:v>690.9250000000001</c:v>
                </c:pt>
                <c:pt idx="126">
                  <c:v>690.9250000000001</c:v>
                </c:pt>
                <c:pt idx="127">
                  <c:v>690.9250000000001</c:v>
                </c:pt>
                <c:pt idx="128">
                  <c:v>690.9250000000001</c:v>
                </c:pt>
                <c:pt idx="129">
                  <c:v>690.9250000000001</c:v>
                </c:pt>
                <c:pt idx="130">
                  <c:v>690.9250000000001</c:v>
                </c:pt>
                <c:pt idx="131">
                  <c:v>690.9250000000001</c:v>
                </c:pt>
                <c:pt idx="132">
                  <c:v>690.9250000000001</c:v>
                </c:pt>
                <c:pt idx="133">
                  <c:v>690.9250000000001</c:v>
                </c:pt>
                <c:pt idx="134">
                  <c:v>690.9250000000001</c:v>
                </c:pt>
                <c:pt idx="135">
                  <c:v>690.9250000000001</c:v>
                </c:pt>
                <c:pt idx="136">
                  <c:v>690.9250000000001</c:v>
                </c:pt>
                <c:pt idx="137">
                  <c:v>690.9250000000001</c:v>
                </c:pt>
                <c:pt idx="138">
                  <c:v>690.9250000000001</c:v>
                </c:pt>
                <c:pt idx="139">
                  <c:v>690.9250000000001</c:v>
                </c:pt>
                <c:pt idx="140">
                  <c:v>690.9250000000001</c:v>
                </c:pt>
                <c:pt idx="141">
                  <c:v>690.9250000000001</c:v>
                </c:pt>
                <c:pt idx="142">
                  <c:v>690.9250000000001</c:v>
                </c:pt>
                <c:pt idx="143">
                  <c:v>690.9250000000001</c:v>
                </c:pt>
                <c:pt idx="144">
                  <c:v>690.9250000000001</c:v>
                </c:pt>
                <c:pt idx="145">
                  <c:v>690.9250000000001</c:v>
                </c:pt>
                <c:pt idx="146">
                  <c:v>690.9250000000001</c:v>
                </c:pt>
                <c:pt idx="147">
                  <c:v>690.9250000000001</c:v>
                </c:pt>
                <c:pt idx="148">
                  <c:v>690.9250000000001</c:v>
                </c:pt>
              </c:numCache>
            </c:numRef>
          </c:val>
          <c:smooth val="0"/>
        </c:ser>
        <c:dLbls>
          <c:showLegendKey val="0"/>
          <c:showVal val="0"/>
          <c:showCatName val="0"/>
          <c:showSerName val="0"/>
          <c:showPercent val="0"/>
          <c:showBubbleSize val="0"/>
        </c:dLbls>
        <c:marker val="1"/>
        <c:smooth val="0"/>
        <c:axId val="2129379128"/>
        <c:axId val="2076063288"/>
      </c:lineChart>
      <c:catAx>
        <c:axId val="2129379128"/>
        <c:scaling>
          <c:orientation val="minMax"/>
        </c:scaling>
        <c:delete val="0"/>
        <c:axPos val="b"/>
        <c:numFmt formatCode="General" sourceLinked="1"/>
        <c:majorTickMark val="out"/>
        <c:minorTickMark val="none"/>
        <c:tickLblPos val="nextTo"/>
        <c:crossAx val="2076063288"/>
        <c:crosses val="autoZero"/>
        <c:auto val="1"/>
        <c:lblAlgn val="ctr"/>
        <c:lblOffset val="100"/>
        <c:noMultiLvlLbl val="0"/>
      </c:catAx>
      <c:valAx>
        <c:axId val="2076063288"/>
        <c:scaling>
          <c:orientation val="minMax"/>
          <c:max val="750.0"/>
          <c:min val="450.0"/>
        </c:scaling>
        <c:delete val="0"/>
        <c:axPos val="l"/>
        <c:majorGridlines/>
        <c:numFmt formatCode="General" sourceLinked="1"/>
        <c:majorTickMark val="out"/>
        <c:minorTickMark val="none"/>
        <c:tickLblPos val="nextTo"/>
        <c:crossAx val="2129379128"/>
        <c:crosses val="autoZero"/>
        <c:crossBetween val="between"/>
        <c:minorUnit val="50.0"/>
      </c:valAx>
    </c:plotArea>
    <c:legend>
      <c:legendPos val="b"/>
      <c:layout>
        <c:manualLayout>
          <c:xMode val="edge"/>
          <c:yMode val="edge"/>
          <c:x val="0.201629825428433"/>
          <c:y val="0.922454447529319"/>
          <c:w val="0.646050309147598"/>
          <c:h val="0.0656407688923278"/>
        </c:manualLayout>
      </c:layou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644ED-9967-1F43-917D-8CC2EE466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6484</Words>
  <Characters>36963</Characters>
  <Application>Microsoft Macintosh Word</Application>
  <DocSecurity>0</DocSecurity>
  <Lines>308</Lines>
  <Paragraphs>86</Paragraphs>
  <ScaleCrop>false</ScaleCrop>
  <HeadingPairs>
    <vt:vector size="2" baseType="variant">
      <vt:variant>
        <vt:lpstr>Tytuł</vt:lpstr>
      </vt:variant>
      <vt:variant>
        <vt:i4>1</vt:i4>
      </vt:variant>
    </vt:vector>
  </HeadingPairs>
  <TitlesOfParts>
    <vt:vector size="1" baseType="lpstr">
      <vt:lpstr/>
    </vt:vector>
  </TitlesOfParts>
  <Company>MPiPS</Company>
  <LinksUpToDate>false</LinksUpToDate>
  <CharactersWithSpaces>43361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JVG</dc:creator>
  <cp:lastModifiedBy>JVG</cp:lastModifiedBy>
  <cp:revision>4</cp:revision>
  <cp:lastPrinted>2016-07-29T14:00:00Z</cp:lastPrinted>
  <dcterms:created xsi:type="dcterms:W3CDTF">2016-08-19T15:27:00Z</dcterms:created>
  <dcterms:modified xsi:type="dcterms:W3CDTF">2016-08-31T22:54:00Z</dcterms:modified>
</cp:coreProperties>
</file>