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C1F" w:rsidRPr="007C557B" w:rsidRDefault="008C0C1F">
      <w:pPr>
        <w:rPr>
          <w:rFonts w:asciiTheme="majorHAnsi" w:hAnsiTheme="majorHAnsi"/>
          <w:b/>
          <w:lang w:val="en-US"/>
        </w:rPr>
      </w:pPr>
      <w:r w:rsidRPr="007C557B">
        <w:rPr>
          <w:rFonts w:asciiTheme="majorHAnsi" w:hAnsiTheme="majorHAnsi"/>
          <w:b/>
          <w:noProof/>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ma14="http://schemas.microsoft.com/office/mac/drawingml/2011/main"/>
                      </a:ext>
                    </a:extLst>
                  </pic:spPr>
                </pic:pic>
              </a:graphicData>
            </a:graphic>
          </wp:anchor>
        </w:drawing>
      </w:r>
      <w:r w:rsidRPr="007C557B">
        <w:rPr>
          <w:rFonts w:asciiTheme="majorHAnsi" w:hAnsiTheme="majorHAnsi"/>
          <w:b/>
          <w:lang w:val="en-US"/>
        </w:rPr>
        <w:t>EU-CHINA SOCIAL PROTECTION REFORM PROJECT SPRP</w:t>
      </w:r>
    </w:p>
    <w:p w:rsidR="008C0C1F" w:rsidRPr="007C557B" w:rsidRDefault="008C0C1F">
      <w:pPr>
        <w:rPr>
          <w:rFonts w:asciiTheme="majorHAnsi" w:hAnsiTheme="majorHAnsi"/>
          <w:b/>
          <w:lang w:val="en-US"/>
        </w:rPr>
      </w:pPr>
      <w:r w:rsidRPr="007C557B">
        <w:rPr>
          <w:rFonts w:asciiTheme="majorHAnsi" w:hAnsiTheme="majorHAnsi"/>
          <w:b/>
          <w:lang w:val="en-US"/>
        </w:rPr>
        <w:t>HIGH LEVEL EVENT 2016</w:t>
      </w:r>
    </w:p>
    <w:p w:rsidR="008C0C1F" w:rsidRPr="007C557B" w:rsidRDefault="008C0C1F">
      <w:pPr>
        <w:rPr>
          <w:rFonts w:asciiTheme="majorHAnsi" w:hAnsiTheme="majorHAnsi"/>
          <w:b/>
          <w:lang w:val="en-US"/>
        </w:rPr>
      </w:pPr>
      <w:r w:rsidRPr="007C557B">
        <w:rPr>
          <w:rFonts w:asciiTheme="majorHAnsi" w:hAnsiTheme="majorHAnsi"/>
          <w:b/>
          <w:lang w:val="en-US"/>
        </w:rPr>
        <w:t xml:space="preserve">« PERSPECTIVE OF EMPLOYMENT POLICY AND SOCIAL SECURITY REFORM – 2016 TO 2020 », </w:t>
      </w:r>
    </w:p>
    <w:p w:rsidR="008C0C1F" w:rsidRDefault="008C0C1F">
      <w:pPr>
        <w:rPr>
          <w:rFonts w:asciiTheme="majorHAnsi" w:hAnsiTheme="majorHAnsi"/>
          <w:b/>
          <w:lang w:val="en-US"/>
        </w:rPr>
      </w:pPr>
      <w:r w:rsidRPr="007C557B">
        <w:rPr>
          <w:rFonts w:asciiTheme="majorHAnsi" w:hAnsiTheme="majorHAnsi"/>
          <w:b/>
          <w:lang w:val="en-US"/>
        </w:rPr>
        <w:t>BEIJING 28 TO 29 SEPTEMBER 2016</w:t>
      </w:r>
    </w:p>
    <w:p w:rsidR="00A66371" w:rsidRDefault="00A66371">
      <w:pPr>
        <w:rPr>
          <w:rFonts w:asciiTheme="majorHAnsi" w:hAnsiTheme="majorHAnsi"/>
          <w:b/>
          <w:lang w:val="en-US"/>
        </w:rPr>
      </w:pPr>
    </w:p>
    <w:p w:rsidR="00A66371" w:rsidRPr="007C557B" w:rsidRDefault="00A66371">
      <w:pPr>
        <w:rPr>
          <w:rFonts w:asciiTheme="majorHAnsi" w:hAnsiTheme="majorHAnsi"/>
          <w:b/>
          <w:lang w:val="en-US"/>
        </w:rPr>
      </w:pPr>
    </w:p>
    <w:p w:rsidR="00741E30" w:rsidRPr="007C557B" w:rsidRDefault="008C0C1F">
      <w:pPr>
        <w:rPr>
          <w:rFonts w:asciiTheme="majorHAnsi" w:hAnsiTheme="majorHAnsi"/>
          <w:sz w:val="44"/>
          <w:szCs w:val="44"/>
          <w:lang w:val="en-US"/>
        </w:rPr>
      </w:pPr>
      <w:r w:rsidRPr="007C557B">
        <w:rPr>
          <w:rFonts w:asciiTheme="majorHAnsi" w:hAnsiTheme="majorHAnsi"/>
          <w:sz w:val="44"/>
          <w:szCs w:val="44"/>
          <w:lang w:val="en-US"/>
        </w:rPr>
        <w:t xml:space="preserve">COUNTRY PROFILE </w:t>
      </w:r>
      <w:r w:rsidR="003A7224" w:rsidRPr="007C557B">
        <w:rPr>
          <w:rFonts w:asciiTheme="majorHAnsi" w:hAnsiTheme="majorHAnsi"/>
          <w:sz w:val="44"/>
          <w:szCs w:val="44"/>
          <w:lang w:val="en-US"/>
        </w:rPr>
        <w:t>SPAIN</w:t>
      </w:r>
    </w:p>
    <w:p w:rsidR="008C0C1F" w:rsidRPr="007C557B" w:rsidRDefault="008C0C1F">
      <w:pPr>
        <w:rPr>
          <w:rFonts w:asciiTheme="majorHAnsi" w:hAnsiTheme="majorHAnsi"/>
          <w:sz w:val="44"/>
          <w:szCs w:val="44"/>
          <w:lang w:val="en-US"/>
        </w:rPr>
      </w:pPr>
    </w:p>
    <w:p w:rsidR="008C0C1F" w:rsidRPr="007C557B" w:rsidRDefault="008C0C1F" w:rsidP="001778B3">
      <w:pPr>
        <w:pStyle w:val="ListParagraph"/>
        <w:numPr>
          <w:ilvl w:val="0"/>
          <w:numId w:val="1"/>
        </w:numPr>
        <w:ind w:left="0" w:firstLine="0"/>
        <w:rPr>
          <w:rFonts w:asciiTheme="majorHAnsi" w:hAnsiTheme="majorHAnsi"/>
          <w:b/>
          <w:sz w:val="28"/>
          <w:szCs w:val="28"/>
          <w:lang w:val="en-US"/>
        </w:rPr>
      </w:pPr>
      <w:r w:rsidRPr="007C557B">
        <w:rPr>
          <w:rFonts w:asciiTheme="majorHAnsi" w:hAnsiTheme="majorHAnsi"/>
          <w:b/>
          <w:sz w:val="28"/>
          <w:szCs w:val="28"/>
          <w:lang w:val="en-US"/>
        </w:rPr>
        <w:t>MACRO-ECONOMIC SITUATION DURING THE PERIOD 2016-202</w:t>
      </w:r>
      <w:r w:rsidR="003A7224" w:rsidRPr="007C557B">
        <w:rPr>
          <w:rFonts w:asciiTheme="majorHAnsi" w:hAnsiTheme="majorHAnsi"/>
          <w:b/>
          <w:sz w:val="28"/>
          <w:szCs w:val="28"/>
          <w:lang w:val="en-US"/>
        </w:rPr>
        <w:t>0</w:t>
      </w:r>
    </w:p>
    <w:p w:rsidR="001778B3" w:rsidRPr="007C557B" w:rsidRDefault="008C0C1F" w:rsidP="00595350">
      <w:pPr>
        <w:widowControl w:val="0"/>
        <w:autoSpaceDE w:val="0"/>
        <w:autoSpaceDN w:val="0"/>
        <w:adjustRightInd w:val="0"/>
        <w:ind w:left="360"/>
        <w:rPr>
          <w:rFonts w:asciiTheme="majorHAnsi" w:hAnsiTheme="majorHAnsi" w:cs="Arial"/>
          <w:color w:val="262626"/>
          <w:sz w:val="28"/>
          <w:szCs w:val="28"/>
          <w:lang w:val="en-US"/>
        </w:rPr>
      </w:pPr>
      <w:r w:rsidRPr="007C557B">
        <w:rPr>
          <w:rFonts w:asciiTheme="majorHAnsi" w:hAnsiTheme="majorHAnsi" w:cs="Arial"/>
          <w:color w:val="262626"/>
          <w:sz w:val="28"/>
          <w:szCs w:val="28"/>
          <w:lang w:val="en-US"/>
        </w:rPr>
        <w:t xml:space="preserve">(SOURCE: </w:t>
      </w:r>
      <w:r w:rsidR="001778B3" w:rsidRPr="007C557B">
        <w:rPr>
          <w:rFonts w:asciiTheme="majorHAnsi" w:hAnsiTheme="majorHAnsi" w:cs="Arial"/>
          <w:color w:val="262626"/>
          <w:sz w:val="28"/>
          <w:szCs w:val="28"/>
          <w:lang w:val="en-US"/>
        </w:rPr>
        <w:t>National reform programme 201</w:t>
      </w:r>
      <w:r w:rsidR="003A7224" w:rsidRPr="007C557B">
        <w:rPr>
          <w:rFonts w:asciiTheme="majorHAnsi" w:hAnsiTheme="majorHAnsi" w:cs="Arial"/>
          <w:color w:val="262626"/>
          <w:sz w:val="28"/>
          <w:szCs w:val="28"/>
          <w:lang w:val="en-US"/>
        </w:rPr>
        <w:t>6</w:t>
      </w:r>
      <w:r w:rsidR="00DB584A" w:rsidRPr="007C557B">
        <w:rPr>
          <w:rFonts w:asciiTheme="majorHAnsi" w:hAnsiTheme="majorHAnsi" w:cs="Arial"/>
          <w:color w:val="262626"/>
          <w:sz w:val="28"/>
          <w:szCs w:val="28"/>
          <w:lang w:val="en-US"/>
        </w:rPr>
        <w:t xml:space="preserve"> (NRP)</w:t>
      </w:r>
      <w:r w:rsidR="001778B3" w:rsidRPr="007C557B">
        <w:rPr>
          <w:rFonts w:asciiTheme="majorHAnsi" w:hAnsiTheme="majorHAnsi" w:cs="Arial"/>
          <w:color w:val="262626"/>
          <w:sz w:val="28"/>
          <w:szCs w:val="28"/>
          <w:lang w:val="en-US"/>
        </w:rPr>
        <w:t xml:space="preserve"> – contributi</w:t>
      </w:r>
      <w:r w:rsidR="003A7224" w:rsidRPr="007C557B">
        <w:rPr>
          <w:rFonts w:asciiTheme="majorHAnsi" w:hAnsiTheme="majorHAnsi" w:cs="Arial"/>
          <w:color w:val="262626"/>
          <w:sz w:val="28"/>
          <w:szCs w:val="28"/>
          <w:lang w:val="en-US"/>
        </w:rPr>
        <w:t>on to the Europe 2020 Strategy</w:t>
      </w:r>
      <w:r w:rsidRPr="007C557B">
        <w:rPr>
          <w:rFonts w:asciiTheme="majorHAnsi" w:hAnsiTheme="majorHAnsi" w:cs="Arial"/>
          <w:color w:val="262626"/>
          <w:sz w:val="28"/>
          <w:szCs w:val="28"/>
          <w:lang w:val="en-US"/>
        </w:rPr>
        <w:t>)</w:t>
      </w:r>
    </w:p>
    <w:p w:rsidR="001778B3" w:rsidRPr="007C557B" w:rsidRDefault="001778B3" w:rsidP="001778B3">
      <w:pPr>
        <w:pStyle w:val="NormalWeb"/>
        <w:rPr>
          <w:rFonts w:ascii="Arial" w:hAnsi="Arial" w:cs="Arial"/>
          <w:sz w:val="22"/>
          <w:szCs w:val="22"/>
          <w:lang w:val="en-US"/>
        </w:rPr>
      </w:pPr>
      <w:r w:rsidRPr="007C557B">
        <w:rPr>
          <w:rFonts w:ascii="Arial" w:hAnsi="Arial" w:cs="Arial"/>
          <w:sz w:val="22"/>
          <w:szCs w:val="22"/>
          <w:lang w:val="en-US"/>
        </w:rPr>
        <w:t>Executive Summary</w:t>
      </w:r>
      <w:r w:rsidR="003E3104" w:rsidRPr="007C557B">
        <w:rPr>
          <w:rFonts w:ascii="Arial" w:hAnsi="Arial" w:cs="Arial"/>
          <w:sz w:val="22"/>
          <w:szCs w:val="22"/>
          <w:lang w:val="en-US"/>
        </w:rPr>
        <w:t xml:space="preserve"> of the </w:t>
      </w:r>
      <w:r w:rsidR="00C01469" w:rsidRPr="007C557B">
        <w:rPr>
          <w:rFonts w:ascii="Arial" w:hAnsi="Arial" w:cs="Arial"/>
          <w:sz w:val="22"/>
          <w:szCs w:val="22"/>
          <w:lang w:val="en-US"/>
        </w:rPr>
        <w:t xml:space="preserve">Spain </w:t>
      </w:r>
      <w:r w:rsidR="003E3104" w:rsidRPr="007C557B">
        <w:rPr>
          <w:rFonts w:ascii="Arial" w:hAnsi="Arial" w:cs="Arial"/>
          <w:sz w:val="22"/>
          <w:szCs w:val="22"/>
          <w:lang w:val="en-US"/>
        </w:rPr>
        <w:t xml:space="preserve">National </w:t>
      </w:r>
      <w:r w:rsidR="00C01469" w:rsidRPr="007C557B">
        <w:rPr>
          <w:rFonts w:ascii="Arial" w:hAnsi="Arial" w:cs="Arial"/>
          <w:sz w:val="22"/>
          <w:szCs w:val="22"/>
          <w:lang w:val="en-US"/>
        </w:rPr>
        <w:t xml:space="preserve">Reform </w:t>
      </w:r>
      <w:r w:rsidR="003E3104" w:rsidRPr="007C557B">
        <w:rPr>
          <w:rFonts w:ascii="Arial" w:hAnsi="Arial" w:cs="Arial"/>
          <w:sz w:val="22"/>
          <w:szCs w:val="22"/>
          <w:lang w:val="en-US"/>
        </w:rPr>
        <w:t xml:space="preserve">Programme </w:t>
      </w:r>
      <w:proofErr w:type="gramStart"/>
      <w:r w:rsidR="003E3104" w:rsidRPr="007C557B">
        <w:rPr>
          <w:rFonts w:ascii="Arial" w:hAnsi="Arial" w:cs="Arial"/>
          <w:sz w:val="22"/>
          <w:szCs w:val="22"/>
          <w:lang w:val="en-US"/>
        </w:rPr>
        <w:t>201</w:t>
      </w:r>
      <w:r w:rsidR="003A7224" w:rsidRPr="007C557B">
        <w:rPr>
          <w:rFonts w:ascii="Arial" w:hAnsi="Arial" w:cs="Arial"/>
          <w:sz w:val="22"/>
          <w:szCs w:val="22"/>
          <w:lang w:val="en-US"/>
        </w:rPr>
        <w:t>6</w:t>
      </w:r>
      <w:r w:rsidR="003E3104" w:rsidRPr="007C557B">
        <w:rPr>
          <w:rFonts w:ascii="Arial" w:hAnsi="Arial" w:cs="Arial"/>
          <w:sz w:val="22"/>
          <w:szCs w:val="22"/>
          <w:lang w:val="en-US"/>
        </w:rPr>
        <w:t xml:space="preserve"> </w:t>
      </w:r>
      <w:r w:rsidRPr="007C557B">
        <w:rPr>
          <w:rFonts w:ascii="Arial" w:hAnsi="Arial" w:cs="Arial"/>
          <w:sz w:val="22"/>
          <w:szCs w:val="22"/>
          <w:lang w:val="en-US"/>
        </w:rPr>
        <w:t>:</w:t>
      </w:r>
      <w:proofErr w:type="gramEnd"/>
      <w:r w:rsidRPr="007C557B">
        <w:rPr>
          <w:rFonts w:ascii="Arial" w:hAnsi="Arial" w:cs="Arial"/>
          <w:sz w:val="22"/>
          <w:szCs w:val="22"/>
          <w:lang w:val="en-US"/>
        </w:rPr>
        <w:t xml:space="preserve"> </w:t>
      </w:r>
    </w:p>
    <w:p w:rsidR="003A7224" w:rsidRPr="007C557B" w:rsidRDefault="003A7224" w:rsidP="003A7224">
      <w:pPr>
        <w:pStyle w:val="Default"/>
        <w:rPr>
          <w:color w:val="auto"/>
          <w:sz w:val="22"/>
          <w:szCs w:val="22"/>
          <w:lang w:val="en-US"/>
        </w:rPr>
      </w:pP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“Over the last four years, the Spanish Government has put in place an ambitious reform agenda that has transformed the Spanish economy. This agenda has been built over three pillars: fiscal consolidation, restructuring of the financial sector to restore lending and investment, and structural reforms. </w:t>
      </w:r>
    </w:p>
    <w:p w:rsidR="00621468" w:rsidRPr="007C557B" w:rsidRDefault="00621468" w:rsidP="003A7224">
      <w:pPr>
        <w:pStyle w:val="NormalWeb"/>
        <w:spacing w:before="0" w:beforeAutospacing="0" w:after="0" w:afterAutospacing="0"/>
        <w:jc w:val="both"/>
        <w:rPr>
          <w:rFonts w:ascii="Arial" w:hAnsi="Arial" w:cs="Arial"/>
          <w:sz w:val="22"/>
          <w:szCs w:val="22"/>
          <w:lang w:val="en-US"/>
        </w:rPr>
      </w:pP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This strategy, which has enabled the Spanish economy to regain confidence in international markets and to increase its efficiency, flexibility and ability to compete, has borne fruit. The Spanish economy is growing today at leading rates among the main economies of the Economic and Monetary Union: in 2015, the Spanish GDP grew by 3,2%, a rate that more than doubles the average rate of the Euro Area (1,6%). Only four years before, in 2011, the Spanish GDP was falling at of −1</w:t>
      </w:r>
      <w:proofErr w:type="gramStart"/>
      <w:r w:rsidRPr="007C557B">
        <w:rPr>
          <w:rFonts w:ascii="Arial" w:hAnsi="Arial" w:cs="Arial"/>
          <w:sz w:val="22"/>
          <w:szCs w:val="22"/>
          <w:lang w:val="en-US"/>
        </w:rPr>
        <w:t>,8</w:t>
      </w:r>
      <w:proofErr w:type="gramEnd"/>
      <w:r w:rsidRPr="007C557B">
        <w:rPr>
          <w:rFonts w:ascii="Arial" w:hAnsi="Arial" w:cs="Arial"/>
          <w:sz w:val="22"/>
          <w:szCs w:val="22"/>
          <w:lang w:val="en-US"/>
        </w:rPr>
        <w:t xml:space="preserve">%. </w:t>
      </w:r>
    </w:p>
    <w:p w:rsidR="00621468" w:rsidRPr="007C557B" w:rsidRDefault="00621468" w:rsidP="003A7224">
      <w:pPr>
        <w:pStyle w:val="NormalWeb"/>
        <w:spacing w:before="0" w:beforeAutospacing="0" w:after="0" w:afterAutospacing="0"/>
        <w:jc w:val="both"/>
        <w:rPr>
          <w:rFonts w:ascii="Arial" w:hAnsi="Arial" w:cs="Arial"/>
          <w:sz w:val="22"/>
          <w:szCs w:val="22"/>
          <w:lang w:val="en-US"/>
        </w:rPr>
      </w:pPr>
    </w:p>
    <w:p w:rsidR="00621468"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Looking forward, the market consensus forecasts a 2,7% growth rate for 2016, very much in line with Government projections. However, preliminary data for the first quarter of 2016 point to a continuation of the strong growth rates of the previous quarter: a year-on-year growth of 3,4%, the best figure for the last 8 years, and a 0,8% quarter-on-quarter growth.</w:t>
      </w: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 </w:t>
      </w: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In addition, stronger economic activity is translating into job creation at unprecedented rates in Spain. In 2015, more than half a million new jobs were created, a record high. Moreover, the annual reduction of unemployment was the highest in history: 678.000 people. And almost 20% of this reduction happened in youth unemployment, with 126.000 less young unemployed in one year. This is another record. Altogether, in the last two years, almost one million jobs have been created, and, if this trend is maintained, according to main analysts, in 2016 and 2017 another million jobs would be created. </w:t>
      </w:r>
    </w:p>
    <w:p w:rsidR="00621468" w:rsidRPr="007C557B" w:rsidRDefault="00621468" w:rsidP="003A7224">
      <w:pPr>
        <w:pStyle w:val="NormalWeb"/>
        <w:spacing w:before="0" w:beforeAutospacing="0" w:after="0" w:afterAutospacing="0"/>
        <w:jc w:val="both"/>
        <w:rPr>
          <w:rFonts w:ascii="Arial" w:hAnsi="Arial" w:cs="Arial"/>
          <w:sz w:val="22"/>
          <w:szCs w:val="22"/>
          <w:lang w:val="en-US"/>
        </w:rPr>
      </w:pP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This positive trend in the labour market continues in 2016. Official data for the first quarter 20163 show acceleration in employment creation (corrected for seasonal variations and calendar effects): quarter-on quarter, employment grew by 0.9% versus 0.7% in the previous quarter. Year-on-year, almost six hundred thousand new jobs have been created (574,800 new jobs) and unemployment diminished in 653,200 persons. This represents a 12% reduction, very close to the record high recorded in the last quarter of 2015. </w:t>
      </w:r>
    </w:p>
    <w:p w:rsidR="00621468" w:rsidRPr="007C557B" w:rsidRDefault="00621468" w:rsidP="003A7224">
      <w:pPr>
        <w:pStyle w:val="NormalWeb"/>
        <w:spacing w:before="0" w:beforeAutospacing="0" w:after="0" w:afterAutospacing="0"/>
        <w:jc w:val="both"/>
        <w:rPr>
          <w:rFonts w:ascii="Arial" w:hAnsi="Arial" w:cs="Arial"/>
          <w:sz w:val="22"/>
          <w:szCs w:val="22"/>
          <w:lang w:val="en-US"/>
        </w:rPr>
      </w:pP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Furthermore, Spanish growth is healthy: its most dynamic components are investment in capital goods and exports of goods and services. This provides a strong basis to household consumption, which, at the end of 2015, grew at a rate of 3,5%, a rate similar to pre-crisis rates. At the same time, in 2015, </w:t>
      </w:r>
      <w:proofErr w:type="spellStart"/>
      <w:r w:rsidR="00224FA5" w:rsidRPr="007C557B">
        <w:rPr>
          <w:rFonts w:ascii="Arial" w:hAnsi="Arial" w:cs="Arial"/>
          <w:sz w:val="22"/>
          <w:szCs w:val="22"/>
          <w:lang w:val="en-US"/>
        </w:rPr>
        <w:t>favourable</w:t>
      </w:r>
      <w:proofErr w:type="spellEnd"/>
      <w:r w:rsidRPr="007C557B">
        <w:rPr>
          <w:rFonts w:ascii="Arial" w:hAnsi="Arial" w:cs="Arial"/>
          <w:sz w:val="22"/>
          <w:szCs w:val="22"/>
          <w:lang w:val="en-US"/>
        </w:rPr>
        <w:t xml:space="preserve"> price performance generated competitive gains for the Spanish economy: </w:t>
      </w:r>
      <w:r w:rsidRPr="007C557B">
        <w:rPr>
          <w:rFonts w:ascii="Arial" w:hAnsi="Arial" w:cs="Arial"/>
          <w:sz w:val="22"/>
          <w:szCs w:val="22"/>
          <w:lang w:val="en-US"/>
        </w:rPr>
        <w:lastRenderedPageBreak/>
        <w:t xml:space="preserve">this is the fourth consecutive year with an external surplus and, in 2015, the financing capacity of the Spanish economy exceeded 22.700 million euro. </w:t>
      </w:r>
    </w:p>
    <w:p w:rsidR="003D0E34" w:rsidRPr="007C557B" w:rsidRDefault="003D0E34" w:rsidP="003A7224">
      <w:pPr>
        <w:pStyle w:val="NormalWeb"/>
        <w:spacing w:before="0" w:beforeAutospacing="0" w:after="0" w:afterAutospacing="0"/>
        <w:jc w:val="both"/>
        <w:rPr>
          <w:rFonts w:ascii="Arial" w:hAnsi="Arial" w:cs="Arial"/>
          <w:sz w:val="22"/>
          <w:szCs w:val="22"/>
          <w:lang w:val="en-US"/>
        </w:rPr>
      </w:pPr>
    </w:p>
    <w:p w:rsidR="003A7224"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The Spanish economy also continues to attract foreign investment, both direct and portfolio investment. According to data from the Register of Foreign Investments, productive investment grew at an 11% rate in 2015 and exceeded 21.700 million euro, which constitutes the fifth highest volume since 2000. </w:t>
      </w:r>
    </w:p>
    <w:p w:rsidR="003D0E34" w:rsidRPr="007C557B" w:rsidRDefault="003D0E34" w:rsidP="003A7224">
      <w:pPr>
        <w:pStyle w:val="NormalWeb"/>
        <w:spacing w:before="0" w:beforeAutospacing="0" w:after="0" w:afterAutospacing="0"/>
        <w:jc w:val="both"/>
        <w:rPr>
          <w:rFonts w:ascii="Arial" w:hAnsi="Arial" w:cs="Arial"/>
          <w:sz w:val="22"/>
          <w:szCs w:val="22"/>
          <w:lang w:val="en-US"/>
        </w:rPr>
      </w:pPr>
    </w:p>
    <w:p w:rsidR="006F2169" w:rsidRPr="007C557B" w:rsidRDefault="003A7224"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Finally, credit is improving. Companies have access to loans at better rates, households enjoy more financing and the cost of public debt is still declining: the risk premium has been even below 100 basis points, which did not happen since 2010. </w:t>
      </w:r>
    </w:p>
    <w:p w:rsidR="003D0E34" w:rsidRPr="007C557B" w:rsidRDefault="003D0E34" w:rsidP="003A7224">
      <w:pPr>
        <w:pStyle w:val="NormalWeb"/>
        <w:spacing w:before="0" w:beforeAutospacing="0" w:after="0" w:afterAutospacing="0"/>
        <w:jc w:val="both"/>
        <w:rPr>
          <w:rFonts w:ascii="Arial" w:hAnsi="Arial" w:cs="Arial"/>
          <w:sz w:val="22"/>
          <w:szCs w:val="22"/>
          <w:lang w:val="en-US"/>
        </w:rPr>
      </w:pPr>
    </w:p>
    <w:p w:rsidR="003A7224" w:rsidRPr="007C557B" w:rsidRDefault="006F2169" w:rsidP="006F2169">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w:t>
      </w:r>
      <w:r w:rsidR="003A7224" w:rsidRPr="007C557B">
        <w:rPr>
          <w:rFonts w:ascii="Arial" w:hAnsi="Arial" w:cs="Arial"/>
          <w:sz w:val="22"/>
          <w:szCs w:val="22"/>
          <w:lang w:val="en-US"/>
        </w:rPr>
        <w:t xml:space="preserve">he National Reform Program 2016 has been elaborated in this economic context. As for the political context, at the time of the submission of this NRP, Spain has a caretaker government, subject to constitutional and legal constraints. At the same time, Spain has to comply with its obligations within the European Semester framework. Therefore, the caretaker government has decided to submit a NRP which, on the one hand, reports on measures taken during the last year to complete the reform agenda planned for the previous legislature. On the other hand, the NRP outlines the main measures that, in the opinion of the caretaker government, should be adopted in order to maintain the current pace in growth and job creation, thus consolidating the results achieved in the last four years. Moreover, the reforms highlighted in this NRP 2016 are aligned with the priorities of the Annual Growth Survey 2016, which is the starting point for National Reform Programs: structural reforms to modernize our economies and responsible fiscal policy. In addition, there is a reference to the necessary reforms at the European Union level. </w:t>
      </w:r>
    </w:p>
    <w:p w:rsidR="004538AB" w:rsidRPr="007C557B" w:rsidRDefault="004538AB" w:rsidP="006F2169">
      <w:pPr>
        <w:pStyle w:val="NormalWeb"/>
        <w:spacing w:before="0" w:beforeAutospacing="0" w:after="0" w:afterAutospacing="0"/>
        <w:jc w:val="both"/>
        <w:rPr>
          <w:rFonts w:ascii="Arial" w:hAnsi="Arial" w:cs="Arial"/>
          <w:sz w:val="22"/>
          <w:szCs w:val="22"/>
          <w:lang w:val="en-US"/>
        </w:rPr>
      </w:pPr>
    </w:p>
    <w:p w:rsidR="003A7224" w:rsidRPr="007C557B" w:rsidRDefault="003A7224" w:rsidP="006F2169">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NRP 2016, firstly, shows the high level of compliance with the commitments assumed by Spain within the framework of the European Semester, in particular, with the Country Specific Recommendations (CSRs) formulated by the Council to Spain in 2015</w:t>
      </w:r>
      <w:r w:rsidR="004538AB" w:rsidRPr="007C557B">
        <w:rPr>
          <w:rFonts w:ascii="Arial" w:hAnsi="Arial" w:cs="Arial"/>
          <w:sz w:val="22"/>
          <w:szCs w:val="22"/>
          <w:lang w:val="en-US"/>
        </w:rPr>
        <w:t xml:space="preserve"> (http://ec.europa.eu/europe2020/pdf/csr2015/csr2015_council_spain_en.pdf )</w:t>
      </w:r>
      <w:r w:rsidRPr="007C557B">
        <w:rPr>
          <w:rFonts w:ascii="Arial" w:hAnsi="Arial" w:cs="Arial"/>
          <w:sz w:val="22"/>
          <w:szCs w:val="22"/>
          <w:lang w:val="en-US"/>
        </w:rPr>
        <w:t xml:space="preserve">. This section describes the reforms undertaken during the last twelve months as outlined in the previous NRP, which has been almost fully implemented. </w:t>
      </w:r>
    </w:p>
    <w:p w:rsidR="004538AB" w:rsidRPr="007C557B" w:rsidRDefault="004538AB" w:rsidP="006F2169">
      <w:pPr>
        <w:pStyle w:val="NormalWeb"/>
        <w:spacing w:before="0" w:beforeAutospacing="0" w:after="0" w:afterAutospacing="0"/>
        <w:jc w:val="both"/>
        <w:rPr>
          <w:rFonts w:ascii="Arial" w:hAnsi="Arial" w:cs="Arial"/>
          <w:sz w:val="22"/>
          <w:szCs w:val="22"/>
          <w:lang w:val="en-US"/>
        </w:rPr>
      </w:pPr>
    </w:p>
    <w:p w:rsidR="003A7224" w:rsidRPr="007C557B" w:rsidRDefault="003A7224" w:rsidP="0052593D">
      <w:pPr>
        <w:pStyle w:val="NormalWeb"/>
        <w:tabs>
          <w:tab w:val="left" w:pos="5670"/>
        </w:tabs>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Thereafter, the NRP outlines the measures that, in the opinion of the caretaker government, should be adopted to maintain the pace of growth and job creation in the years to come. These measures lay the foundations for compliance with the Europe 2020 Strategy objectives.</w:t>
      </w:r>
    </w:p>
    <w:p w:rsidR="009207D2" w:rsidRPr="007C557B" w:rsidRDefault="009207D2" w:rsidP="003A7224">
      <w:pPr>
        <w:pStyle w:val="NormalWeb"/>
        <w:spacing w:before="0" w:beforeAutospacing="0" w:after="0" w:afterAutospacing="0"/>
        <w:jc w:val="both"/>
        <w:rPr>
          <w:rFonts w:ascii="Arial" w:hAnsi="Arial" w:cs="Arial"/>
          <w:sz w:val="22"/>
          <w:szCs w:val="22"/>
          <w:lang w:val="en-US"/>
        </w:rPr>
      </w:pPr>
    </w:p>
    <w:p w:rsidR="009207D2" w:rsidRPr="007C557B" w:rsidRDefault="009207D2" w:rsidP="003A7224">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NRP 2016 reflects the need to continue the reform agenda of the last four years to consolidate growth and job creation. The caretaker Government considers that some of the most relevant areas in which further reforms are necessary are:</w:t>
      </w:r>
    </w:p>
    <w:p w:rsidR="003A7224" w:rsidRPr="007C557B" w:rsidRDefault="003A7224" w:rsidP="00595350">
      <w:pPr>
        <w:pStyle w:val="NormalWeb"/>
        <w:spacing w:before="0" w:beforeAutospacing="0" w:after="0" w:afterAutospacing="0"/>
        <w:jc w:val="both"/>
        <w:rPr>
          <w:rFonts w:ascii="Arial" w:hAnsi="Arial" w:cs="Arial"/>
          <w:i/>
          <w:color w:val="3A3A3A"/>
          <w:lang w:val="en-US"/>
        </w:rPr>
      </w:pPr>
    </w:p>
    <w:p w:rsidR="003E3104" w:rsidRPr="007C557B" w:rsidRDefault="003E3104" w:rsidP="00595350">
      <w:pPr>
        <w:pStyle w:val="NormalWeb"/>
        <w:numPr>
          <w:ilvl w:val="0"/>
          <w:numId w:val="1"/>
        </w:numPr>
        <w:rPr>
          <w:rFonts w:ascii="Arial" w:hAnsi="Arial" w:cs="Arial"/>
          <w:b/>
          <w:sz w:val="28"/>
          <w:szCs w:val="28"/>
          <w:lang w:val="en-US"/>
        </w:rPr>
      </w:pPr>
      <w:r w:rsidRPr="007C557B">
        <w:rPr>
          <w:rFonts w:ascii="Arial" w:hAnsi="Arial" w:cs="Arial"/>
          <w:b/>
          <w:sz w:val="28"/>
          <w:szCs w:val="28"/>
          <w:lang w:val="en-US"/>
        </w:rPr>
        <w:t>LABOUR MARKET POLICIES</w:t>
      </w:r>
    </w:p>
    <w:p w:rsidR="00595350" w:rsidRPr="007C557B" w:rsidRDefault="00595350" w:rsidP="00595350">
      <w:pPr>
        <w:pStyle w:val="NormalWeb"/>
        <w:ind w:left="360"/>
        <w:rPr>
          <w:rFonts w:ascii="Arial" w:hAnsi="Arial" w:cs="Arial"/>
          <w:sz w:val="24"/>
          <w:szCs w:val="24"/>
          <w:lang w:val="en-US"/>
        </w:rPr>
      </w:pPr>
      <w:r w:rsidRPr="007C557B">
        <w:rPr>
          <w:rFonts w:ascii="Arial" w:hAnsi="Arial" w:cs="Arial"/>
          <w:b/>
          <w:sz w:val="24"/>
          <w:szCs w:val="24"/>
          <w:lang w:val="en-US"/>
        </w:rPr>
        <w:t xml:space="preserve">2.1 </w:t>
      </w:r>
      <w:r w:rsidR="0052593D" w:rsidRPr="007C557B">
        <w:rPr>
          <w:rFonts w:ascii="Arial" w:hAnsi="Arial" w:cs="Arial"/>
          <w:b/>
          <w:bCs/>
          <w:sz w:val="24"/>
          <w:szCs w:val="24"/>
          <w:lang w:val="en-US"/>
        </w:rPr>
        <w:t>Employment creation and social inclusion</w:t>
      </w:r>
      <w:r w:rsidR="0052593D" w:rsidRPr="007C557B">
        <w:rPr>
          <w:rFonts w:ascii="Arial" w:hAnsi="Arial" w:cs="Arial"/>
          <w:bCs/>
          <w:sz w:val="22"/>
          <w:szCs w:val="22"/>
          <w:lang w:val="en-US"/>
        </w:rPr>
        <w:t>:</w:t>
      </w:r>
    </w:p>
    <w:p w:rsidR="0052593D" w:rsidRDefault="0052593D" w:rsidP="0052593D">
      <w:pPr>
        <w:pStyle w:val="Default"/>
        <w:jc w:val="both"/>
        <w:rPr>
          <w:sz w:val="22"/>
          <w:szCs w:val="22"/>
          <w:lang w:val="en-US"/>
        </w:rPr>
      </w:pPr>
      <w:r w:rsidRPr="007C557B">
        <w:rPr>
          <w:sz w:val="22"/>
          <w:szCs w:val="22"/>
          <w:lang w:val="en-US"/>
        </w:rPr>
        <w:t xml:space="preserve">Spain is now registering record levels of job creation. Among other factors, this proves the positive impact of the labor reform and subsequent reforms. </w:t>
      </w:r>
    </w:p>
    <w:p w:rsidR="00A66371" w:rsidRPr="007C557B" w:rsidRDefault="00A66371" w:rsidP="0052593D">
      <w:pPr>
        <w:pStyle w:val="Default"/>
        <w:jc w:val="both"/>
        <w:rPr>
          <w:sz w:val="22"/>
          <w:szCs w:val="22"/>
          <w:lang w:val="en-US"/>
        </w:rPr>
      </w:pPr>
    </w:p>
    <w:p w:rsidR="0052593D" w:rsidRPr="007C557B" w:rsidRDefault="0052593D" w:rsidP="0052593D">
      <w:pPr>
        <w:pStyle w:val="Default"/>
        <w:jc w:val="both"/>
        <w:rPr>
          <w:sz w:val="22"/>
          <w:szCs w:val="22"/>
          <w:lang w:val="en-US"/>
        </w:rPr>
      </w:pPr>
      <w:r w:rsidRPr="007C557B">
        <w:rPr>
          <w:sz w:val="22"/>
          <w:szCs w:val="22"/>
          <w:lang w:val="en-US"/>
        </w:rPr>
        <w:t xml:space="preserve">Consolidating this trend in the next few months is a priority, as well as advancing towards more inclusive and higher quality employment. Therefore, the caretaker Government considers that more reforms are needed in the following fields: in social contributions, to make permanent employment more attractive; in making employment compatible with benefits entitlements, as it is already the case in certain circumstances; in the reinforcement of active employment policies, in particular by strengthening the functioning of the Central Public Employment Service; and in the promotion of more effective solutions in education and training policies. </w:t>
      </w:r>
    </w:p>
    <w:p w:rsidR="00913A69" w:rsidRPr="007C557B" w:rsidRDefault="00913A69" w:rsidP="0052593D">
      <w:pPr>
        <w:pStyle w:val="Default"/>
        <w:jc w:val="both"/>
        <w:rPr>
          <w:sz w:val="22"/>
          <w:szCs w:val="22"/>
          <w:lang w:val="en-US"/>
        </w:rPr>
      </w:pPr>
    </w:p>
    <w:p w:rsidR="0052593D" w:rsidRPr="007C557B" w:rsidRDefault="0052593D" w:rsidP="0052593D">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lastRenderedPageBreak/>
        <w:t>Job creation and labor integration are the most effective way to combat poverty and social exclusion, and they must be kept as a priority. In any case, the structural reforms implemented in the last few years have come along with the maintenance of high social protection by public authorities.</w:t>
      </w:r>
    </w:p>
    <w:p w:rsidR="0052593D" w:rsidRPr="007C557B" w:rsidRDefault="0052593D" w:rsidP="0052593D">
      <w:pPr>
        <w:pStyle w:val="NormalWeb"/>
        <w:spacing w:before="0" w:beforeAutospacing="0" w:after="0" w:afterAutospacing="0"/>
        <w:jc w:val="both"/>
        <w:rPr>
          <w:rFonts w:ascii="Arial" w:hAnsi="Arial" w:cs="Arial"/>
          <w:sz w:val="22"/>
          <w:szCs w:val="22"/>
          <w:lang w:val="en-US"/>
        </w:rPr>
      </w:pPr>
    </w:p>
    <w:p w:rsidR="00534563" w:rsidRPr="007C557B" w:rsidRDefault="00534563" w:rsidP="00534563">
      <w:pPr>
        <w:pStyle w:val="Default"/>
        <w:rPr>
          <w:color w:val="auto"/>
          <w:sz w:val="22"/>
          <w:szCs w:val="22"/>
          <w:lang w:val="en-US"/>
        </w:rPr>
      </w:pPr>
      <w:r w:rsidRPr="007C557B">
        <w:rPr>
          <w:color w:val="auto"/>
          <w:sz w:val="22"/>
          <w:szCs w:val="22"/>
          <w:lang w:val="en-US"/>
        </w:rPr>
        <w:t xml:space="preserve">This strategy is bearing fruit, as the improvement of the labor market is starting to show an impact in recent poverty and social exclusion indicators. </w:t>
      </w:r>
    </w:p>
    <w:p w:rsidR="00913A69" w:rsidRPr="007C557B" w:rsidRDefault="00913A69" w:rsidP="00534563">
      <w:pPr>
        <w:pStyle w:val="Default"/>
        <w:rPr>
          <w:color w:val="auto"/>
          <w:sz w:val="22"/>
          <w:szCs w:val="22"/>
          <w:lang w:val="en-US"/>
        </w:rPr>
      </w:pPr>
    </w:p>
    <w:p w:rsidR="0052593D" w:rsidRPr="007C557B" w:rsidRDefault="00534563" w:rsidP="00534563">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To consolidate this trend, more measures must be executed in 2016 in the field of employment and education, including measures to promote indefinite contracts and training, as well as in the pensions system, in order to guarantee its sustainability and its high level of protection. At the same time, multiannual plans already approved for the attention of specific groups will continue to be implemented, such as the Integral Plan for Support to Families 2015-2017 or the National Integral Strategy for Homeless People 2015-2020.</w:t>
      </w:r>
    </w:p>
    <w:p w:rsidR="0052593D" w:rsidRPr="007C557B" w:rsidRDefault="0052593D" w:rsidP="0052593D">
      <w:pPr>
        <w:pStyle w:val="NormalWeb"/>
        <w:spacing w:before="0" w:beforeAutospacing="0" w:after="0" w:afterAutospacing="0"/>
        <w:jc w:val="both"/>
        <w:rPr>
          <w:rFonts w:ascii="Arial" w:hAnsi="Arial" w:cs="Arial"/>
          <w:sz w:val="22"/>
          <w:szCs w:val="22"/>
          <w:lang w:val="en-US"/>
        </w:rPr>
      </w:pPr>
    </w:p>
    <w:p w:rsidR="00AB2D6D" w:rsidRPr="007C557B" w:rsidRDefault="00AB2D6D" w:rsidP="00AB2D6D">
      <w:pPr>
        <w:pStyle w:val="Default"/>
        <w:jc w:val="both"/>
        <w:rPr>
          <w:color w:val="auto"/>
          <w:sz w:val="22"/>
          <w:szCs w:val="22"/>
          <w:lang w:val="en-US"/>
        </w:rPr>
      </w:pPr>
      <w:r w:rsidRPr="007C557B">
        <w:rPr>
          <w:color w:val="auto"/>
          <w:sz w:val="22"/>
          <w:szCs w:val="22"/>
          <w:lang w:val="en-US"/>
        </w:rPr>
        <w:t xml:space="preserve">Progress on Market Unity is a must, as a key way to achieve efficient and integrated markets that wholly contribute to growth and employment. Therefore, more progress must be done in adapting to national and regional regulations to eliminate unjustified burdens and barriers, and to strengthen the cooperation mechanisms among administrations. </w:t>
      </w:r>
    </w:p>
    <w:p w:rsidR="00AB2D6D" w:rsidRPr="007C557B" w:rsidRDefault="00AB2D6D" w:rsidP="00AB2D6D">
      <w:pPr>
        <w:pStyle w:val="Default"/>
        <w:jc w:val="both"/>
        <w:rPr>
          <w:color w:val="auto"/>
          <w:sz w:val="22"/>
          <w:szCs w:val="22"/>
          <w:lang w:val="en-US"/>
        </w:rPr>
      </w:pPr>
    </w:p>
    <w:p w:rsidR="0052593D" w:rsidRPr="007C557B" w:rsidRDefault="00AB2D6D" w:rsidP="00AB2D6D">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Moreover, it will be necessary to increase competition in certain product and service markets to avoid distortions in the price-setting process. The objective is to create a friendly environment for our companies to develop their activities. This also requires measures to stimulate business competitiveness, including the reinforcement of infrastructure planning, improving digital connectivity, ensuring an efficient and sustainable functioning of our energy system, and making the financial sector more efficient and competitive.</w:t>
      </w:r>
    </w:p>
    <w:p w:rsidR="00AB2D6D" w:rsidRPr="007C557B" w:rsidRDefault="00AB2D6D" w:rsidP="00AB2D6D">
      <w:pPr>
        <w:pStyle w:val="NormalWeb"/>
        <w:spacing w:before="0" w:beforeAutospacing="0" w:after="0" w:afterAutospacing="0"/>
        <w:jc w:val="both"/>
        <w:rPr>
          <w:rFonts w:ascii="Arial" w:hAnsi="Arial" w:cs="Arial"/>
          <w:sz w:val="22"/>
          <w:szCs w:val="22"/>
          <w:lang w:val="en-US"/>
        </w:rPr>
      </w:pPr>
    </w:p>
    <w:p w:rsidR="00AB2D6D" w:rsidRPr="007C557B" w:rsidRDefault="00AB2D6D" w:rsidP="00AB2D6D">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Policies for entrepreneurship promotion and </w:t>
      </w:r>
      <w:r w:rsidR="00153141" w:rsidRPr="007C557B">
        <w:rPr>
          <w:rFonts w:ascii="Arial" w:hAnsi="Arial" w:cs="Arial"/>
          <w:sz w:val="22"/>
          <w:szCs w:val="22"/>
          <w:lang w:val="en-US"/>
        </w:rPr>
        <w:t>small and medium-sized enterprises (</w:t>
      </w:r>
      <w:r w:rsidRPr="007C557B">
        <w:rPr>
          <w:rFonts w:ascii="Arial" w:hAnsi="Arial" w:cs="Arial"/>
          <w:sz w:val="22"/>
          <w:szCs w:val="22"/>
          <w:lang w:val="en-US"/>
        </w:rPr>
        <w:t>SMEs</w:t>
      </w:r>
      <w:r w:rsidR="00153141" w:rsidRPr="007C557B">
        <w:rPr>
          <w:rFonts w:ascii="Arial" w:hAnsi="Arial" w:cs="Arial"/>
          <w:sz w:val="22"/>
          <w:szCs w:val="22"/>
          <w:lang w:val="en-US"/>
        </w:rPr>
        <w:t>)</w:t>
      </w:r>
      <w:r w:rsidRPr="007C557B">
        <w:rPr>
          <w:rFonts w:ascii="Arial" w:hAnsi="Arial" w:cs="Arial"/>
          <w:sz w:val="22"/>
          <w:szCs w:val="22"/>
          <w:lang w:val="en-US"/>
        </w:rPr>
        <w:t xml:space="preserve"> support will be further developed. In this field, it is necessary to remove obstacles to SMEs growth, promote the use of the newly approved second chance mechanisms, facilitate SMEs access to finance, including alternative non-banking financing mechanisms or </w:t>
      </w:r>
      <w:proofErr w:type="spellStart"/>
      <w:r w:rsidRPr="007C557B">
        <w:rPr>
          <w:rFonts w:ascii="Arial" w:hAnsi="Arial" w:cs="Arial"/>
          <w:sz w:val="22"/>
          <w:szCs w:val="22"/>
          <w:lang w:val="en-US"/>
        </w:rPr>
        <w:t>crowdfunding</w:t>
      </w:r>
      <w:proofErr w:type="spellEnd"/>
      <w:r w:rsidRPr="007C557B">
        <w:rPr>
          <w:rFonts w:ascii="Arial" w:hAnsi="Arial" w:cs="Arial"/>
          <w:sz w:val="22"/>
          <w:szCs w:val="22"/>
          <w:lang w:val="en-US"/>
        </w:rPr>
        <w:t>, and stimulate business internationalization</w:t>
      </w:r>
    </w:p>
    <w:p w:rsidR="0052593D" w:rsidRPr="007C557B" w:rsidRDefault="0052593D" w:rsidP="0052593D">
      <w:pPr>
        <w:pStyle w:val="NormalWeb"/>
        <w:spacing w:before="0" w:beforeAutospacing="0" w:after="0" w:afterAutospacing="0"/>
        <w:jc w:val="both"/>
        <w:rPr>
          <w:rFonts w:ascii="Arial" w:hAnsi="Arial" w:cs="Arial"/>
          <w:sz w:val="22"/>
          <w:szCs w:val="22"/>
          <w:lang w:val="en-US"/>
        </w:rPr>
      </w:pPr>
    </w:p>
    <w:p w:rsidR="007F22D9" w:rsidRPr="007C557B" w:rsidRDefault="007F22D9" w:rsidP="007F22D9">
      <w:pPr>
        <w:pStyle w:val="Default"/>
        <w:jc w:val="both"/>
        <w:rPr>
          <w:color w:val="auto"/>
          <w:sz w:val="22"/>
          <w:szCs w:val="22"/>
          <w:lang w:val="en-US"/>
        </w:rPr>
      </w:pPr>
      <w:r w:rsidRPr="007C557B">
        <w:rPr>
          <w:color w:val="auto"/>
          <w:sz w:val="22"/>
          <w:szCs w:val="22"/>
          <w:lang w:val="en-US"/>
        </w:rPr>
        <w:t xml:space="preserve">Competiveness of firms and economic sectors rely on their access to competitive inputs, but also on their capacity to innovate. Research, development and innovation (R&amp;D) are key for long term growth, and thus for job creation and productivity and competitiveness gains. </w:t>
      </w:r>
    </w:p>
    <w:p w:rsidR="007F22D9" w:rsidRPr="007C557B" w:rsidRDefault="007F22D9" w:rsidP="007F22D9">
      <w:pPr>
        <w:pStyle w:val="Default"/>
        <w:jc w:val="both"/>
        <w:rPr>
          <w:color w:val="auto"/>
          <w:sz w:val="22"/>
          <w:szCs w:val="22"/>
          <w:lang w:val="en-US"/>
        </w:rPr>
      </w:pPr>
    </w:p>
    <w:p w:rsidR="007F22D9" w:rsidRPr="007C557B" w:rsidRDefault="007F22D9" w:rsidP="007F22D9">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For this reason, further efforts are needed to increase the participation of R&amp;D in the generation of wealth and welfare in Spain. R&amp;D will be further promoted along the lines of the Spanish Strategy on Science, Technology and Innovation 2013-2020 and the National Plan for Scientific and Technical research and Innovation 2013-2016, fostering efficiency and effectiveness in the use of public resources, as well as higher participation of private investments. In particular, incentives to R&amp;D will be developed in fields such as fiscal treatment of R&amp;D activities or participation of researchers in the returns coming from their investments.</w:t>
      </w:r>
    </w:p>
    <w:p w:rsidR="007F22D9" w:rsidRPr="007C557B" w:rsidRDefault="007F22D9" w:rsidP="007F22D9">
      <w:pPr>
        <w:pStyle w:val="NormalWeb"/>
        <w:spacing w:before="0" w:beforeAutospacing="0" w:after="0" w:afterAutospacing="0"/>
        <w:jc w:val="both"/>
        <w:rPr>
          <w:rFonts w:ascii="Arial" w:hAnsi="Arial" w:cs="Arial"/>
          <w:sz w:val="22"/>
          <w:szCs w:val="22"/>
          <w:lang w:val="en-US"/>
        </w:rPr>
      </w:pPr>
    </w:p>
    <w:p w:rsidR="007F22D9" w:rsidRPr="007C557B" w:rsidRDefault="007F22D9" w:rsidP="007F22D9">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In addition to the promotion of innovation, the policy agenda ought to ensure the sustainability and </w:t>
      </w:r>
      <w:proofErr w:type="spellStart"/>
      <w:r w:rsidRPr="007C557B">
        <w:rPr>
          <w:rFonts w:ascii="Arial" w:hAnsi="Arial" w:cs="Arial"/>
          <w:sz w:val="22"/>
          <w:szCs w:val="22"/>
          <w:lang w:val="en-US"/>
        </w:rPr>
        <w:t>competitiven</w:t>
      </w:r>
      <w:proofErr w:type="spellEnd"/>
      <w:r w:rsidR="00A66371">
        <w:rPr>
          <w:rFonts w:ascii="Arial" w:hAnsi="Arial" w:cs="Arial"/>
          <w:sz w:val="22"/>
          <w:szCs w:val="22"/>
          <w:lang w:val="en-US"/>
        </w:rPr>
        <w:t xml:space="preserve"> </w:t>
      </w:r>
      <w:r w:rsidRPr="007C557B">
        <w:rPr>
          <w:rFonts w:ascii="Arial" w:hAnsi="Arial" w:cs="Arial"/>
          <w:sz w:val="22"/>
          <w:szCs w:val="22"/>
          <w:lang w:val="en-US"/>
        </w:rPr>
        <w:t xml:space="preserve">considerations. Thus, the caretaker government considers a priority approving a Law on Climate Change. This legal instrument should encompass measures to ensure compliance with our objectives and international commitments in the fields of emissions reduction, energy interconnection and </w:t>
      </w:r>
      <w:proofErr w:type="spellStart"/>
      <w:r w:rsidRPr="007C557B">
        <w:rPr>
          <w:rFonts w:ascii="Arial" w:hAnsi="Arial" w:cs="Arial"/>
          <w:sz w:val="22"/>
          <w:szCs w:val="22"/>
          <w:lang w:val="en-US"/>
        </w:rPr>
        <w:t>reneess</w:t>
      </w:r>
      <w:proofErr w:type="spellEnd"/>
      <w:r w:rsidRPr="007C557B">
        <w:rPr>
          <w:rFonts w:ascii="Arial" w:hAnsi="Arial" w:cs="Arial"/>
          <w:sz w:val="22"/>
          <w:szCs w:val="22"/>
          <w:lang w:val="en-US"/>
        </w:rPr>
        <w:t xml:space="preserve"> of the economic model through the horizontal introduction of environmental </w:t>
      </w:r>
      <w:proofErr w:type="spellStart"/>
      <w:r w:rsidRPr="007C557B">
        <w:rPr>
          <w:rFonts w:ascii="Arial" w:hAnsi="Arial" w:cs="Arial"/>
          <w:sz w:val="22"/>
          <w:szCs w:val="22"/>
          <w:lang w:val="en-US"/>
        </w:rPr>
        <w:t>wable</w:t>
      </w:r>
      <w:proofErr w:type="spellEnd"/>
      <w:r w:rsidRPr="007C557B">
        <w:rPr>
          <w:rFonts w:ascii="Arial" w:hAnsi="Arial" w:cs="Arial"/>
          <w:sz w:val="22"/>
          <w:szCs w:val="22"/>
          <w:lang w:val="en-US"/>
        </w:rPr>
        <w:t xml:space="preserve"> energy use, and energy efficiency</w:t>
      </w:r>
    </w:p>
    <w:p w:rsidR="007F22D9" w:rsidRPr="007C557B" w:rsidRDefault="007F22D9" w:rsidP="007F22D9">
      <w:pPr>
        <w:pStyle w:val="NormalWeb"/>
        <w:spacing w:before="0" w:beforeAutospacing="0" w:after="0" w:afterAutospacing="0"/>
        <w:jc w:val="both"/>
        <w:rPr>
          <w:rFonts w:ascii="Arial" w:hAnsi="Arial" w:cs="Arial"/>
          <w:sz w:val="22"/>
          <w:szCs w:val="22"/>
          <w:lang w:val="en-US"/>
        </w:rPr>
      </w:pPr>
    </w:p>
    <w:p w:rsidR="007F22D9" w:rsidRPr="007C557B" w:rsidRDefault="007F22D9" w:rsidP="007F22D9">
      <w:pPr>
        <w:pStyle w:val="Default"/>
        <w:jc w:val="both"/>
        <w:rPr>
          <w:sz w:val="22"/>
          <w:szCs w:val="22"/>
          <w:lang w:val="en-US"/>
        </w:rPr>
      </w:pPr>
      <w:r w:rsidRPr="007C557B">
        <w:rPr>
          <w:sz w:val="22"/>
          <w:szCs w:val="22"/>
          <w:lang w:val="en-US"/>
        </w:rPr>
        <w:t xml:space="preserve">The reform of Public Administrations promoted in the CORA framework (Commission on Public Administration Reform) is based on the central idea that a competitive economy requires modern, transparent and agile public administrations. Out of the 222 measures identified in the CORA report, 193 measures were finalized in February 2016 and the rest were under execution, which </w:t>
      </w:r>
      <w:r w:rsidRPr="007C557B">
        <w:rPr>
          <w:sz w:val="22"/>
          <w:szCs w:val="22"/>
          <w:lang w:val="en-US"/>
        </w:rPr>
        <w:lastRenderedPageBreak/>
        <w:t xml:space="preserve">implies </w:t>
      </w:r>
      <w:proofErr w:type="gramStart"/>
      <w:r w:rsidRPr="007C557B">
        <w:rPr>
          <w:sz w:val="22"/>
          <w:szCs w:val="22"/>
          <w:lang w:val="en-US"/>
        </w:rPr>
        <w:t>a</w:t>
      </w:r>
      <w:proofErr w:type="gramEnd"/>
      <w:r w:rsidRPr="007C557B">
        <w:rPr>
          <w:sz w:val="22"/>
          <w:szCs w:val="22"/>
          <w:lang w:val="en-US"/>
        </w:rPr>
        <w:t xml:space="preserve"> 86,94% execution rate. These measures have generated savings of 3.031 million </w:t>
      </w:r>
      <w:r w:rsidR="00A66371" w:rsidRPr="007C557B">
        <w:rPr>
          <w:sz w:val="22"/>
          <w:szCs w:val="22"/>
          <w:lang w:val="en-US"/>
        </w:rPr>
        <w:t>Euros</w:t>
      </w:r>
      <w:r w:rsidRPr="007C557B">
        <w:rPr>
          <w:sz w:val="22"/>
          <w:szCs w:val="22"/>
          <w:lang w:val="en-US"/>
        </w:rPr>
        <w:t xml:space="preserve">. In 2016, work will continue with the implementation of the remaining measures to generate further savings. </w:t>
      </w:r>
    </w:p>
    <w:p w:rsidR="007F22D9" w:rsidRPr="007C557B" w:rsidRDefault="007F22D9" w:rsidP="007F22D9">
      <w:pPr>
        <w:pStyle w:val="Default"/>
        <w:jc w:val="both"/>
        <w:rPr>
          <w:sz w:val="22"/>
          <w:szCs w:val="22"/>
          <w:lang w:val="en-US"/>
        </w:rPr>
      </w:pPr>
    </w:p>
    <w:p w:rsidR="007F22D9" w:rsidRPr="007C557B" w:rsidRDefault="007F22D9" w:rsidP="007F22D9">
      <w:pPr>
        <w:pStyle w:val="Default"/>
        <w:jc w:val="both"/>
        <w:rPr>
          <w:sz w:val="22"/>
          <w:szCs w:val="22"/>
          <w:lang w:val="en-US"/>
        </w:rPr>
      </w:pPr>
      <w:r w:rsidRPr="007C557B">
        <w:rPr>
          <w:sz w:val="22"/>
          <w:szCs w:val="22"/>
          <w:lang w:val="en-US"/>
        </w:rPr>
        <w:t xml:space="preserve">In addition, the new laws on administrative procedure will enter into force in 2016. These laws are a step forward in the structural renovation of the public administration and will lead to more modern, agile and efficient administrations and a more efficient administrative cooperation framework. </w:t>
      </w:r>
    </w:p>
    <w:p w:rsidR="007F22D9" w:rsidRPr="007C557B" w:rsidRDefault="007F22D9" w:rsidP="007F22D9">
      <w:pPr>
        <w:pStyle w:val="Default"/>
        <w:jc w:val="both"/>
        <w:rPr>
          <w:sz w:val="22"/>
          <w:szCs w:val="22"/>
          <w:lang w:val="en-US"/>
        </w:rPr>
      </w:pPr>
    </w:p>
    <w:p w:rsidR="007F22D9" w:rsidRPr="007C557B" w:rsidRDefault="007F22D9" w:rsidP="007F22D9">
      <w:pPr>
        <w:pStyle w:val="NormalWeb"/>
        <w:spacing w:before="0" w:beforeAutospacing="0" w:after="0" w:afterAutospacing="0"/>
        <w:jc w:val="both"/>
        <w:rPr>
          <w:sz w:val="22"/>
          <w:szCs w:val="22"/>
          <w:lang w:val="en-US"/>
        </w:rPr>
      </w:pPr>
      <w:r w:rsidRPr="007C557B">
        <w:rPr>
          <w:rFonts w:ascii="Arial" w:hAnsi="Arial" w:cs="Arial"/>
          <w:sz w:val="22"/>
          <w:szCs w:val="22"/>
          <w:lang w:val="en-US"/>
        </w:rPr>
        <w:t>These reforms will be complemented by a firm promotion of e-administration and digital transformation, as a strategic component of the Public Administrations reform. Implementation and development of the Central Administration Digital Transformation Plan will have a central role in this strategy, as well as measures to favor mutual assistance in e-administration solutions among public administrations</w:t>
      </w:r>
      <w:r w:rsidRPr="007C557B">
        <w:rPr>
          <w:sz w:val="22"/>
          <w:szCs w:val="22"/>
          <w:lang w:val="en-US"/>
        </w:rPr>
        <w:t>.</w:t>
      </w:r>
    </w:p>
    <w:p w:rsidR="007F22D9" w:rsidRPr="007C557B" w:rsidRDefault="007F22D9" w:rsidP="007F22D9">
      <w:pPr>
        <w:pStyle w:val="NormalWeb"/>
        <w:spacing w:before="0" w:beforeAutospacing="0" w:after="0" w:afterAutospacing="0"/>
        <w:jc w:val="both"/>
        <w:rPr>
          <w:sz w:val="22"/>
          <w:szCs w:val="22"/>
          <w:lang w:val="en-US"/>
        </w:rPr>
      </w:pPr>
    </w:p>
    <w:p w:rsidR="007F22D9" w:rsidRPr="007C557B" w:rsidRDefault="007F22D9" w:rsidP="007F22D9">
      <w:pPr>
        <w:pStyle w:val="Default"/>
        <w:jc w:val="both"/>
        <w:rPr>
          <w:sz w:val="22"/>
          <w:szCs w:val="22"/>
          <w:lang w:val="en-US"/>
        </w:rPr>
      </w:pPr>
      <w:r w:rsidRPr="007C557B">
        <w:rPr>
          <w:sz w:val="22"/>
          <w:szCs w:val="22"/>
          <w:lang w:val="en-US"/>
        </w:rPr>
        <w:t>In 2016, fiscal policy should be oriented towards responsible and growth friendly straightening of public finances. Fiscal consolidation within the framework of European rules and obligations should proceed. Thus, this year’s update of the Stability Program of Spain, sets the deficit at 3,6%, combining both the need to reduce deficit with economic growth and job creation. In addition, specific measures to ensure compliance with deficit objectives by the Autonomous Communities were approved, as required by the Autonomous Commission Recommendation</w:t>
      </w:r>
      <w:r w:rsidR="00BA5B0A" w:rsidRPr="007C557B">
        <w:rPr>
          <w:sz w:val="22"/>
          <w:szCs w:val="22"/>
          <w:lang w:val="en-US"/>
        </w:rPr>
        <w:t>.</w:t>
      </w:r>
    </w:p>
    <w:p w:rsidR="00BA5B0A" w:rsidRPr="007C557B" w:rsidRDefault="00BA5B0A" w:rsidP="007F22D9">
      <w:pPr>
        <w:pStyle w:val="Default"/>
        <w:jc w:val="both"/>
        <w:rPr>
          <w:sz w:val="22"/>
          <w:szCs w:val="22"/>
          <w:lang w:val="en-US"/>
        </w:rPr>
      </w:pPr>
    </w:p>
    <w:p w:rsidR="007F22D9" w:rsidRPr="007C557B" w:rsidRDefault="007F22D9" w:rsidP="007F22D9">
      <w:pPr>
        <w:pStyle w:val="Default"/>
        <w:jc w:val="both"/>
        <w:rPr>
          <w:sz w:val="22"/>
          <w:szCs w:val="22"/>
          <w:lang w:val="en-US"/>
        </w:rPr>
      </w:pPr>
      <w:r w:rsidRPr="007C557B">
        <w:rPr>
          <w:sz w:val="22"/>
          <w:szCs w:val="22"/>
          <w:lang w:val="en-US"/>
        </w:rPr>
        <w:t xml:space="preserve">Spain also needs to revise the financing system of the Autonomous Communities. The aim of this revision should be to ensure equal treatment for all citizens in their access to basic services, irrespective of their region of residence. A first step in this direction has been the presentation of the conclusions by the working group of the Council on Fiscal and Financial Policies. In addition, an independent experts committee will be created. </w:t>
      </w:r>
    </w:p>
    <w:p w:rsidR="00BA5B0A" w:rsidRPr="007C557B" w:rsidRDefault="00BA5B0A" w:rsidP="007F22D9">
      <w:pPr>
        <w:pStyle w:val="Default"/>
        <w:jc w:val="both"/>
        <w:rPr>
          <w:sz w:val="22"/>
          <w:szCs w:val="22"/>
          <w:lang w:val="en-US"/>
        </w:rPr>
      </w:pPr>
    </w:p>
    <w:p w:rsidR="007F22D9" w:rsidRPr="007C557B" w:rsidRDefault="007F22D9" w:rsidP="007F22D9">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To conclude in the fiscal field, efforts in the fight against tax fraud and tax evasion should be maintained and even intensified. Measures already implemented by the Government have allowed to raise, thanks to proceedings against tax fraud, 50.449 million euro during the period 2012-2016; the best historical figures of the Tax Agency.</w:t>
      </w:r>
    </w:p>
    <w:p w:rsidR="00BA5B0A" w:rsidRPr="007C557B" w:rsidRDefault="00BA5B0A" w:rsidP="007F22D9">
      <w:pPr>
        <w:pStyle w:val="NormalWeb"/>
        <w:spacing w:before="0" w:beforeAutospacing="0" w:after="0" w:afterAutospacing="0"/>
        <w:jc w:val="both"/>
        <w:rPr>
          <w:rFonts w:ascii="Arial" w:hAnsi="Arial" w:cs="Arial"/>
          <w:sz w:val="22"/>
          <w:szCs w:val="22"/>
          <w:lang w:val="en-US"/>
        </w:rPr>
      </w:pPr>
    </w:p>
    <w:p w:rsidR="00BA5B0A" w:rsidRPr="007C557B" w:rsidRDefault="00AC08E8" w:rsidP="00AC08E8">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European Union and the single market constitute fundamental spheres of action for economic policy. This is of particular importance for euro countries participating in the European Monetary Union (EMU), which requires two conditions to ensure an efficient and balanced functioning: flexible and integrated markets to foster internal adjustment mechanisms and promote economic cycle convergence; and a stable fiscal framework that averts currency pressures and incorporates correcting mechanisms for the asymmetric effects of cycles.</w:t>
      </w:r>
    </w:p>
    <w:p w:rsidR="00AC08E8" w:rsidRPr="007C557B" w:rsidRDefault="00AC08E8" w:rsidP="00AC08E8">
      <w:pPr>
        <w:pStyle w:val="NormalWeb"/>
        <w:spacing w:before="0" w:beforeAutospacing="0" w:after="0" w:afterAutospacing="0"/>
        <w:jc w:val="both"/>
        <w:rPr>
          <w:rFonts w:ascii="Arial" w:hAnsi="Arial" w:cs="Arial"/>
          <w:sz w:val="22"/>
          <w:szCs w:val="22"/>
          <w:lang w:val="en-US"/>
        </w:rPr>
      </w:pPr>
    </w:p>
    <w:p w:rsidR="00AC08E8" w:rsidRPr="007C557B" w:rsidRDefault="00AC08E8" w:rsidP="00AC08E8">
      <w:pPr>
        <w:pStyle w:val="Default"/>
        <w:jc w:val="both"/>
        <w:rPr>
          <w:sz w:val="22"/>
          <w:szCs w:val="22"/>
          <w:lang w:val="en-US"/>
        </w:rPr>
      </w:pPr>
      <w:r w:rsidRPr="007C557B">
        <w:rPr>
          <w:sz w:val="22"/>
          <w:szCs w:val="22"/>
          <w:lang w:val="en-US"/>
        </w:rPr>
        <w:t>In this scenario, reforms at the European level are indispensable to join reforms carried out by Member States. That is, fiscal responsibility and structural reforms at the national level must go hand in hand with sufficient mechanisms at EMU level to correct asymmetric cyclical situations within the Union.</w:t>
      </w:r>
    </w:p>
    <w:p w:rsidR="00AC08E8" w:rsidRPr="007C557B" w:rsidRDefault="00AC08E8" w:rsidP="00AC08E8">
      <w:pPr>
        <w:pStyle w:val="Default"/>
        <w:jc w:val="both"/>
        <w:rPr>
          <w:sz w:val="22"/>
          <w:szCs w:val="22"/>
          <w:lang w:val="en-US"/>
        </w:rPr>
      </w:pPr>
      <w:r w:rsidRPr="007C557B">
        <w:rPr>
          <w:sz w:val="22"/>
          <w:szCs w:val="22"/>
          <w:lang w:val="en-US"/>
        </w:rPr>
        <w:t xml:space="preserve"> </w:t>
      </w:r>
    </w:p>
    <w:p w:rsidR="00AC08E8" w:rsidRDefault="00AC08E8" w:rsidP="00AC08E8">
      <w:pPr>
        <w:pStyle w:val="Default"/>
        <w:jc w:val="both"/>
        <w:rPr>
          <w:sz w:val="22"/>
          <w:szCs w:val="22"/>
          <w:lang w:val="en-US"/>
        </w:rPr>
      </w:pPr>
      <w:r w:rsidRPr="007C557B">
        <w:rPr>
          <w:sz w:val="22"/>
          <w:szCs w:val="22"/>
          <w:lang w:val="en-US"/>
        </w:rPr>
        <w:t>In this spirit, Spain has actively participated in the European debates on institutional architecture of the Union. The Spanish proposal is based on fostering advances in three main areas:</w:t>
      </w:r>
    </w:p>
    <w:p w:rsidR="00A66371" w:rsidRPr="007C557B" w:rsidRDefault="00A66371" w:rsidP="00AC08E8">
      <w:pPr>
        <w:pStyle w:val="Default"/>
        <w:jc w:val="both"/>
        <w:rPr>
          <w:sz w:val="22"/>
          <w:szCs w:val="22"/>
          <w:lang w:val="en-US"/>
        </w:rPr>
      </w:pPr>
    </w:p>
    <w:p w:rsidR="00AC08E8" w:rsidRDefault="00AC08E8" w:rsidP="00AC08E8">
      <w:pPr>
        <w:pStyle w:val="Default"/>
        <w:numPr>
          <w:ilvl w:val="0"/>
          <w:numId w:val="12"/>
        </w:numPr>
        <w:jc w:val="both"/>
        <w:rPr>
          <w:sz w:val="22"/>
          <w:szCs w:val="22"/>
          <w:lang w:val="en-US"/>
        </w:rPr>
      </w:pPr>
      <w:r w:rsidRPr="007C557B">
        <w:rPr>
          <w:sz w:val="22"/>
          <w:szCs w:val="22"/>
          <w:lang w:val="en-US"/>
        </w:rPr>
        <w:t>A deeper and efficient internal market, with higher labor mobility.</w:t>
      </w:r>
    </w:p>
    <w:p w:rsidR="00A66371" w:rsidRPr="007C557B" w:rsidRDefault="00A66371" w:rsidP="00A66371">
      <w:pPr>
        <w:pStyle w:val="Default"/>
        <w:ind w:left="788"/>
        <w:jc w:val="both"/>
        <w:rPr>
          <w:sz w:val="22"/>
          <w:szCs w:val="22"/>
          <w:lang w:val="en-US"/>
        </w:rPr>
      </w:pPr>
    </w:p>
    <w:p w:rsidR="00AC08E8" w:rsidRPr="007C557B" w:rsidRDefault="00AC08E8" w:rsidP="00AC08E8">
      <w:pPr>
        <w:pStyle w:val="Default"/>
        <w:numPr>
          <w:ilvl w:val="0"/>
          <w:numId w:val="12"/>
        </w:numPr>
        <w:jc w:val="both"/>
        <w:rPr>
          <w:sz w:val="22"/>
          <w:szCs w:val="22"/>
          <w:lang w:val="en-US"/>
        </w:rPr>
      </w:pPr>
      <w:r w:rsidRPr="007C557B">
        <w:rPr>
          <w:sz w:val="22"/>
          <w:szCs w:val="22"/>
          <w:lang w:val="en-US"/>
        </w:rPr>
        <w:t xml:space="preserve">Better coordination of economic policy to promote a European orientation of its objectives, while ensuring respect to national competences and the </w:t>
      </w:r>
      <w:r w:rsidR="00466884" w:rsidRPr="007C557B">
        <w:rPr>
          <w:sz w:val="22"/>
          <w:szCs w:val="22"/>
          <w:lang w:val="en-US"/>
        </w:rPr>
        <w:t>subsidiary</w:t>
      </w:r>
      <w:r w:rsidRPr="007C557B">
        <w:rPr>
          <w:sz w:val="22"/>
          <w:szCs w:val="22"/>
          <w:lang w:val="en-US"/>
        </w:rPr>
        <w:t xml:space="preserve"> principle. Therefore, Spain proposes the establishment of a convergence process similar in inspiration to the Maastricht process that led to the adoption of the single currency.</w:t>
      </w:r>
    </w:p>
    <w:p w:rsidR="00AC08E8" w:rsidRPr="007C557B" w:rsidRDefault="00AC08E8" w:rsidP="00AC08E8">
      <w:pPr>
        <w:pStyle w:val="Default"/>
        <w:numPr>
          <w:ilvl w:val="0"/>
          <w:numId w:val="12"/>
        </w:numPr>
        <w:jc w:val="both"/>
        <w:rPr>
          <w:sz w:val="22"/>
          <w:szCs w:val="22"/>
          <w:lang w:val="en-US"/>
        </w:rPr>
      </w:pPr>
      <w:r w:rsidRPr="007C557B">
        <w:rPr>
          <w:sz w:val="22"/>
          <w:szCs w:val="22"/>
          <w:lang w:val="en-US"/>
        </w:rPr>
        <w:lastRenderedPageBreak/>
        <w:t>Greater fiscal integration, which implies, in the long run, a single fiscal authority and a single budget with debt emission capacity for the Eurozone. In the short term, advances in fiscal harmonization and the fight against tax fraud are essential.</w:t>
      </w:r>
    </w:p>
    <w:p w:rsidR="00AC08E8" w:rsidRPr="007C557B" w:rsidRDefault="00AC08E8" w:rsidP="00AC08E8">
      <w:pPr>
        <w:pStyle w:val="Default"/>
        <w:jc w:val="both"/>
        <w:rPr>
          <w:sz w:val="22"/>
          <w:szCs w:val="22"/>
          <w:lang w:val="en-US"/>
        </w:rPr>
      </w:pPr>
    </w:p>
    <w:p w:rsidR="00AC08E8" w:rsidRPr="007C557B" w:rsidRDefault="00AC08E8" w:rsidP="00AC08E8">
      <w:pPr>
        <w:pStyle w:val="Default"/>
        <w:jc w:val="both"/>
        <w:rPr>
          <w:sz w:val="22"/>
          <w:szCs w:val="22"/>
          <w:lang w:val="en-US"/>
        </w:rPr>
      </w:pPr>
      <w:r w:rsidRPr="007C557B">
        <w:rPr>
          <w:sz w:val="22"/>
          <w:szCs w:val="22"/>
          <w:lang w:val="en-US"/>
        </w:rPr>
        <w:t>All these reforms should be accompanied by steps towards greater political integration to ensure democratic legitimacy of the decision making process.</w:t>
      </w:r>
    </w:p>
    <w:p w:rsidR="00AC08E8" w:rsidRPr="007C557B" w:rsidRDefault="00AC08E8" w:rsidP="00AC08E8">
      <w:pPr>
        <w:pStyle w:val="Default"/>
        <w:ind w:left="788"/>
        <w:jc w:val="both"/>
        <w:rPr>
          <w:sz w:val="22"/>
          <w:szCs w:val="22"/>
          <w:lang w:val="en-US"/>
        </w:rPr>
      </w:pPr>
      <w:r w:rsidRPr="007C557B">
        <w:rPr>
          <w:sz w:val="22"/>
          <w:szCs w:val="22"/>
          <w:lang w:val="en-US"/>
        </w:rPr>
        <w:t xml:space="preserve"> </w:t>
      </w:r>
    </w:p>
    <w:p w:rsidR="00AC08E8" w:rsidRPr="007C557B" w:rsidRDefault="00AC08E8" w:rsidP="00AC08E8">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As part of this general strategy, Spain promotes a more active role for the EU in fostering growth and employment. The Investments Plan for Europe, known as the </w:t>
      </w:r>
      <w:proofErr w:type="spellStart"/>
      <w:r w:rsidRPr="007C557B">
        <w:rPr>
          <w:rFonts w:ascii="Arial" w:hAnsi="Arial" w:cs="Arial"/>
          <w:sz w:val="22"/>
          <w:szCs w:val="22"/>
          <w:lang w:val="en-US"/>
        </w:rPr>
        <w:t>Juncker</w:t>
      </w:r>
      <w:proofErr w:type="spellEnd"/>
      <w:r w:rsidRPr="007C557B">
        <w:rPr>
          <w:rFonts w:ascii="Arial" w:hAnsi="Arial" w:cs="Arial"/>
          <w:sz w:val="22"/>
          <w:szCs w:val="22"/>
          <w:lang w:val="en-US"/>
        </w:rPr>
        <w:t xml:space="preserve"> plan, is a step in the right direction. Until March 2016, The Investments Plan for Europe has committed 615 million </w:t>
      </w:r>
      <w:r w:rsidR="00466884" w:rsidRPr="007C557B">
        <w:rPr>
          <w:rFonts w:ascii="Arial" w:hAnsi="Arial" w:cs="Arial"/>
          <w:sz w:val="22"/>
          <w:szCs w:val="22"/>
          <w:lang w:val="en-US"/>
        </w:rPr>
        <w:t>Euros</w:t>
      </w:r>
      <w:r w:rsidRPr="007C557B">
        <w:rPr>
          <w:rFonts w:ascii="Arial" w:hAnsi="Arial" w:cs="Arial"/>
          <w:sz w:val="22"/>
          <w:szCs w:val="22"/>
          <w:lang w:val="en-US"/>
        </w:rPr>
        <w:t xml:space="preserve"> for the financing of Spanish projects in the fields of infrastructure and innovation, which are expected to mobilize a total investment of 2,500 million euros and create 5,500 jobs. In addition, Spanish SMEs will receive 114 million </w:t>
      </w:r>
      <w:r w:rsidR="00466884" w:rsidRPr="007C557B">
        <w:rPr>
          <w:rFonts w:ascii="Arial" w:hAnsi="Arial" w:cs="Arial"/>
          <w:sz w:val="22"/>
          <w:szCs w:val="22"/>
          <w:lang w:val="en-US"/>
        </w:rPr>
        <w:t>Euros</w:t>
      </w:r>
      <w:r w:rsidRPr="007C557B">
        <w:rPr>
          <w:rFonts w:ascii="Arial" w:hAnsi="Arial" w:cs="Arial"/>
          <w:sz w:val="22"/>
          <w:szCs w:val="22"/>
          <w:lang w:val="en-US"/>
        </w:rPr>
        <w:t xml:space="preserve"> in financing, which is expected to mobilize 3,500 million </w:t>
      </w:r>
      <w:r w:rsidR="00466884" w:rsidRPr="007C557B">
        <w:rPr>
          <w:rFonts w:ascii="Arial" w:hAnsi="Arial" w:cs="Arial"/>
          <w:sz w:val="22"/>
          <w:szCs w:val="22"/>
          <w:lang w:val="en-US"/>
        </w:rPr>
        <w:t>Euros</w:t>
      </w:r>
      <w:r w:rsidRPr="007C557B">
        <w:rPr>
          <w:rFonts w:ascii="Arial" w:hAnsi="Arial" w:cs="Arial"/>
          <w:sz w:val="22"/>
          <w:szCs w:val="22"/>
          <w:lang w:val="en-US"/>
        </w:rPr>
        <w:t xml:space="preserve"> in total investment.</w:t>
      </w:r>
    </w:p>
    <w:p w:rsidR="00AC08E8" w:rsidRPr="007C557B" w:rsidRDefault="00AC08E8" w:rsidP="00AC08E8">
      <w:pPr>
        <w:pStyle w:val="NormalWeb"/>
        <w:spacing w:before="0" w:beforeAutospacing="0" w:after="0" w:afterAutospacing="0"/>
        <w:jc w:val="both"/>
        <w:rPr>
          <w:rFonts w:ascii="Arial" w:hAnsi="Arial" w:cs="Arial"/>
          <w:sz w:val="22"/>
          <w:szCs w:val="22"/>
          <w:lang w:val="en-US"/>
        </w:rPr>
      </w:pPr>
    </w:p>
    <w:p w:rsidR="003E3104" w:rsidRPr="007C557B" w:rsidRDefault="0045280C" w:rsidP="0045280C">
      <w:pPr>
        <w:pStyle w:val="NormalWeb"/>
        <w:jc w:val="both"/>
        <w:rPr>
          <w:rFonts w:ascii="Arial" w:hAnsi="Arial" w:cs="Arial"/>
          <w:b/>
          <w:sz w:val="24"/>
          <w:szCs w:val="24"/>
          <w:lang w:val="en-US"/>
        </w:rPr>
      </w:pPr>
      <w:r w:rsidRPr="007C557B">
        <w:rPr>
          <w:rFonts w:ascii="Arial" w:hAnsi="Arial" w:cs="Arial"/>
          <w:b/>
          <w:sz w:val="24"/>
          <w:szCs w:val="24"/>
          <w:lang w:val="en-US"/>
        </w:rPr>
        <w:t>2.2 UNEMPLOYMENT INSURANCE</w:t>
      </w:r>
    </w:p>
    <w:p w:rsidR="0045280C" w:rsidRDefault="0045280C" w:rsidP="0045280C">
      <w:pPr>
        <w:widowControl w:val="0"/>
        <w:autoSpaceDE w:val="0"/>
        <w:autoSpaceDN w:val="0"/>
        <w:adjustRightInd w:val="0"/>
        <w:jc w:val="both"/>
        <w:rPr>
          <w:rFonts w:ascii="Arial" w:hAnsi="Arial" w:cs="Arial"/>
          <w:b/>
          <w:bCs/>
          <w:lang w:val="en-US"/>
        </w:rPr>
      </w:pPr>
      <w:r w:rsidRPr="007C557B">
        <w:rPr>
          <w:rFonts w:ascii="Arial" w:hAnsi="Arial" w:cs="Arial"/>
          <w:b/>
          <w:bCs/>
          <w:lang w:val="en-US"/>
        </w:rPr>
        <w:t>Organizational structure</w:t>
      </w:r>
    </w:p>
    <w:p w:rsidR="00466884" w:rsidRPr="007C557B" w:rsidRDefault="00466884" w:rsidP="0045280C">
      <w:pPr>
        <w:widowControl w:val="0"/>
        <w:autoSpaceDE w:val="0"/>
        <w:autoSpaceDN w:val="0"/>
        <w:adjustRightInd w:val="0"/>
        <w:jc w:val="both"/>
        <w:rPr>
          <w:rFonts w:ascii="Arial" w:hAnsi="Arial" w:cs="Arial"/>
          <w:b/>
          <w:bCs/>
          <w:lang w:val="en-US"/>
        </w:rPr>
      </w:pPr>
    </w:p>
    <w:p w:rsidR="007B745C" w:rsidRPr="007C557B" w:rsidRDefault="007B745C" w:rsidP="001D47A6">
      <w:pPr>
        <w:pStyle w:val="Default"/>
        <w:jc w:val="both"/>
        <w:rPr>
          <w:sz w:val="22"/>
          <w:szCs w:val="22"/>
          <w:lang w:val="en-US"/>
        </w:rPr>
      </w:pPr>
      <w:r w:rsidRPr="007C557B">
        <w:rPr>
          <w:sz w:val="22"/>
          <w:szCs w:val="22"/>
          <w:lang w:val="en-US"/>
        </w:rPr>
        <w:t xml:space="preserve">The Spanish Public Employment Service (SEPE) is an autonomous body currently under the Ministry of Employment and Social Security. It is made up of Central services and 52 provincial departments, responsible for managing unemployment benefit procedures. The website of the SEPE, www.sepe.es, has been created with access to employment and benefit services, as well as other information. The SEPE, together with the Public Employment Services of the Autonomous Regions, make up the National Employment System. This state structure </w:t>
      </w:r>
      <w:r w:rsidR="00EF77B3" w:rsidRPr="007C557B">
        <w:rPr>
          <w:sz w:val="22"/>
          <w:szCs w:val="22"/>
          <w:lang w:val="en-US"/>
        </w:rPr>
        <w:t>promotes</w:t>
      </w:r>
      <w:r w:rsidRPr="007C557B">
        <w:rPr>
          <w:sz w:val="22"/>
          <w:szCs w:val="22"/>
          <w:lang w:val="en-US"/>
        </w:rPr>
        <w:t xml:space="preserve"> designs and develops measures and actions for employment, whose undertaking is </w:t>
      </w:r>
      <w:r w:rsidR="007C557B" w:rsidRPr="007C557B">
        <w:rPr>
          <w:sz w:val="22"/>
          <w:szCs w:val="22"/>
          <w:lang w:val="en-US"/>
        </w:rPr>
        <w:t>decentralized</w:t>
      </w:r>
      <w:r w:rsidRPr="007C557B">
        <w:rPr>
          <w:sz w:val="22"/>
          <w:szCs w:val="22"/>
          <w:lang w:val="en-US"/>
        </w:rPr>
        <w:t>, adjusted to the different territorial realities.</w:t>
      </w:r>
    </w:p>
    <w:p w:rsidR="007B745C" w:rsidRPr="007C557B" w:rsidRDefault="007B745C" w:rsidP="001D47A6">
      <w:pPr>
        <w:pStyle w:val="Default"/>
        <w:jc w:val="both"/>
        <w:rPr>
          <w:lang w:val="en-US"/>
        </w:rPr>
      </w:pPr>
    </w:p>
    <w:p w:rsidR="0045280C" w:rsidRDefault="0045280C" w:rsidP="0045280C">
      <w:pPr>
        <w:widowControl w:val="0"/>
        <w:autoSpaceDE w:val="0"/>
        <w:autoSpaceDN w:val="0"/>
        <w:adjustRightInd w:val="0"/>
        <w:jc w:val="both"/>
        <w:rPr>
          <w:rFonts w:ascii="Arial" w:hAnsi="Arial" w:cs="Arial"/>
          <w:b/>
          <w:bCs/>
          <w:lang w:val="en-US"/>
        </w:rPr>
      </w:pPr>
      <w:r w:rsidRPr="007C557B">
        <w:rPr>
          <w:rFonts w:ascii="Arial" w:hAnsi="Arial" w:cs="Arial"/>
          <w:b/>
          <w:bCs/>
          <w:lang w:val="en-US"/>
        </w:rPr>
        <w:t>Financing</w:t>
      </w:r>
    </w:p>
    <w:p w:rsidR="00EF77B3" w:rsidRPr="007C557B" w:rsidRDefault="00EF77B3" w:rsidP="0045280C">
      <w:pPr>
        <w:widowControl w:val="0"/>
        <w:autoSpaceDE w:val="0"/>
        <w:autoSpaceDN w:val="0"/>
        <w:adjustRightInd w:val="0"/>
        <w:jc w:val="both"/>
        <w:rPr>
          <w:rFonts w:ascii="Arial" w:hAnsi="Arial" w:cs="Arial"/>
          <w:b/>
          <w:bCs/>
          <w:lang w:val="en-US"/>
        </w:rPr>
      </w:pPr>
    </w:p>
    <w:p w:rsidR="007B745C" w:rsidRPr="007C557B" w:rsidRDefault="0045280C" w:rsidP="001D47A6">
      <w:pPr>
        <w:pStyle w:val="Default"/>
        <w:jc w:val="both"/>
        <w:rPr>
          <w:sz w:val="22"/>
          <w:szCs w:val="22"/>
          <w:lang w:val="en-US"/>
        </w:rPr>
      </w:pPr>
      <w:r w:rsidRPr="007C557B">
        <w:rPr>
          <w:sz w:val="22"/>
          <w:szCs w:val="22"/>
          <w:lang w:val="en-US"/>
        </w:rPr>
        <w:t>The unemployment insurance scheme is financed through</w:t>
      </w:r>
      <w:r w:rsidR="007B745C" w:rsidRPr="007C557B">
        <w:rPr>
          <w:sz w:val="22"/>
          <w:szCs w:val="22"/>
          <w:lang w:val="en-US"/>
        </w:rPr>
        <w:t xml:space="preserve"> contributions paid on earnings. The contribution rates applied to earnings depends on the type of contract of the worker, varying from 7,05% for permanent contracts to 8,30% for fixed term contracts.</w:t>
      </w:r>
    </w:p>
    <w:p w:rsidR="0034264B" w:rsidRPr="007C557B" w:rsidRDefault="0034264B" w:rsidP="001D47A6">
      <w:pPr>
        <w:pStyle w:val="Default"/>
        <w:jc w:val="both"/>
        <w:rPr>
          <w:sz w:val="22"/>
          <w:szCs w:val="22"/>
          <w:lang w:val="en-US"/>
        </w:rPr>
      </w:pPr>
    </w:p>
    <w:p w:rsidR="0045280C" w:rsidRPr="007C557B" w:rsidRDefault="0045280C" w:rsidP="001D47A6">
      <w:pPr>
        <w:pStyle w:val="Default"/>
        <w:jc w:val="both"/>
        <w:rPr>
          <w:b/>
          <w:color w:val="auto"/>
          <w:lang w:val="en-US"/>
        </w:rPr>
      </w:pPr>
      <w:r w:rsidRPr="007C557B">
        <w:rPr>
          <w:b/>
          <w:color w:val="auto"/>
          <w:lang w:val="en-US"/>
        </w:rPr>
        <w:t>Benefits</w:t>
      </w:r>
    </w:p>
    <w:p w:rsidR="007B745C" w:rsidRPr="007C557B" w:rsidRDefault="007B745C" w:rsidP="001D47A6">
      <w:pPr>
        <w:pStyle w:val="Default"/>
        <w:jc w:val="both"/>
        <w:rPr>
          <w:color w:val="auto"/>
          <w:lang w:val="en-US"/>
        </w:rPr>
      </w:pPr>
    </w:p>
    <w:p w:rsidR="0034264B" w:rsidRPr="007C557B" w:rsidRDefault="0034264B" w:rsidP="001D47A6">
      <w:pPr>
        <w:pStyle w:val="Default"/>
        <w:jc w:val="both"/>
        <w:rPr>
          <w:color w:val="auto"/>
          <w:sz w:val="22"/>
          <w:szCs w:val="22"/>
          <w:u w:val="single"/>
          <w:lang w:val="en-US"/>
        </w:rPr>
      </w:pPr>
      <w:r w:rsidRPr="007C557B">
        <w:rPr>
          <w:color w:val="auto"/>
          <w:sz w:val="22"/>
          <w:szCs w:val="22"/>
          <w:u w:val="single"/>
          <w:lang w:val="en-US"/>
        </w:rPr>
        <w:t xml:space="preserve">Contributory level: </w:t>
      </w:r>
    </w:p>
    <w:p w:rsidR="0034264B" w:rsidRPr="007C557B" w:rsidRDefault="0034264B" w:rsidP="001D47A6">
      <w:pPr>
        <w:pStyle w:val="Default"/>
        <w:jc w:val="both"/>
        <w:rPr>
          <w:color w:val="auto"/>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 xml:space="preserve">It is a monthly economic allowance that can be claimed following involuntary termination of employment, and is managed and paid by the Spanish Public Employment Service (SEPE) based on the contributions made by the worker during their periods of employment. It includes Social Security contributions for retirement, temporary disability, disability, death and survival, family protection and healthcare. It is supplemented with training courses and </w:t>
      </w:r>
      <w:r w:rsidR="00EF77B3" w:rsidRPr="007C557B">
        <w:rPr>
          <w:color w:val="auto"/>
          <w:sz w:val="22"/>
          <w:szCs w:val="22"/>
          <w:lang w:val="en-US"/>
        </w:rPr>
        <w:t>labor</w:t>
      </w:r>
      <w:r w:rsidRPr="007C557B">
        <w:rPr>
          <w:color w:val="auto"/>
          <w:sz w:val="22"/>
          <w:szCs w:val="22"/>
          <w:lang w:val="en-US"/>
        </w:rPr>
        <w:t xml:space="preserve"> market integration measures, managed by the Public Employment Services.</w:t>
      </w:r>
    </w:p>
    <w:p w:rsidR="0034264B" w:rsidRPr="007C557B" w:rsidRDefault="0034264B" w:rsidP="001D47A6">
      <w:pPr>
        <w:pStyle w:val="Default"/>
        <w:jc w:val="both"/>
        <w:rPr>
          <w:color w:val="auto"/>
          <w:sz w:val="22"/>
          <w:szCs w:val="22"/>
          <w:lang w:val="en-US"/>
        </w:rPr>
      </w:pPr>
    </w:p>
    <w:p w:rsidR="0045280C" w:rsidRPr="007C557B" w:rsidRDefault="0045280C" w:rsidP="001D47A6">
      <w:pPr>
        <w:pStyle w:val="Default"/>
        <w:jc w:val="both"/>
        <w:rPr>
          <w:color w:val="auto"/>
          <w:sz w:val="22"/>
          <w:szCs w:val="22"/>
          <w:lang w:val="en-US"/>
        </w:rPr>
      </w:pPr>
      <w:r w:rsidRPr="007C557B">
        <w:rPr>
          <w:color w:val="auto"/>
          <w:sz w:val="22"/>
          <w:szCs w:val="22"/>
          <w:lang w:val="en-US"/>
        </w:rPr>
        <w:t>To qualify for unemployment benefit, the claimant must satisfy the following conditions:</w:t>
      </w:r>
    </w:p>
    <w:p w:rsidR="0034264B" w:rsidRPr="007C557B" w:rsidRDefault="0034264B" w:rsidP="001D47A6">
      <w:pPr>
        <w:pStyle w:val="Default"/>
        <w:jc w:val="both"/>
        <w:rPr>
          <w:color w:val="auto"/>
          <w:sz w:val="22"/>
          <w:szCs w:val="22"/>
          <w:lang w:val="en-US"/>
        </w:rPr>
      </w:pPr>
    </w:p>
    <w:p w:rsidR="0034264B" w:rsidRDefault="0034264B" w:rsidP="001D47A6">
      <w:pPr>
        <w:pStyle w:val="Default"/>
        <w:jc w:val="both"/>
        <w:rPr>
          <w:color w:val="auto"/>
          <w:sz w:val="22"/>
          <w:szCs w:val="22"/>
          <w:lang w:val="en-US"/>
        </w:rPr>
      </w:pPr>
      <w:r w:rsidRPr="007C557B">
        <w:rPr>
          <w:color w:val="auto"/>
          <w:sz w:val="22"/>
          <w:szCs w:val="22"/>
          <w:lang w:val="en-US"/>
        </w:rPr>
        <w:t>• Have been employed and have paid social security contributions for at least 360 days over the 6-year period prior to becoming officially unemployed.</w:t>
      </w:r>
    </w:p>
    <w:p w:rsidR="00EF77B3" w:rsidRPr="007C557B" w:rsidRDefault="00EF77B3" w:rsidP="001D47A6">
      <w:pPr>
        <w:pStyle w:val="Default"/>
        <w:jc w:val="both"/>
        <w:rPr>
          <w:color w:val="auto"/>
          <w:sz w:val="22"/>
          <w:szCs w:val="22"/>
          <w:lang w:val="en-US"/>
        </w:rPr>
      </w:pPr>
    </w:p>
    <w:p w:rsidR="0034264B" w:rsidRDefault="0034264B" w:rsidP="001D47A6">
      <w:pPr>
        <w:pStyle w:val="Default"/>
        <w:jc w:val="both"/>
        <w:rPr>
          <w:color w:val="auto"/>
          <w:sz w:val="22"/>
          <w:szCs w:val="22"/>
          <w:lang w:val="en-US"/>
        </w:rPr>
      </w:pPr>
      <w:r w:rsidRPr="007C557B">
        <w:rPr>
          <w:color w:val="auto"/>
          <w:sz w:val="22"/>
          <w:szCs w:val="22"/>
          <w:lang w:val="en-US"/>
        </w:rPr>
        <w:t>• Haven’t reached the statutory retirement age.</w:t>
      </w:r>
    </w:p>
    <w:p w:rsidR="00EF77B3" w:rsidRPr="007C557B" w:rsidRDefault="00EF77B3" w:rsidP="001D47A6">
      <w:pPr>
        <w:pStyle w:val="Default"/>
        <w:jc w:val="both"/>
        <w:rPr>
          <w:color w:val="auto"/>
          <w:sz w:val="22"/>
          <w:szCs w:val="22"/>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 Must not be receiving a state pension that is incompatible with employment.</w:t>
      </w:r>
    </w:p>
    <w:p w:rsidR="0034264B" w:rsidRPr="007C557B" w:rsidRDefault="0034264B" w:rsidP="001D47A6">
      <w:pPr>
        <w:pStyle w:val="Default"/>
        <w:jc w:val="both"/>
        <w:rPr>
          <w:color w:val="auto"/>
          <w:sz w:val="22"/>
          <w:szCs w:val="22"/>
          <w:lang w:val="en-US"/>
        </w:rPr>
      </w:pPr>
      <w:r w:rsidRPr="007C557B">
        <w:rPr>
          <w:color w:val="auto"/>
          <w:sz w:val="22"/>
          <w:szCs w:val="22"/>
          <w:lang w:val="en-US"/>
        </w:rPr>
        <w:lastRenderedPageBreak/>
        <w:t>• Must be a registered job seeker throughout the period you receive the allowance, and you must also sign the undertaking to accept job proposals.</w:t>
      </w:r>
    </w:p>
    <w:p w:rsidR="0034264B" w:rsidRPr="007C557B" w:rsidRDefault="0034264B" w:rsidP="001D47A6">
      <w:pPr>
        <w:pStyle w:val="Default"/>
        <w:jc w:val="both"/>
        <w:rPr>
          <w:color w:val="auto"/>
          <w:sz w:val="22"/>
          <w:szCs w:val="22"/>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Duration of the benefit: This benefit is calculated on the basis of the contributions made over the preceding 6 years, provided these have not been used to calculate a prior benefit, in accordance with the following scale:</w:t>
      </w:r>
    </w:p>
    <w:p w:rsidR="0034264B" w:rsidRPr="007C557B" w:rsidRDefault="0034264B" w:rsidP="001D47A6">
      <w:pPr>
        <w:pStyle w:val="Default"/>
        <w:jc w:val="both"/>
        <w:rPr>
          <w:color w:val="auto"/>
          <w:sz w:val="22"/>
          <w:szCs w:val="22"/>
          <w:lang w:val="en-US"/>
        </w:rPr>
      </w:pPr>
    </w:p>
    <w:tbl>
      <w:tblPr>
        <w:tblW w:w="4400" w:type="dxa"/>
        <w:tblInd w:w="55" w:type="dxa"/>
        <w:tblCellMar>
          <w:left w:w="70" w:type="dxa"/>
          <w:right w:w="70" w:type="dxa"/>
        </w:tblCellMar>
        <w:tblLook w:val="04A0" w:firstRow="1" w:lastRow="0" w:firstColumn="1" w:lastColumn="0" w:noHBand="0" w:noVBand="1"/>
      </w:tblPr>
      <w:tblGrid>
        <w:gridCol w:w="2800"/>
        <w:gridCol w:w="1600"/>
      </w:tblGrid>
      <w:tr w:rsidR="001D47A6" w:rsidRPr="007C557B" w:rsidTr="002C7A7A">
        <w:trPr>
          <w:trHeight w:val="78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Total contributory days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Total benefit days</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360 to 539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120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540 to 719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180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from 720 to 899</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240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900 to 1079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300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1080 to 1259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360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1260 to 1439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420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1440 to 1619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480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1620 to 1799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540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1800 to 1979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600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from 1980 to 2159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660</w:t>
            </w:r>
          </w:p>
        </w:tc>
      </w:tr>
      <w:tr w:rsidR="001D47A6" w:rsidRPr="007C557B" w:rsidTr="002C7A7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 xml:space="preserve">Over 2160 </w:t>
            </w:r>
          </w:p>
        </w:tc>
        <w:tc>
          <w:tcPr>
            <w:tcW w:w="1600" w:type="dxa"/>
            <w:tcBorders>
              <w:top w:val="nil"/>
              <w:left w:val="nil"/>
              <w:bottom w:val="single" w:sz="4" w:space="0" w:color="auto"/>
              <w:right w:val="single" w:sz="4" w:space="0" w:color="auto"/>
            </w:tcBorders>
            <w:shd w:val="clear" w:color="auto" w:fill="auto"/>
            <w:noWrap/>
            <w:vAlign w:val="center"/>
            <w:hideMark/>
          </w:tcPr>
          <w:p w:rsidR="002C7A7A" w:rsidRPr="007C557B" w:rsidRDefault="002C7A7A" w:rsidP="001D47A6">
            <w:pPr>
              <w:pStyle w:val="Default"/>
              <w:jc w:val="both"/>
              <w:rPr>
                <w:color w:val="auto"/>
                <w:sz w:val="22"/>
                <w:szCs w:val="22"/>
                <w:lang w:val="en-US"/>
              </w:rPr>
            </w:pPr>
            <w:r w:rsidRPr="007C557B">
              <w:rPr>
                <w:color w:val="auto"/>
                <w:sz w:val="22"/>
                <w:szCs w:val="22"/>
                <w:lang w:val="en-US"/>
              </w:rPr>
              <w:t>720</w:t>
            </w:r>
          </w:p>
        </w:tc>
      </w:tr>
    </w:tbl>
    <w:p w:rsidR="002C7A7A" w:rsidRPr="007C557B" w:rsidRDefault="002C7A7A" w:rsidP="001D47A6">
      <w:pPr>
        <w:pStyle w:val="Default"/>
        <w:jc w:val="both"/>
        <w:rPr>
          <w:color w:val="auto"/>
          <w:sz w:val="22"/>
          <w:szCs w:val="22"/>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If you have held a part-time job, each day worked is considered a</w:t>
      </w:r>
      <w:r w:rsidR="002C7A7A" w:rsidRPr="007C557B">
        <w:rPr>
          <w:color w:val="auto"/>
          <w:sz w:val="22"/>
          <w:szCs w:val="22"/>
          <w:lang w:val="en-US"/>
        </w:rPr>
        <w:t xml:space="preserve"> </w:t>
      </w:r>
      <w:r w:rsidRPr="007C557B">
        <w:rPr>
          <w:color w:val="auto"/>
          <w:sz w:val="22"/>
          <w:szCs w:val="22"/>
          <w:lang w:val="en-US"/>
        </w:rPr>
        <w:t>contributory day, irrespective of the working hours.</w:t>
      </w:r>
    </w:p>
    <w:p w:rsidR="0034264B" w:rsidRPr="007C557B" w:rsidRDefault="0034264B" w:rsidP="001D47A6">
      <w:pPr>
        <w:pStyle w:val="Default"/>
        <w:jc w:val="both"/>
        <w:rPr>
          <w:color w:val="auto"/>
          <w:sz w:val="22"/>
          <w:szCs w:val="22"/>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Amount of the benefit</w:t>
      </w:r>
      <w:r w:rsidR="002C7A7A" w:rsidRPr="007C557B">
        <w:rPr>
          <w:color w:val="auto"/>
          <w:sz w:val="22"/>
          <w:szCs w:val="22"/>
          <w:lang w:val="en-US"/>
        </w:rPr>
        <w:t xml:space="preserve">: </w:t>
      </w:r>
      <w:r w:rsidRPr="007C557B">
        <w:rPr>
          <w:color w:val="auto"/>
          <w:sz w:val="22"/>
          <w:szCs w:val="22"/>
          <w:lang w:val="en-US"/>
        </w:rPr>
        <w:t>The daily benefit is 70% of the contribution base for professional</w:t>
      </w:r>
      <w:r w:rsidR="002C7A7A" w:rsidRPr="007C557B">
        <w:rPr>
          <w:color w:val="auto"/>
          <w:sz w:val="22"/>
          <w:szCs w:val="22"/>
          <w:lang w:val="en-US"/>
        </w:rPr>
        <w:t xml:space="preserve"> </w:t>
      </w:r>
      <w:r w:rsidRPr="007C557B">
        <w:rPr>
          <w:color w:val="auto"/>
          <w:sz w:val="22"/>
          <w:szCs w:val="22"/>
          <w:lang w:val="en-US"/>
        </w:rPr>
        <w:t>contingencies for the last 180 days contributed, except for</w:t>
      </w:r>
      <w:r w:rsidR="002C7A7A" w:rsidRPr="007C557B">
        <w:rPr>
          <w:color w:val="auto"/>
          <w:sz w:val="22"/>
          <w:szCs w:val="22"/>
          <w:lang w:val="en-US"/>
        </w:rPr>
        <w:t xml:space="preserve"> </w:t>
      </w:r>
      <w:r w:rsidRPr="007C557B">
        <w:rPr>
          <w:color w:val="auto"/>
          <w:sz w:val="22"/>
          <w:szCs w:val="22"/>
          <w:lang w:val="en-US"/>
        </w:rPr>
        <w:t>overtime during the first six months of entitlement and 50%</w:t>
      </w:r>
      <w:r w:rsidR="002C7A7A" w:rsidRPr="007C557B">
        <w:rPr>
          <w:color w:val="auto"/>
          <w:sz w:val="22"/>
          <w:szCs w:val="22"/>
          <w:lang w:val="en-US"/>
        </w:rPr>
        <w:t xml:space="preserve"> </w:t>
      </w:r>
      <w:r w:rsidRPr="007C557B">
        <w:rPr>
          <w:color w:val="auto"/>
          <w:sz w:val="22"/>
          <w:szCs w:val="22"/>
          <w:lang w:val="en-US"/>
        </w:rPr>
        <w:t>following said period.</w:t>
      </w:r>
      <w:r w:rsidR="002C7A7A" w:rsidRPr="007C557B">
        <w:rPr>
          <w:color w:val="auto"/>
          <w:sz w:val="22"/>
          <w:szCs w:val="22"/>
          <w:lang w:val="en-US"/>
        </w:rPr>
        <w:t xml:space="preserve"> </w:t>
      </w:r>
      <w:r w:rsidRPr="007C557B">
        <w:rPr>
          <w:color w:val="auto"/>
          <w:sz w:val="22"/>
          <w:szCs w:val="22"/>
          <w:lang w:val="en-US"/>
        </w:rPr>
        <w:t>The maximum and minimum benefit for 2016, according to the</w:t>
      </w:r>
      <w:r w:rsidR="002C7A7A" w:rsidRPr="007C557B">
        <w:rPr>
          <w:color w:val="auto"/>
          <w:sz w:val="22"/>
          <w:szCs w:val="22"/>
          <w:lang w:val="en-US"/>
        </w:rPr>
        <w:t xml:space="preserve"> </w:t>
      </w:r>
      <w:r w:rsidRPr="007C557B">
        <w:rPr>
          <w:color w:val="auto"/>
          <w:sz w:val="22"/>
          <w:szCs w:val="22"/>
          <w:lang w:val="en-US"/>
        </w:rPr>
        <w:t>number of dependent children:</w:t>
      </w:r>
      <w:r w:rsidR="002C7A7A" w:rsidRPr="007C557B">
        <w:rPr>
          <w:color w:val="auto"/>
          <w:sz w:val="22"/>
          <w:szCs w:val="22"/>
          <w:lang w:val="en-US"/>
        </w:rPr>
        <w:t xml:space="preserve"> (e.g. Minimum monthly payment for a person without dependent children €497.01; Minimum monthly payment for a person with dependent children €664.75)</w:t>
      </w:r>
    </w:p>
    <w:p w:rsidR="0034264B" w:rsidRPr="007C557B" w:rsidRDefault="0034264B" w:rsidP="001D47A6">
      <w:pPr>
        <w:pStyle w:val="Default"/>
        <w:jc w:val="both"/>
        <w:rPr>
          <w:color w:val="auto"/>
          <w:sz w:val="22"/>
          <w:szCs w:val="22"/>
          <w:lang w:val="en-US"/>
        </w:rPr>
      </w:pPr>
    </w:p>
    <w:p w:rsidR="0034264B" w:rsidRPr="007C557B" w:rsidRDefault="0034264B" w:rsidP="001D47A6">
      <w:pPr>
        <w:pStyle w:val="Default"/>
        <w:jc w:val="both"/>
        <w:rPr>
          <w:color w:val="auto"/>
          <w:sz w:val="22"/>
          <w:szCs w:val="22"/>
          <w:lang w:val="en-US"/>
        </w:rPr>
      </w:pPr>
      <w:r w:rsidRPr="007C557B">
        <w:rPr>
          <w:color w:val="auto"/>
          <w:sz w:val="22"/>
          <w:szCs w:val="22"/>
          <w:lang w:val="en-US"/>
        </w:rPr>
        <w:t>Dependent children are minors and young adults under the age</w:t>
      </w:r>
      <w:r w:rsidR="002C7A7A" w:rsidRPr="007C557B">
        <w:rPr>
          <w:color w:val="auto"/>
          <w:sz w:val="22"/>
          <w:szCs w:val="22"/>
          <w:lang w:val="en-US"/>
        </w:rPr>
        <w:t xml:space="preserve"> </w:t>
      </w:r>
      <w:r w:rsidRPr="007C557B">
        <w:rPr>
          <w:color w:val="auto"/>
          <w:sz w:val="22"/>
          <w:szCs w:val="22"/>
          <w:lang w:val="en-US"/>
        </w:rPr>
        <w:t>of 26, or over 26 if they have some level of disability, or minors</w:t>
      </w:r>
      <w:r w:rsidR="002C7A7A" w:rsidRPr="007C557B">
        <w:rPr>
          <w:color w:val="auto"/>
          <w:sz w:val="22"/>
          <w:szCs w:val="22"/>
          <w:lang w:val="en-US"/>
        </w:rPr>
        <w:t xml:space="preserve"> </w:t>
      </w:r>
      <w:r w:rsidRPr="007C557B">
        <w:rPr>
          <w:color w:val="auto"/>
          <w:sz w:val="22"/>
          <w:szCs w:val="22"/>
          <w:lang w:val="en-US"/>
        </w:rPr>
        <w:t>in your foster care, whose monthly income does not exceed</w:t>
      </w:r>
      <w:r w:rsidR="002C7A7A" w:rsidRPr="007C557B">
        <w:rPr>
          <w:color w:val="auto"/>
          <w:sz w:val="22"/>
          <w:szCs w:val="22"/>
          <w:lang w:val="en-US"/>
        </w:rPr>
        <w:t xml:space="preserve"> </w:t>
      </w:r>
      <w:r w:rsidRPr="007C557B">
        <w:rPr>
          <w:color w:val="auto"/>
          <w:sz w:val="22"/>
          <w:szCs w:val="22"/>
          <w:lang w:val="en-US"/>
        </w:rPr>
        <w:t>€655.20.</w:t>
      </w:r>
    </w:p>
    <w:p w:rsidR="002C7A7A" w:rsidRPr="007C557B" w:rsidRDefault="0034264B" w:rsidP="001D47A6">
      <w:pPr>
        <w:pStyle w:val="Default"/>
        <w:jc w:val="both"/>
        <w:rPr>
          <w:color w:val="auto"/>
          <w:sz w:val="22"/>
          <w:szCs w:val="22"/>
          <w:lang w:val="en-US"/>
        </w:rPr>
      </w:pPr>
      <w:r w:rsidRPr="007C557B">
        <w:rPr>
          <w:color w:val="auto"/>
          <w:sz w:val="22"/>
          <w:szCs w:val="22"/>
          <w:lang w:val="en-US"/>
        </w:rPr>
        <w:t>Two types of deduction will be made from your gross benefit:</w:t>
      </w:r>
      <w:r w:rsidR="002C7A7A" w:rsidRPr="007C557B">
        <w:rPr>
          <w:color w:val="auto"/>
          <w:sz w:val="22"/>
          <w:szCs w:val="22"/>
          <w:lang w:val="en-US"/>
        </w:rPr>
        <w:t xml:space="preserve"> </w:t>
      </w:r>
    </w:p>
    <w:p w:rsidR="002C7A7A" w:rsidRPr="007C557B" w:rsidRDefault="002C7A7A" w:rsidP="001D47A6">
      <w:pPr>
        <w:pStyle w:val="Default"/>
        <w:jc w:val="both"/>
        <w:rPr>
          <w:color w:val="auto"/>
          <w:sz w:val="22"/>
          <w:szCs w:val="22"/>
          <w:lang w:val="en-US"/>
        </w:rPr>
      </w:pPr>
    </w:p>
    <w:p w:rsidR="0034264B" w:rsidRPr="007C557B" w:rsidRDefault="002C7A7A" w:rsidP="001D47A6">
      <w:pPr>
        <w:pStyle w:val="Default"/>
        <w:jc w:val="both"/>
        <w:rPr>
          <w:color w:val="auto"/>
          <w:sz w:val="22"/>
          <w:szCs w:val="22"/>
          <w:lang w:val="en-US"/>
        </w:rPr>
      </w:pPr>
      <w:r w:rsidRPr="007C557B">
        <w:rPr>
          <w:color w:val="auto"/>
          <w:sz w:val="22"/>
          <w:szCs w:val="22"/>
          <w:lang w:val="en-US"/>
        </w:rPr>
        <w:t>-</w:t>
      </w:r>
      <w:r w:rsidR="0034264B" w:rsidRPr="007C557B">
        <w:rPr>
          <w:color w:val="auto"/>
          <w:sz w:val="22"/>
          <w:szCs w:val="22"/>
          <w:lang w:val="en-US"/>
        </w:rPr>
        <w:t>Your contribution to the Social Security scheme.</w:t>
      </w:r>
    </w:p>
    <w:p w:rsidR="0034264B" w:rsidRPr="007C557B" w:rsidRDefault="002C7A7A" w:rsidP="001D47A6">
      <w:pPr>
        <w:pStyle w:val="Default"/>
        <w:jc w:val="both"/>
        <w:rPr>
          <w:color w:val="auto"/>
          <w:sz w:val="22"/>
          <w:szCs w:val="22"/>
          <w:lang w:val="en-US"/>
        </w:rPr>
      </w:pPr>
      <w:r w:rsidRPr="007C557B">
        <w:rPr>
          <w:color w:val="auto"/>
          <w:sz w:val="22"/>
          <w:szCs w:val="22"/>
          <w:lang w:val="en-US"/>
        </w:rPr>
        <w:t xml:space="preserve">- </w:t>
      </w:r>
      <w:r w:rsidR="0034264B" w:rsidRPr="007C557B">
        <w:rPr>
          <w:color w:val="auto"/>
          <w:sz w:val="22"/>
          <w:szCs w:val="22"/>
          <w:lang w:val="en-US"/>
        </w:rPr>
        <w:t>Personal income tax withholdings, if applicable.</w:t>
      </w:r>
    </w:p>
    <w:p w:rsidR="002C7A7A" w:rsidRPr="007C557B" w:rsidRDefault="002C7A7A" w:rsidP="001D47A6">
      <w:pPr>
        <w:pStyle w:val="Default"/>
        <w:jc w:val="both"/>
        <w:rPr>
          <w:color w:val="auto"/>
          <w:sz w:val="22"/>
          <w:szCs w:val="22"/>
          <w:lang w:val="en-US"/>
        </w:rPr>
      </w:pPr>
    </w:p>
    <w:p w:rsidR="002C7A7A" w:rsidRPr="007C557B" w:rsidRDefault="002C7A7A" w:rsidP="001D47A6">
      <w:pPr>
        <w:pStyle w:val="Default"/>
        <w:jc w:val="both"/>
        <w:rPr>
          <w:color w:val="auto"/>
          <w:sz w:val="22"/>
          <w:szCs w:val="22"/>
          <w:u w:val="single"/>
          <w:lang w:val="en-US"/>
        </w:rPr>
      </w:pPr>
      <w:r w:rsidRPr="007C557B">
        <w:rPr>
          <w:color w:val="auto"/>
          <w:sz w:val="22"/>
          <w:szCs w:val="22"/>
          <w:u w:val="single"/>
          <w:lang w:val="en-US"/>
        </w:rPr>
        <w:t>Unemployment subsidies</w:t>
      </w:r>
    </w:p>
    <w:p w:rsidR="002C7A7A" w:rsidRPr="007C557B" w:rsidRDefault="002C7A7A" w:rsidP="001D47A6">
      <w:pPr>
        <w:pStyle w:val="Default"/>
        <w:jc w:val="both"/>
        <w:rPr>
          <w:color w:val="auto"/>
          <w:sz w:val="22"/>
          <w:szCs w:val="22"/>
          <w:lang w:val="en-US"/>
        </w:rPr>
      </w:pPr>
    </w:p>
    <w:p w:rsidR="002C7A7A" w:rsidRPr="007C557B" w:rsidRDefault="002C7A7A" w:rsidP="001D47A6">
      <w:pPr>
        <w:pStyle w:val="Default"/>
        <w:jc w:val="both"/>
        <w:rPr>
          <w:color w:val="auto"/>
          <w:sz w:val="22"/>
          <w:szCs w:val="22"/>
          <w:lang w:val="en-US"/>
        </w:rPr>
      </w:pPr>
      <w:r w:rsidRPr="007C557B">
        <w:rPr>
          <w:color w:val="auto"/>
          <w:sz w:val="22"/>
          <w:szCs w:val="22"/>
          <w:lang w:val="en-US"/>
        </w:rPr>
        <w:t>The unemployment subsidies are:</w:t>
      </w:r>
    </w:p>
    <w:p w:rsidR="002C7A7A" w:rsidRPr="007C557B" w:rsidRDefault="002C7A7A" w:rsidP="001D47A6">
      <w:pPr>
        <w:pStyle w:val="Default"/>
        <w:jc w:val="both"/>
        <w:rPr>
          <w:color w:val="auto"/>
          <w:sz w:val="22"/>
          <w:szCs w:val="22"/>
          <w:lang w:val="en-US"/>
        </w:rPr>
      </w:pPr>
    </w:p>
    <w:p w:rsidR="002C7A7A" w:rsidRPr="007C557B" w:rsidRDefault="002C7A7A" w:rsidP="001D47A6">
      <w:pPr>
        <w:pStyle w:val="Default"/>
        <w:jc w:val="both"/>
        <w:rPr>
          <w:color w:val="auto"/>
          <w:sz w:val="22"/>
          <w:szCs w:val="22"/>
          <w:lang w:val="en-US"/>
        </w:rPr>
      </w:pPr>
      <w:r w:rsidRPr="007C557B">
        <w:rPr>
          <w:color w:val="auto"/>
          <w:sz w:val="22"/>
          <w:szCs w:val="22"/>
          <w:lang w:val="en-US"/>
        </w:rPr>
        <w:t>• Exhaustion of contributive benefits.</w:t>
      </w:r>
    </w:p>
    <w:p w:rsidR="002C7A7A" w:rsidRPr="007C557B" w:rsidRDefault="002C7A7A" w:rsidP="001D47A6">
      <w:pPr>
        <w:pStyle w:val="Default"/>
        <w:jc w:val="both"/>
        <w:rPr>
          <w:color w:val="auto"/>
          <w:sz w:val="22"/>
          <w:szCs w:val="22"/>
          <w:lang w:val="en-US"/>
        </w:rPr>
      </w:pPr>
      <w:r w:rsidRPr="007C557B">
        <w:rPr>
          <w:color w:val="auto"/>
          <w:sz w:val="22"/>
          <w:szCs w:val="22"/>
          <w:lang w:val="en-US"/>
        </w:rPr>
        <w:t>• Involuntary termination of employment.</w:t>
      </w:r>
    </w:p>
    <w:p w:rsidR="002C7A7A" w:rsidRPr="007C557B" w:rsidRDefault="002C7A7A" w:rsidP="001D47A6">
      <w:pPr>
        <w:pStyle w:val="Default"/>
        <w:jc w:val="both"/>
        <w:rPr>
          <w:color w:val="auto"/>
          <w:sz w:val="22"/>
          <w:szCs w:val="22"/>
          <w:lang w:val="en-US"/>
        </w:rPr>
      </w:pPr>
      <w:r w:rsidRPr="007C557B">
        <w:rPr>
          <w:color w:val="auto"/>
          <w:sz w:val="22"/>
          <w:szCs w:val="22"/>
          <w:lang w:val="en-US"/>
        </w:rPr>
        <w:t>• Over 55 years of age.</w:t>
      </w:r>
    </w:p>
    <w:p w:rsidR="002C7A7A" w:rsidRPr="007C557B" w:rsidRDefault="002C7A7A" w:rsidP="001D47A6">
      <w:pPr>
        <w:pStyle w:val="Default"/>
        <w:jc w:val="both"/>
        <w:rPr>
          <w:color w:val="auto"/>
          <w:sz w:val="22"/>
          <w:szCs w:val="22"/>
          <w:lang w:val="en-US"/>
        </w:rPr>
      </w:pPr>
      <w:r w:rsidRPr="007C557B">
        <w:rPr>
          <w:color w:val="auto"/>
          <w:sz w:val="22"/>
          <w:szCs w:val="22"/>
          <w:lang w:val="en-US"/>
        </w:rPr>
        <w:t>• Other allowances:</w:t>
      </w:r>
    </w:p>
    <w:p w:rsidR="002C7A7A" w:rsidRPr="007C557B" w:rsidRDefault="002C7A7A" w:rsidP="001D47A6">
      <w:pPr>
        <w:pStyle w:val="Default"/>
        <w:jc w:val="both"/>
        <w:rPr>
          <w:color w:val="auto"/>
          <w:sz w:val="22"/>
          <w:szCs w:val="22"/>
          <w:lang w:val="en-US"/>
        </w:rPr>
      </w:pPr>
    </w:p>
    <w:p w:rsidR="002C7A7A" w:rsidRPr="007C557B" w:rsidRDefault="003D0C87" w:rsidP="001D47A6">
      <w:pPr>
        <w:pStyle w:val="Default"/>
        <w:jc w:val="both"/>
        <w:rPr>
          <w:color w:val="auto"/>
          <w:sz w:val="22"/>
          <w:szCs w:val="22"/>
          <w:lang w:val="en-US"/>
        </w:rPr>
      </w:pPr>
      <w:r w:rsidRPr="007C557B">
        <w:rPr>
          <w:color w:val="auto"/>
          <w:sz w:val="22"/>
          <w:szCs w:val="22"/>
          <w:lang w:val="en-US"/>
        </w:rPr>
        <w:t>The common</w:t>
      </w:r>
      <w:r w:rsidR="00C544CB" w:rsidRPr="007C557B">
        <w:rPr>
          <w:color w:val="auto"/>
          <w:sz w:val="22"/>
          <w:szCs w:val="22"/>
          <w:lang w:val="en-US"/>
        </w:rPr>
        <w:t xml:space="preserve"> </w:t>
      </w:r>
      <w:r w:rsidR="002C7A7A" w:rsidRPr="007C557B">
        <w:rPr>
          <w:color w:val="auto"/>
          <w:sz w:val="22"/>
          <w:szCs w:val="22"/>
          <w:lang w:val="en-US"/>
        </w:rPr>
        <w:t xml:space="preserve">requirements to be </w:t>
      </w:r>
      <w:r w:rsidR="00C544CB" w:rsidRPr="007C557B">
        <w:rPr>
          <w:color w:val="auto"/>
          <w:sz w:val="22"/>
          <w:szCs w:val="22"/>
          <w:lang w:val="en-US"/>
        </w:rPr>
        <w:t>eligible</w:t>
      </w:r>
      <w:r w:rsidR="002C7A7A" w:rsidRPr="007C557B">
        <w:rPr>
          <w:color w:val="auto"/>
          <w:sz w:val="22"/>
          <w:szCs w:val="22"/>
          <w:lang w:val="en-US"/>
        </w:rPr>
        <w:t xml:space="preserve"> </w:t>
      </w:r>
      <w:r w:rsidR="00C544CB" w:rsidRPr="007C557B">
        <w:rPr>
          <w:color w:val="auto"/>
          <w:sz w:val="22"/>
          <w:szCs w:val="22"/>
          <w:lang w:val="en-US"/>
        </w:rPr>
        <w:t>for those subsidies are:</w:t>
      </w:r>
    </w:p>
    <w:p w:rsidR="002C7A7A" w:rsidRPr="007C557B" w:rsidRDefault="002C7A7A" w:rsidP="001D47A6">
      <w:pPr>
        <w:pStyle w:val="Default"/>
        <w:jc w:val="both"/>
        <w:rPr>
          <w:color w:val="auto"/>
          <w:sz w:val="22"/>
          <w:szCs w:val="22"/>
          <w:lang w:val="en-US"/>
        </w:rPr>
      </w:pPr>
      <w:r w:rsidRPr="007C557B">
        <w:rPr>
          <w:color w:val="auto"/>
          <w:sz w:val="22"/>
          <w:szCs w:val="22"/>
          <w:lang w:val="en-US"/>
        </w:rPr>
        <w:t>• Not to be entitled to contributory unemployment</w:t>
      </w:r>
      <w:r w:rsidR="00C544CB" w:rsidRPr="007C557B">
        <w:rPr>
          <w:color w:val="auto"/>
          <w:sz w:val="22"/>
          <w:szCs w:val="22"/>
          <w:lang w:val="en-US"/>
        </w:rPr>
        <w:t xml:space="preserve"> </w:t>
      </w:r>
      <w:r w:rsidRPr="007C557B">
        <w:rPr>
          <w:color w:val="auto"/>
          <w:sz w:val="22"/>
          <w:szCs w:val="22"/>
          <w:lang w:val="en-US"/>
        </w:rPr>
        <w:t>benefits.</w:t>
      </w:r>
    </w:p>
    <w:p w:rsidR="002C7A7A" w:rsidRPr="007C557B" w:rsidRDefault="002C7A7A" w:rsidP="001D47A6">
      <w:pPr>
        <w:pStyle w:val="Default"/>
        <w:jc w:val="both"/>
        <w:rPr>
          <w:color w:val="auto"/>
          <w:sz w:val="22"/>
          <w:szCs w:val="22"/>
          <w:lang w:val="en-US"/>
        </w:rPr>
      </w:pPr>
      <w:r w:rsidRPr="007C557B">
        <w:rPr>
          <w:color w:val="auto"/>
          <w:sz w:val="22"/>
          <w:szCs w:val="22"/>
          <w:lang w:val="en-US"/>
        </w:rPr>
        <w:t>• You must be a registered job seeker throughout</w:t>
      </w:r>
      <w:r w:rsidR="00C544CB" w:rsidRPr="007C557B">
        <w:rPr>
          <w:color w:val="auto"/>
          <w:sz w:val="22"/>
          <w:szCs w:val="22"/>
          <w:lang w:val="en-US"/>
        </w:rPr>
        <w:t xml:space="preserve"> </w:t>
      </w:r>
      <w:r w:rsidRPr="007C557B">
        <w:rPr>
          <w:color w:val="auto"/>
          <w:sz w:val="22"/>
          <w:szCs w:val="22"/>
          <w:lang w:val="en-US"/>
        </w:rPr>
        <w:t>the period you receive the allowance, and</w:t>
      </w:r>
      <w:r w:rsidR="00C544CB" w:rsidRPr="007C557B">
        <w:rPr>
          <w:color w:val="auto"/>
          <w:sz w:val="22"/>
          <w:szCs w:val="22"/>
          <w:lang w:val="en-US"/>
        </w:rPr>
        <w:t xml:space="preserve"> </w:t>
      </w:r>
      <w:r w:rsidRPr="007C557B">
        <w:rPr>
          <w:color w:val="auto"/>
          <w:sz w:val="22"/>
          <w:szCs w:val="22"/>
          <w:lang w:val="en-US"/>
        </w:rPr>
        <w:t>you must also sign the undertaking to accept</w:t>
      </w:r>
      <w:r w:rsidR="00C544CB" w:rsidRPr="007C557B">
        <w:rPr>
          <w:color w:val="auto"/>
          <w:sz w:val="22"/>
          <w:szCs w:val="22"/>
          <w:lang w:val="en-US"/>
        </w:rPr>
        <w:t xml:space="preserve"> </w:t>
      </w:r>
      <w:r w:rsidRPr="007C557B">
        <w:rPr>
          <w:color w:val="auto"/>
          <w:sz w:val="22"/>
          <w:szCs w:val="22"/>
          <w:lang w:val="en-US"/>
        </w:rPr>
        <w:t>job proposals.</w:t>
      </w:r>
    </w:p>
    <w:p w:rsidR="002C7A7A" w:rsidRPr="007C557B" w:rsidRDefault="002C7A7A" w:rsidP="001D47A6">
      <w:pPr>
        <w:pStyle w:val="Default"/>
        <w:jc w:val="both"/>
        <w:rPr>
          <w:color w:val="auto"/>
          <w:sz w:val="22"/>
          <w:szCs w:val="22"/>
          <w:lang w:val="en-US"/>
        </w:rPr>
      </w:pPr>
      <w:r w:rsidRPr="007C557B">
        <w:rPr>
          <w:color w:val="auto"/>
          <w:sz w:val="22"/>
          <w:szCs w:val="22"/>
          <w:lang w:val="en-US"/>
        </w:rPr>
        <w:t>• Your own income cannot exceed 491.40</w:t>
      </w:r>
      <w:r w:rsidR="00C544CB" w:rsidRPr="007C557B">
        <w:rPr>
          <w:color w:val="auto"/>
          <w:sz w:val="22"/>
          <w:szCs w:val="22"/>
          <w:lang w:val="en-US"/>
        </w:rPr>
        <w:t xml:space="preserve"> </w:t>
      </w:r>
      <w:r w:rsidR="003D0C87" w:rsidRPr="007C557B">
        <w:rPr>
          <w:color w:val="auto"/>
          <w:sz w:val="22"/>
          <w:szCs w:val="22"/>
          <w:lang w:val="en-US"/>
        </w:rPr>
        <w:t>Euros</w:t>
      </w:r>
      <w:r w:rsidRPr="007C557B">
        <w:rPr>
          <w:color w:val="auto"/>
          <w:sz w:val="22"/>
          <w:szCs w:val="22"/>
          <w:lang w:val="en-US"/>
        </w:rPr>
        <w:t>/month.</w:t>
      </w:r>
    </w:p>
    <w:p w:rsidR="00C544CB" w:rsidRPr="007C557B" w:rsidRDefault="00C544CB" w:rsidP="001D47A6">
      <w:pPr>
        <w:pStyle w:val="Default"/>
        <w:jc w:val="both"/>
        <w:rPr>
          <w:color w:val="auto"/>
          <w:sz w:val="22"/>
          <w:szCs w:val="22"/>
          <w:lang w:val="en-US"/>
        </w:rPr>
      </w:pPr>
    </w:p>
    <w:p w:rsidR="002C7A7A" w:rsidRPr="007C557B" w:rsidRDefault="00C544CB" w:rsidP="001D47A6">
      <w:pPr>
        <w:pStyle w:val="Default"/>
        <w:jc w:val="both"/>
        <w:rPr>
          <w:color w:val="auto"/>
          <w:sz w:val="22"/>
          <w:szCs w:val="22"/>
          <w:lang w:val="en-US"/>
        </w:rPr>
      </w:pPr>
      <w:r w:rsidRPr="007C557B">
        <w:rPr>
          <w:color w:val="auto"/>
          <w:sz w:val="22"/>
          <w:szCs w:val="22"/>
          <w:lang w:val="en-US"/>
        </w:rPr>
        <w:lastRenderedPageBreak/>
        <w:t>The applicant</w:t>
      </w:r>
      <w:r w:rsidR="002C7A7A" w:rsidRPr="007C557B">
        <w:rPr>
          <w:color w:val="auto"/>
          <w:sz w:val="22"/>
          <w:szCs w:val="22"/>
          <w:lang w:val="en-US"/>
        </w:rPr>
        <w:t xml:space="preserve"> must meet all the requirements at all</w:t>
      </w:r>
      <w:r w:rsidRPr="007C557B">
        <w:rPr>
          <w:color w:val="auto"/>
          <w:sz w:val="22"/>
          <w:szCs w:val="22"/>
          <w:lang w:val="en-US"/>
        </w:rPr>
        <w:t xml:space="preserve"> </w:t>
      </w:r>
      <w:r w:rsidR="002C7A7A" w:rsidRPr="007C557B">
        <w:rPr>
          <w:color w:val="auto"/>
          <w:sz w:val="22"/>
          <w:szCs w:val="22"/>
          <w:lang w:val="en-US"/>
        </w:rPr>
        <w:t>times while you are receiving the allowance.</w:t>
      </w:r>
    </w:p>
    <w:p w:rsidR="002C7A7A" w:rsidRPr="007C557B" w:rsidRDefault="002C7A7A" w:rsidP="001D47A6">
      <w:pPr>
        <w:pStyle w:val="Default"/>
        <w:jc w:val="both"/>
        <w:rPr>
          <w:color w:val="auto"/>
          <w:sz w:val="22"/>
          <w:szCs w:val="22"/>
          <w:lang w:val="en-US"/>
        </w:rPr>
      </w:pPr>
    </w:p>
    <w:p w:rsidR="002C7A7A" w:rsidRDefault="00C544CB" w:rsidP="001D47A6">
      <w:pPr>
        <w:pStyle w:val="Default"/>
        <w:jc w:val="both"/>
        <w:rPr>
          <w:color w:val="auto"/>
          <w:sz w:val="22"/>
          <w:szCs w:val="22"/>
          <w:lang w:val="en-US"/>
        </w:rPr>
      </w:pPr>
      <w:r w:rsidRPr="007C557B">
        <w:rPr>
          <w:color w:val="auto"/>
          <w:sz w:val="22"/>
          <w:szCs w:val="22"/>
          <w:lang w:val="en-US"/>
        </w:rPr>
        <w:t>Amount of the benefit: €426.00 per month, which will be paid into the account in the financial institution indicated by the applicant. If the person has been dismissed from a part-time job, the allowance will be paid in proportion to the hours worked.</w:t>
      </w:r>
    </w:p>
    <w:p w:rsidR="00644731" w:rsidRDefault="00644731" w:rsidP="001D47A6">
      <w:pPr>
        <w:pStyle w:val="Default"/>
        <w:jc w:val="both"/>
        <w:rPr>
          <w:color w:val="auto"/>
          <w:sz w:val="22"/>
          <w:szCs w:val="22"/>
          <w:lang w:val="en-US"/>
        </w:rPr>
      </w:pPr>
    </w:p>
    <w:p w:rsidR="003E3104" w:rsidRPr="007C557B" w:rsidRDefault="00F91AFF" w:rsidP="0034264B">
      <w:pPr>
        <w:pStyle w:val="NormalWeb"/>
        <w:spacing w:after="0" w:afterAutospacing="0"/>
        <w:rPr>
          <w:rFonts w:ascii="Arial" w:hAnsi="Arial" w:cs="Arial"/>
          <w:b/>
          <w:sz w:val="24"/>
          <w:szCs w:val="24"/>
          <w:lang w:val="en-US"/>
        </w:rPr>
      </w:pPr>
      <w:r w:rsidRPr="007C557B">
        <w:rPr>
          <w:rFonts w:ascii="Arial" w:hAnsi="Arial" w:cs="Arial"/>
          <w:b/>
          <w:sz w:val="24"/>
          <w:szCs w:val="24"/>
          <w:lang w:val="en-US"/>
        </w:rPr>
        <w:t>2.3 MIGRANT WORKERS</w:t>
      </w:r>
    </w:p>
    <w:p w:rsidR="00D12DFE" w:rsidRPr="007C557B" w:rsidRDefault="00D12DFE" w:rsidP="00571B02">
      <w:pPr>
        <w:pStyle w:val="NormalWeb"/>
        <w:jc w:val="both"/>
        <w:rPr>
          <w:rFonts w:ascii="Arial" w:hAnsi="Arial" w:cs="Arial"/>
          <w:sz w:val="22"/>
          <w:szCs w:val="22"/>
          <w:lang w:val="en-US"/>
        </w:rPr>
      </w:pPr>
      <w:r w:rsidRPr="007C557B">
        <w:rPr>
          <w:rFonts w:ascii="Arial" w:hAnsi="Arial" w:cs="Arial"/>
          <w:sz w:val="22"/>
          <w:szCs w:val="22"/>
          <w:lang w:val="en-US"/>
        </w:rPr>
        <w:t xml:space="preserve">The Organic Law 4/2000 of 11 January on the rights and freedoms of foreigners in Spain and their social </w:t>
      </w:r>
      <w:r w:rsidR="00571B02" w:rsidRPr="007C557B">
        <w:rPr>
          <w:rFonts w:ascii="Arial" w:hAnsi="Arial" w:cs="Arial"/>
          <w:sz w:val="22"/>
          <w:szCs w:val="22"/>
          <w:lang w:val="en-US"/>
        </w:rPr>
        <w:t>integration</w:t>
      </w:r>
      <w:r w:rsidRPr="007C557B">
        <w:rPr>
          <w:rFonts w:ascii="Arial" w:hAnsi="Arial" w:cs="Arial"/>
          <w:sz w:val="22"/>
          <w:szCs w:val="22"/>
          <w:lang w:val="en-US"/>
        </w:rPr>
        <w:t xml:space="preserve"> includes the right to social security in two articles. </w:t>
      </w:r>
      <w:r w:rsidR="00397A16" w:rsidRPr="007C557B">
        <w:rPr>
          <w:rFonts w:ascii="Arial" w:hAnsi="Arial" w:cs="Arial"/>
          <w:sz w:val="22"/>
          <w:szCs w:val="22"/>
          <w:lang w:val="en-US"/>
        </w:rPr>
        <w:t>A</w:t>
      </w:r>
      <w:r w:rsidRPr="007C557B">
        <w:rPr>
          <w:rFonts w:ascii="Arial" w:hAnsi="Arial" w:cs="Arial"/>
          <w:sz w:val="22"/>
          <w:szCs w:val="22"/>
          <w:lang w:val="en-US"/>
        </w:rPr>
        <w:t xml:space="preserve">rticle 10, provides </w:t>
      </w:r>
      <w:r w:rsidR="00571B02" w:rsidRPr="007C557B">
        <w:rPr>
          <w:rFonts w:ascii="Arial" w:hAnsi="Arial" w:cs="Arial"/>
          <w:sz w:val="22"/>
          <w:szCs w:val="22"/>
          <w:lang w:val="en-US"/>
        </w:rPr>
        <w:t>that foreign resident</w:t>
      </w:r>
      <w:r w:rsidR="00571B02">
        <w:rPr>
          <w:rFonts w:ascii="Arial" w:hAnsi="Arial" w:cs="Arial"/>
          <w:sz w:val="22"/>
          <w:szCs w:val="22"/>
          <w:lang w:val="en-US"/>
        </w:rPr>
        <w:t>,</w:t>
      </w:r>
      <w:r w:rsidRPr="007C557B">
        <w:rPr>
          <w:rFonts w:ascii="Arial" w:hAnsi="Arial" w:cs="Arial"/>
          <w:sz w:val="22"/>
          <w:szCs w:val="22"/>
          <w:lang w:val="en-US"/>
        </w:rPr>
        <w:t xml:space="preserve"> who are employed or self employed, and meet the requirements, are included in the scope of activity of the Spanish Social Security system, in accordance with current legislation. Besides, article 14 of the same Act, provides that foreign residents have the right to access to benefits and social services of the Social Security under the same conditions as Spanish nationals. </w:t>
      </w:r>
    </w:p>
    <w:p w:rsidR="00D12DFE" w:rsidRPr="007C557B" w:rsidRDefault="00D12DFE" w:rsidP="00571B02">
      <w:pPr>
        <w:pStyle w:val="NormalWeb"/>
        <w:jc w:val="both"/>
        <w:rPr>
          <w:rFonts w:ascii="Arial" w:hAnsi="Arial" w:cs="Arial"/>
          <w:sz w:val="22"/>
          <w:szCs w:val="22"/>
          <w:lang w:val="en-US"/>
        </w:rPr>
      </w:pPr>
      <w:r w:rsidRPr="007C557B">
        <w:rPr>
          <w:rFonts w:ascii="Arial" w:hAnsi="Arial" w:cs="Arial"/>
          <w:sz w:val="22"/>
          <w:szCs w:val="22"/>
          <w:lang w:val="en-US"/>
        </w:rPr>
        <w:t>On the other hand</w:t>
      </w:r>
      <w:r w:rsidR="00397A16" w:rsidRPr="007C557B">
        <w:rPr>
          <w:rFonts w:ascii="Arial" w:hAnsi="Arial" w:cs="Arial"/>
          <w:sz w:val="22"/>
          <w:szCs w:val="22"/>
          <w:lang w:val="en-US"/>
        </w:rPr>
        <w:t>,</w:t>
      </w:r>
      <w:r w:rsidRPr="007C557B">
        <w:rPr>
          <w:rFonts w:ascii="Arial" w:hAnsi="Arial" w:cs="Arial"/>
          <w:sz w:val="22"/>
          <w:szCs w:val="22"/>
          <w:lang w:val="en-US"/>
        </w:rPr>
        <w:t xml:space="preserve"> article 14 contains a general principle of equal treatment between Spaniards and foreigners, so provided they are residents in our country, it could extend its application to non-contributory b</w:t>
      </w:r>
      <w:r w:rsidR="00397A16" w:rsidRPr="007C557B">
        <w:rPr>
          <w:rFonts w:ascii="Arial" w:hAnsi="Arial" w:cs="Arial"/>
          <w:sz w:val="22"/>
          <w:szCs w:val="22"/>
          <w:lang w:val="en-US"/>
        </w:rPr>
        <w:t>enefits, depending on the nationality of the foreigner</w:t>
      </w:r>
      <w:r w:rsidRPr="007C557B">
        <w:rPr>
          <w:rFonts w:ascii="Arial" w:hAnsi="Arial" w:cs="Arial"/>
          <w:sz w:val="22"/>
          <w:szCs w:val="22"/>
          <w:lang w:val="en-US"/>
        </w:rPr>
        <w:t>. Nationals of Latin American countries, Portuguese, Brazilians, Filipinos and Andorrans residing in Spanish territory, are equivalent to the Spaniards for the purposes of non-contributory benefits. Nationals of countries with which Spain is linked in terms of treaties, conventions, agreements or instruments or as applicable to them under tacitly or explicitly recognized reciprocity.</w:t>
      </w:r>
    </w:p>
    <w:p w:rsidR="00D12DFE" w:rsidRPr="007C557B" w:rsidRDefault="00D12DFE" w:rsidP="00571B02">
      <w:pPr>
        <w:pStyle w:val="NormalWeb"/>
        <w:jc w:val="both"/>
        <w:rPr>
          <w:rFonts w:ascii="Arial" w:hAnsi="Arial" w:cs="Arial"/>
          <w:sz w:val="22"/>
          <w:szCs w:val="22"/>
          <w:lang w:val="en-US"/>
        </w:rPr>
      </w:pPr>
      <w:r w:rsidRPr="007C557B">
        <w:rPr>
          <w:rFonts w:ascii="Arial" w:hAnsi="Arial" w:cs="Arial"/>
          <w:sz w:val="22"/>
          <w:szCs w:val="22"/>
          <w:lang w:val="en-US"/>
        </w:rPr>
        <w:t xml:space="preserve">In addition to European instruments for the coordination of Social Security legislation, Spain has signed 23 bilateral agreements on Social Security, containing coordination rules between the laws of the two signatory countries. They cover to the workers who have been subject to the social security legislation of one or two countries, as well as members of their families and survivors. </w:t>
      </w:r>
    </w:p>
    <w:p w:rsidR="00D12DFE" w:rsidRPr="007C557B" w:rsidRDefault="00D12DFE" w:rsidP="00571B02">
      <w:pPr>
        <w:pStyle w:val="NormalWeb"/>
        <w:jc w:val="both"/>
        <w:rPr>
          <w:rFonts w:ascii="Arial" w:hAnsi="Arial" w:cs="Arial"/>
          <w:sz w:val="22"/>
          <w:szCs w:val="22"/>
          <w:lang w:val="en-US"/>
        </w:rPr>
      </w:pPr>
      <w:r w:rsidRPr="007C557B">
        <w:rPr>
          <w:rFonts w:ascii="Arial" w:hAnsi="Arial" w:cs="Arial"/>
          <w:sz w:val="22"/>
          <w:szCs w:val="22"/>
          <w:lang w:val="en-US"/>
        </w:rPr>
        <w:t xml:space="preserve">Moreover, The </w:t>
      </w:r>
      <w:proofErr w:type="spellStart"/>
      <w:r w:rsidRPr="007C557B">
        <w:rPr>
          <w:rFonts w:ascii="Arial" w:hAnsi="Arial" w:cs="Arial"/>
          <w:sz w:val="22"/>
          <w:szCs w:val="22"/>
          <w:lang w:val="en-US"/>
        </w:rPr>
        <w:t>Ibero</w:t>
      </w:r>
      <w:proofErr w:type="spellEnd"/>
      <w:r w:rsidRPr="007C557B">
        <w:rPr>
          <w:rFonts w:ascii="Arial" w:hAnsi="Arial" w:cs="Arial"/>
          <w:sz w:val="22"/>
          <w:szCs w:val="22"/>
          <w:lang w:val="en-US"/>
        </w:rPr>
        <w:t xml:space="preserve">-American Multilateral Agreement on Social Security, made in 2007, and the Agreement on Implementation of the Convention, made in Lisbon in 2009, </w:t>
      </w:r>
      <w:r w:rsidR="00571B02" w:rsidRPr="007C557B">
        <w:rPr>
          <w:rFonts w:ascii="Arial" w:hAnsi="Arial" w:cs="Arial"/>
          <w:sz w:val="22"/>
          <w:szCs w:val="22"/>
          <w:lang w:val="en-US"/>
        </w:rPr>
        <w:t>has</w:t>
      </w:r>
      <w:r w:rsidRPr="007C557B">
        <w:rPr>
          <w:rFonts w:ascii="Arial" w:hAnsi="Arial" w:cs="Arial"/>
          <w:sz w:val="22"/>
          <w:szCs w:val="22"/>
          <w:lang w:val="en-US"/>
        </w:rPr>
        <w:t xml:space="preserve"> the coordination rules governing relations between the laws on Social Security of the countries that signed the Agreement.</w:t>
      </w:r>
    </w:p>
    <w:p w:rsidR="00D12DFE" w:rsidRPr="007C557B" w:rsidRDefault="00D12DFE" w:rsidP="00571B02">
      <w:pPr>
        <w:pStyle w:val="NormalWeb"/>
        <w:jc w:val="both"/>
        <w:rPr>
          <w:rFonts w:ascii="Arial" w:hAnsi="Arial" w:cs="Arial"/>
          <w:sz w:val="22"/>
          <w:szCs w:val="22"/>
          <w:lang w:val="en-US"/>
        </w:rPr>
      </w:pPr>
    </w:p>
    <w:p w:rsidR="009A2A34" w:rsidRPr="007C557B" w:rsidRDefault="009A2A34" w:rsidP="00571B02">
      <w:pPr>
        <w:pStyle w:val="NormalWeb"/>
        <w:jc w:val="both"/>
        <w:rPr>
          <w:rFonts w:ascii="Arial" w:hAnsi="Arial" w:cs="Arial"/>
          <w:b/>
          <w:sz w:val="28"/>
          <w:szCs w:val="28"/>
          <w:lang w:val="en-US"/>
        </w:rPr>
      </w:pPr>
      <w:r w:rsidRPr="007C557B">
        <w:rPr>
          <w:rFonts w:ascii="Arial" w:hAnsi="Arial" w:cs="Arial"/>
          <w:b/>
          <w:sz w:val="28"/>
          <w:szCs w:val="28"/>
          <w:lang w:val="en-US"/>
        </w:rPr>
        <w:t>3. UNIVERSAL COVERAGE AND ADAPTATION TO MOBILITY</w:t>
      </w:r>
    </w:p>
    <w:p w:rsidR="009A2A34" w:rsidRPr="007C557B" w:rsidRDefault="009A2A34" w:rsidP="00571B02">
      <w:pPr>
        <w:pStyle w:val="NormalWeb"/>
        <w:spacing w:after="0" w:afterAutospacing="0"/>
        <w:jc w:val="both"/>
        <w:rPr>
          <w:rFonts w:ascii="Arial" w:hAnsi="Arial" w:cs="Arial"/>
          <w:b/>
          <w:sz w:val="24"/>
          <w:szCs w:val="24"/>
          <w:lang w:val="en-US"/>
        </w:rPr>
      </w:pPr>
      <w:r w:rsidRPr="007C557B">
        <w:rPr>
          <w:rFonts w:ascii="Arial" w:hAnsi="Arial" w:cs="Arial"/>
          <w:b/>
          <w:sz w:val="24"/>
          <w:szCs w:val="24"/>
          <w:lang w:val="en-US"/>
        </w:rPr>
        <w:t>3.1 RELATIONS BETWEEN SOCIAL SECURITY AND EMPLOYMENT POLICIES</w:t>
      </w:r>
    </w:p>
    <w:p w:rsidR="00BE0C06" w:rsidRPr="007C557B" w:rsidRDefault="00BE0C06" w:rsidP="00571B02">
      <w:pPr>
        <w:jc w:val="both"/>
        <w:rPr>
          <w:rFonts w:ascii="Arial" w:hAnsi="Arial" w:cs="Arial"/>
          <w:sz w:val="22"/>
          <w:szCs w:val="22"/>
          <w:lang w:val="en-US"/>
        </w:rPr>
      </w:pPr>
    </w:p>
    <w:p w:rsidR="00202E15" w:rsidRPr="007C557B" w:rsidRDefault="00202E15" w:rsidP="00571B02">
      <w:pPr>
        <w:jc w:val="both"/>
        <w:rPr>
          <w:rFonts w:ascii="Arial" w:hAnsi="Arial" w:cs="Arial"/>
          <w:sz w:val="22"/>
          <w:szCs w:val="22"/>
          <w:lang w:val="en-US"/>
        </w:rPr>
      </w:pPr>
      <w:r w:rsidRPr="007C557B">
        <w:rPr>
          <w:rFonts w:ascii="Arial" w:hAnsi="Arial" w:cs="Arial"/>
          <w:sz w:val="22"/>
          <w:szCs w:val="22"/>
          <w:lang w:val="en-US"/>
        </w:rPr>
        <w:t xml:space="preserve">The </w:t>
      </w:r>
      <w:r w:rsidR="00BE0C06" w:rsidRPr="007C557B">
        <w:rPr>
          <w:rFonts w:ascii="Arial" w:hAnsi="Arial" w:cs="Arial"/>
          <w:sz w:val="22"/>
          <w:szCs w:val="22"/>
          <w:lang w:val="en-US"/>
        </w:rPr>
        <w:t xml:space="preserve">Spain </w:t>
      </w:r>
      <w:r w:rsidRPr="007C557B">
        <w:rPr>
          <w:rFonts w:ascii="Arial" w:hAnsi="Arial" w:cs="Arial"/>
          <w:sz w:val="22"/>
          <w:szCs w:val="22"/>
          <w:lang w:val="en-US"/>
        </w:rPr>
        <w:t xml:space="preserve">social security system is of Bismarckian type, </w:t>
      </w:r>
      <w:r w:rsidR="004027E2" w:rsidRPr="007C557B">
        <w:rPr>
          <w:rFonts w:ascii="Arial" w:hAnsi="Arial" w:cs="Arial"/>
          <w:sz w:val="22"/>
          <w:szCs w:val="22"/>
          <w:lang w:val="en-US"/>
        </w:rPr>
        <w:t>where</w:t>
      </w:r>
      <w:r w:rsidRPr="007C557B">
        <w:rPr>
          <w:rFonts w:ascii="Arial" w:hAnsi="Arial" w:cs="Arial"/>
          <w:sz w:val="22"/>
          <w:szCs w:val="22"/>
          <w:lang w:val="en-US"/>
        </w:rPr>
        <w:t xml:space="preserve"> social risks are covered mainly by social insurances based on an employment and principally funded by social contributions. This creates a very strong link between social security and employment policies.</w:t>
      </w:r>
    </w:p>
    <w:p w:rsidR="00BE0C06" w:rsidRPr="007C557B" w:rsidRDefault="00BE0C06" w:rsidP="00571B02">
      <w:pPr>
        <w:jc w:val="both"/>
        <w:rPr>
          <w:rFonts w:ascii="Arial" w:hAnsi="Arial" w:cs="Arial"/>
          <w:sz w:val="22"/>
          <w:szCs w:val="22"/>
          <w:lang w:val="en-US"/>
        </w:rPr>
      </w:pPr>
    </w:p>
    <w:p w:rsidR="00F8681C" w:rsidRPr="007C557B" w:rsidRDefault="00BE0C06" w:rsidP="00571B02">
      <w:pPr>
        <w:jc w:val="both"/>
        <w:rPr>
          <w:rFonts w:ascii="Arial" w:hAnsi="Arial" w:cs="Arial"/>
          <w:sz w:val="22"/>
          <w:szCs w:val="22"/>
          <w:lang w:val="en-US"/>
        </w:rPr>
      </w:pPr>
      <w:r w:rsidRPr="007C557B">
        <w:rPr>
          <w:rFonts w:ascii="Arial" w:hAnsi="Arial" w:cs="Arial"/>
          <w:sz w:val="22"/>
          <w:szCs w:val="22"/>
          <w:lang w:val="en-US"/>
        </w:rPr>
        <w:t>Spanish</w:t>
      </w:r>
      <w:r w:rsidR="00F8681C" w:rsidRPr="007C557B">
        <w:rPr>
          <w:rFonts w:ascii="Arial" w:hAnsi="Arial" w:cs="Arial"/>
          <w:sz w:val="22"/>
          <w:szCs w:val="22"/>
          <w:lang w:val="en-US"/>
        </w:rPr>
        <w:t xml:space="preserve"> social protection expenditure expressed in percentage of GDP </w:t>
      </w:r>
      <w:r w:rsidR="00AB4BB6" w:rsidRPr="007C557B">
        <w:rPr>
          <w:rFonts w:ascii="Arial" w:hAnsi="Arial" w:cs="Arial"/>
          <w:sz w:val="22"/>
          <w:szCs w:val="22"/>
          <w:lang w:val="en-US"/>
        </w:rPr>
        <w:t>wa</w:t>
      </w:r>
      <w:r w:rsidRPr="007C557B">
        <w:rPr>
          <w:rFonts w:ascii="Arial" w:hAnsi="Arial" w:cs="Arial"/>
          <w:sz w:val="22"/>
          <w:szCs w:val="22"/>
          <w:lang w:val="en-US"/>
        </w:rPr>
        <w:t xml:space="preserve">s </w:t>
      </w:r>
      <w:r w:rsidR="00414ADD" w:rsidRPr="007C557B">
        <w:rPr>
          <w:rFonts w:ascii="Arial" w:hAnsi="Arial" w:cs="Arial"/>
          <w:sz w:val="22"/>
          <w:szCs w:val="22"/>
          <w:lang w:val="en-US"/>
        </w:rPr>
        <w:t>25.2</w:t>
      </w:r>
      <w:r w:rsidR="00F8681C" w:rsidRPr="007C557B">
        <w:rPr>
          <w:rFonts w:ascii="Arial" w:hAnsi="Arial" w:cs="Arial"/>
          <w:sz w:val="22"/>
          <w:szCs w:val="22"/>
          <w:lang w:val="en-US"/>
        </w:rPr>
        <w:t>%</w:t>
      </w:r>
      <w:r w:rsidR="00AB4BB6" w:rsidRPr="007C557B">
        <w:rPr>
          <w:rFonts w:ascii="Arial" w:hAnsi="Arial" w:cs="Arial"/>
          <w:sz w:val="22"/>
          <w:szCs w:val="22"/>
          <w:lang w:val="en-US"/>
        </w:rPr>
        <w:t xml:space="preserve"> in 2013</w:t>
      </w:r>
      <w:proofErr w:type="gramStart"/>
      <w:r w:rsidR="00AB4BB6" w:rsidRPr="007C557B">
        <w:rPr>
          <w:rFonts w:ascii="Arial" w:hAnsi="Arial" w:cs="Arial"/>
          <w:sz w:val="22"/>
          <w:szCs w:val="22"/>
          <w:lang w:val="en-US"/>
        </w:rPr>
        <w:t>.</w:t>
      </w:r>
      <w:r w:rsidR="00F8681C" w:rsidRPr="007C557B">
        <w:rPr>
          <w:rFonts w:ascii="Arial" w:hAnsi="Arial" w:cs="Arial"/>
          <w:sz w:val="22"/>
          <w:szCs w:val="22"/>
          <w:lang w:val="en-US"/>
        </w:rPr>
        <w:t>.</w:t>
      </w:r>
      <w:proofErr w:type="gramEnd"/>
      <w:r w:rsidR="00F8681C" w:rsidRPr="007C557B">
        <w:rPr>
          <w:rFonts w:ascii="Arial" w:hAnsi="Arial" w:cs="Arial"/>
          <w:sz w:val="22"/>
          <w:szCs w:val="22"/>
          <w:lang w:val="en-US"/>
        </w:rPr>
        <w:t xml:space="preserve"> Social protection financing relies predominantly </w:t>
      </w:r>
      <w:r w:rsidR="009573CE" w:rsidRPr="007C557B">
        <w:rPr>
          <w:rFonts w:ascii="Arial" w:hAnsi="Arial" w:cs="Arial"/>
          <w:sz w:val="22"/>
          <w:szCs w:val="22"/>
          <w:lang w:val="en-US"/>
        </w:rPr>
        <w:t xml:space="preserve">the </w:t>
      </w:r>
      <w:r w:rsidR="00F8681C" w:rsidRPr="007C557B">
        <w:rPr>
          <w:rFonts w:ascii="Arial" w:hAnsi="Arial" w:cs="Arial"/>
          <w:sz w:val="22"/>
          <w:szCs w:val="22"/>
          <w:lang w:val="en-US"/>
        </w:rPr>
        <w:t xml:space="preserve">employers’ </w:t>
      </w:r>
      <w:r w:rsidR="00571B02">
        <w:rPr>
          <w:rFonts w:ascii="Arial" w:hAnsi="Arial" w:cs="Arial"/>
          <w:sz w:val="22"/>
          <w:szCs w:val="22"/>
          <w:lang w:val="en-US"/>
        </w:rPr>
        <w:t>contributions</w:t>
      </w:r>
      <w:r w:rsidR="00700906" w:rsidRPr="007C557B">
        <w:rPr>
          <w:rFonts w:ascii="Arial" w:hAnsi="Arial" w:cs="Arial"/>
          <w:sz w:val="22"/>
          <w:szCs w:val="22"/>
          <w:lang w:val="en-US"/>
        </w:rPr>
        <w:t xml:space="preserve"> </w:t>
      </w:r>
      <w:r w:rsidR="00F8681C" w:rsidRPr="007C557B">
        <w:rPr>
          <w:rFonts w:ascii="Arial" w:hAnsi="Arial" w:cs="Arial"/>
          <w:sz w:val="22"/>
          <w:szCs w:val="22"/>
          <w:lang w:val="en-US"/>
        </w:rPr>
        <w:t xml:space="preserve">represent roughly </w:t>
      </w:r>
      <w:r w:rsidR="00414ADD" w:rsidRPr="007C557B">
        <w:rPr>
          <w:rFonts w:ascii="Arial" w:hAnsi="Arial" w:cs="Arial"/>
          <w:sz w:val="22"/>
          <w:szCs w:val="22"/>
          <w:lang w:val="en-US"/>
        </w:rPr>
        <w:t xml:space="preserve">83% </w:t>
      </w:r>
      <w:r w:rsidR="00F8681C" w:rsidRPr="007C557B">
        <w:rPr>
          <w:rFonts w:ascii="Arial" w:hAnsi="Arial" w:cs="Arial"/>
          <w:sz w:val="22"/>
          <w:szCs w:val="22"/>
          <w:lang w:val="en-US"/>
        </w:rPr>
        <w:t>o</w:t>
      </w:r>
      <w:r w:rsidRPr="007C557B">
        <w:rPr>
          <w:rFonts w:ascii="Arial" w:hAnsi="Arial" w:cs="Arial"/>
          <w:sz w:val="22"/>
          <w:szCs w:val="22"/>
          <w:lang w:val="en-US"/>
        </w:rPr>
        <w:t>f the total</w:t>
      </w:r>
      <w:r w:rsidR="00F8681C" w:rsidRPr="007C557B">
        <w:rPr>
          <w:rFonts w:ascii="Arial" w:hAnsi="Arial" w:cs="Arial"/>
          <w:sz w:val="22"/>
          <w:szCs w:val="22"/>
          <w:lang w:val="en-US"/>
        </w:rPr>
        <w:t>.</w:t>
      </w:r>
    </w:p>
    <w:p w:rsidR="00BE0C06" w:rsidRPr="007C557B" w:rsidRDefault="00BE0C06" w:rsidP="00571B02">
      <w:pPr>
        <w:jc w:val="both"/>
        <w:rPr>
          <w:rFonts w:ascii="Arial" w:hAnsi="Arial" w:cs="Arial"/>
          <w:sz w:val="22"/>
          <w:szCs w:val="22"/>
          <w:lang w:val="en-US"/>
        </w:rPr>
      </w:pPr>
    </w:p>
    <w:p w:rsidR="00AB4BB6" w:rsidRPr="007C557B" w:rsidRDefault="00AB4BB6" w:rsidP="00571B02">
      <w:pPr>
        <w:jc w:val="both"/>
        <w:rPr>
          <w:rFonts w:ascii="Arial" w:hAnsi="Arial" w:cs="Arial"/>
          <w:sz w:val="22"/>
          <w:szCs w:val="22"/>
          <w:lang w:val="en-US"/>
        </w:rPr>
      </w:pPr>
      <w:r w:rsidRPr="007C557B">
        <w:rPr>
          <w:rFonts w:ascii="Arial" w:hAnsi="Arial" w:cs="Arial"/>
          <w:sz w:val="22"/>
          <w:szCs w:val="22"/>
          <w:lang w:val="en-US"/>
        </w:rPr>
        <w:t xml:space="preserve">The measures adopted in Social Security fields that affect </w:t>
      </w:r>
      <w:r w:rsidR="00571B02" w:rsidRPr="007C557B">
        <w:rPr>
          <w:rFonts w:ascii="Arial" w:hAnsi="Arial" w:cs="Arial"/>
          <w:sz w:val="22"/>
          <w:szCs w:val="22"/>
          <w:lang w:val="en-US"/>
        </w:rPr>
        <w:t>directly</w:t>
      </w:r>
      <w:r w:rsidRPr="007C557B">
        <w:rPr>
          <w:rFonts w:ascii="Arial" w:hAnsi="Arial" w:cs="Arial"/>
          <w:sz w:val="22"/>
          <w:szCs w:val="22"/>
          <w:lang w:val="en-US"/>
        </w:rPr>
        <w:t xml:space="preserve"> to the </w:t>
      </w:r>
      <w:r w:rsidR="00571B02" w:rsidRPr="007C557B">
        <w:rPr>
          <w:rFonts w:ascii="Arial" w:hAnsi="Arial" w:cs="Arial"/>
          <w:sz w:val="22"/>
          <w:szCs w:val="22"/>
          <w:lang w:val="en-US"/>
        </w:rPr>
        <w:t>labor</w:t>
      </w:r>
      <w:r w:rsidRPr="007C557B">
        <w:rPr>
          <w:rFonts w:ascii="Arial" w:hAnsi="Arial" w:cs="Arial"/>
          <w:sz w:val="22"/>
          <w:szCs w:val="22"/>
          <w:lang w:val="en-US"/>
        </w:rPr>
        <w:t xml:space="preserve"> market are:</w:t>
      </w:r>
    </w:p>
    <w:p w:rsidR="00AB4BB6" w:rsidRPr="007C557B" w:rsidRDefault="00AB4BB6" w:rsidP="00571B02">
      <w:pPr>
        <w:jc w:val="both"/>
        <w:rPr>
          <w:rFonts w:ascii="Arial" w:hAnsi="Arial" w:cs="Arial"/>
          <w:sz w:val="22"/>
          <w:szCs w:val="22"/>
          <w:lang w:val="en-US"/>
        </w:rPr>
      </w:pPr>
    </w:p>
    <w:p w:rsidR="00AB4BB6" w:rsidRPr="007C557B" w:rsidRDefault="00AB4BB6" w:rsidP="00571B02">
      <w:pPr>
        <w:pStyle w:val="ListParagraph"/>
        <w:numPr>
          <w:ilvl w:val="0"/>
          <w:numId w:val="16"/>
        </w:numPr>
        <w:jc w:val="both"/>
        <w:rPr>
          <w:rFonts w:ascii="Arial" w:hAnsi="Arial" w:cs="Arial"/>
          <w:sz w:val="22"/>
          <w:szCs w:val="22"/>
          <w:lang w:val="en-US"/>
        </w:rPr>
      </w:pPr>
      <w:r w:rsidRPr="007C557B">
        <w:rPr>
          <w:rFonts w:ascii="Arial" w:hAnsi="Arial" w:cs="Arial"/>
          <w:sz w:val="22"/>
          <w:szCs w:val="22"/>
          <w:lang w:val="en-US"/>
        </w:rPr>
        <w:t>Gradual increase of the legal retirement age in the period 2013-2027 till reaching the required 67 years old in year 2027. From January 1st 2013 the legal retirement age has started its increase reaching the 65 years and one month.</w:t>
      </w:r>
    </w:p>
    <w:p w:rsidR="00AB4BB6" w:rsidRPr="007C557B" w:rsidRDefault="00AB4BB6" w:rsidP="00571B02">
      <w:pPr>
        <w:jc w:val="both"/>
        <w:rPr>
          <w:rFonts w:ascii="Arial" w:hAnsi="Arial" w:cs="Arial"/>
          <w:sz w:val="22"/>
          <w:szCs w:val="22"/>
          <w:lang w:val="en-US"/>
        </w:rPr>
      </w:pPr>
    </w:p>
    <w:p w:rsidR="00AB4BB6" w:rsidRPr="007C557B" w:rsidRDefault="001D47A6" w:rsidP="00571B02">
      <w:pPr>
        <w:pStyle w:val="ListParagraph"/>
        <w:numPr>
          <w:ilvl w:val="0"/>
          <w:numId w:val="16"/>
        </w:numPr>
        <w:jc w:val="both"/>
        <w:rPr>
          <w:rFonts w:ascii="Arial" w:hAnsi="Arial" w:cs="Arial"/>
          <w:sz w:val="22"/>
          <w:szCs w:val="22"/>
          <w:lang w:val="en-US"/>
        </w:rPr>
      </w:pPr>
      <w:r w:rsidRPr="007C557B">
        <w:rPr>
          <w:rFonts w:ascii="Arial" w:hAnsi="Arial" w:cs="Arial"/>
          <w:sz w:val="22"/>
          <w:szCs w:val="22"/>
          <w:lang w:val="en-US"/>
        </w:rPr>
        <w:lastRenderedPageBreak/>
        <w:t>Increase of the required number of contributed years in order to reach the 100% of the accrued pension. To reach the 100% of the accrued pension 37 years of contributions will be required as compared with the 35 years required prior to the reform of the pension system. In 2013 it takes 35 years and six months.</w:t>
      </w:r>
    </w:p>
    <w:p w:rsidR="001D47A6" w:rsidRPr="007C557B" w:rsidRDefault="001D47A6" w:rsidP="00571B02">
      <w:pPr>
        <w:jc w:val="both"/>
        <w:rPr>
          <w:rFonts w:ascii="Arial" w:hAnsi="Arial" w:cs="Arial"/>
          <w:sz w:val="22"/>
          <w:szCs w:val="22"/>
          <w:lang w:val="en-US"/>
        </w:rPr>
      </w:pPr>
    </w:p>
    <w:p w:rsidR="001D47A6" w:rsidRPr="007C557B" w:rsidRDefault="001D47A6" w:rsidP="00571B02">
      <w:pPr>
        <w:pStyle w:val="ListParagraph"/>
        <w:numPr>
          <w:ilvl w:val="0"/>
          <w:numId w:val="16"/>
        </w:numPr>
        <w:jc w:val="both"/>
        <w:rPr>
          <w:rFonts w:ascii="Arial" w:hAnsi="Arial" w:cs="Arial"/>
          <w:lang w:val="en-US"/>
        </w:rPr>
      </w:pPr>
      <w:r w:rsidRPr="007C557B">
        <w:rPr>
          <w:rFonts w:ascii="Arial" w:hAnsi="Arial" w:cs="Arial"/>
          <w:sz w:val="22"/>
          <w:szCs w:val="22"/>
          <w:lang w:val="en-US"/>
        </w:rPr>
        <w:t>Increase in the requirements when accessing to the anticipated and partial retirement:</w:t>
      </w:r>
    </w:p>
    <w:p w:rsidR="001D47A6" w:rsidRPr="007C557B" w:rsidRDefault="001D47A6" w:rsidP="00571B02">
      <w:pPr>
        <w:pStyle w:val="ListParagraph"/>
        <w:jc w:val="both"/>
        <w:rPr>
          <w:rFonts w:ascii="Arial" w:hAnsi="Arial" w:cs="Arial"/>
          <w:b/>
          <w:lang w:val="en-US"/>
        </w:rPr>
      </w:pPr>
    </w:p>
    <w:p w:rsidR="001D47A6"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The amount of the benefit is reduced due to the rise of the corrective coefficients when accessing to the anticipated retirement</w:t>
      </w:r>
      <w:r w:rsidR="00481DC2">
        <w:rPr>
          <w:rFonts w:ascii="Arial" w:hAnsi="Arial" w:cs="Arial"/>
          <w:sz w:val="22"/>
          <w:szCs w:val="22"/>
          <w:lang w:val="en-US"/>
        </w:rPr>
        <w:t>.</w:t>
      </w:r>
    </w:p>
    <w:p w:rsidR="00481DC2" w:rsidRPr="007C557B" w:rsidRDefault="00481DC2" w:rsidP="00481DC2">
      <w:pPr>
        <w:pStyle w:val="ListParagraph"/>
        <w:ind w:left="1440"/>
        <w:jc w:val="both"/>
        <w:rPr>
          <w:rFonts w:ascii="Arial" w:hAnsi="Arial" w:cs="Arial"/>
          <w:sz w:val="22"/>
          <w:szCs w:val="22"/>
          <w:lang w:val="en-US"/>
        </w:rPr>
      </w:pPr>
    </w:p>
    <w:p w:rsidR="001D47A6" w:rsidRPr="007C557B"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More contributed years required. When the retirement is not voluntary, 33 years will be required; when the anticipated retirement is due to the willing of the worker, 35 contributed years are required.</w:t>
      </w:r>
    </w:p>
    <w:p w:rsidR="001D47A6" w:rsidRPr="007C557B" w:rsidRDefault="001D47A6" w:rsidP="00571B02">
      <w:pPr>
        <w:pStyle w:val="ListParagraph"/>
        <w:ind w:left="1440"/>
        <w:jc w:val="both"/>
        <w:rPr>
          <w:rFonts w:ascii="Arial" w:hAnsi="Arial" w:cs="Arial"/>
          <w:sz w:val="22"/>
          <w:szCs w:val="22"/>
          <w:lang w:val="en-US"/>
        </w:rPr>
      </w:pPr>
    </w:p>
    <w:p w:rsidR="001D47A6"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The age to anticipate retirement is increased, setting a maximum of 4 years of anticipation when non voluntary cease of job and 2 years when the cease of job is voluntary.</w:t>
      </w:r>
    </w:p>
    <w:p w:rsidR="00481DC2" w:rsidRPr="00481DC2" w:rsidRDefault="00481DC2" w:rsidP="00481DC2">
      <w:pPr>
        <w:pStyle w:val="ListParagraph"/>
        <w:rPr>
          <w:rFonts w:ascii="Arial" w:hAnsi="Arial" w:cs="Arial"/>
          <w:sz w:val="22"/>
          <w:szCs w:val="22"/>
          <w:lang w:val="en-US"/>
        </w:rPr>
      </w:pPr>
    </w:p>
    <w:p w:rsidR="00481DC2" w:rsidRPr="007C557B" w:rsidRDefault="00481DC2" w:rsidP="00481DC2">
      <w:pPr>
        <w:pStyle w:val="ListParagraph"/>
        <w:ind w:left="1440"/>
        <w:jc w:val="both"/>
        <w:rPr>
          <w:rFonts w:ascii="Arial" w:hAnsi="Arial" w:cs="Arial"/>
          <w:sz w:val="22"/>
          <w:szCs w:val="22"/>
          <w:lang w:val="en-US"/>
        </w:rPr>
      </w:pPr>
    </w:p>
    <w:p w:rsidR="001D47A6" w:rsidRPr="007C557B" w:rsidRDefault="001D47A6" w:rsidP="00571B02">
      <w:pPr>
        <w:pStyle w:val="ListParagraph"/>
        <w:numPr>
          <w:ilvl w:val="0"/>
          <w:numId w:val="16"/>
        </w:numPr>
        <w:jc w:val="both"/>
        <w:rPr>
          <w:rFonts w:ascii="Arial" w:hAnsi="Arial" w:cs="Arial"/>
          <w:sz w:val="22"/>
          <w:szCs w:val="22"/>
          <w:lang w:val="en-US"/>
        </w:rPr>
      </w:pPr>
      <w:r w:rsidRPr="007C557B">
        <w:rPr>
          <w:rFonts w:ascii="Arial" w:hAnsi="Arial" w:cs="Arial"/>
          <w:sz w:val="22"/>
          <w:szCs w:val="22"/>
          <w:lang w:val="en-US"/>
        </w:rPr>
        <w:t>In addition, the Royal Decree Law 5/2013 searches (Royal Decree Law in order to favor the continuity of the working life of old workers and promote the active aging) for the way to increase the continuity at work of older workers as well as to promote active aging by establishing a bunch of actions in order to favor the continuity of older worker in the labor market, has also adopted the following measures :</w:t>
      </w:r>
    </w:p>
    <w:p w:rsidR="001D47A6" w:rsidRPr="007C557B" w:rsidRDefault="001D47A6" w:rsidP="00571B02">
      <w:pPr>
        <w:pStyle w:val="ListParagraph"/>
        <w:jc w:val="both"/>
        <w:rPr>
          <w:rFonts w:ascii="Arial" w:hAnsi="Arial" w:cs="Arial"/>
          <w:sz w:val="22"/>
          <w:szCs w:val="22"/>
          <w:lang w:val="en-US"/>
        </w:rPr>
      </w:pPr>
    </w:p>
    <w:p w:rsidR="001D47A6" w:rsidRPr="007C557B"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Compatibility or work and pension, required legal retirement age and the maximum number of years of contributions. The amount of the retirement pension compatible with work will be 50% of the equivalent amount. The entrepreneur and the worker will just contribute for temporary disability, professional contingences and a solidarity special contribution of the 8%. Enterprises with retired workers must maintain the number of jobs</w:t>
      </w:r>
    </w:p>
    <w:p w:rsidR="001D47A6" w:rsidRPr="007C557B" w:rsidRDefault="001D47A6" w:rsidP="00571B02">
      <w:pPr>
        <w:pStyle w:val="ListParagraph"/>
        <w:ind w:left="1440"/>
        <w:jc w:val="both"/>
        <w:rPr>
          <w:rFonts w:ascii="Arial" w:hAnsi="Arial" w:cs="Arial"/>
          <w:sz w:val="22"/>
          <w:szCs w:val="22"/>
          <w:lang w:val="en-US"/>
        </w:rPr>
      </w:pPr>
    </w:p>
    <w:p w:rsidR="001D47A6" w:rsidRPr="007C557B"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Additional measures are adopted in order to avoid discrimination of older workers when large scale redundancies are made underlining the fact that an economical contribution to the State must be done when the redundancy affects to worker with over fifty years and the enterprise has benefits. The economical amount to be deposit will include part of the unemployment benefits and contributions to the Social Security.</w:t>
      </w:r>
    </w:p>
    <w:p w:rsidR="001D47A6" w:rsidRPr="007C557B" w:rsidRDefault="001D47A6" w:rsidP="00571B02">
      <w:pPr>
        <w:pStyle w:val="ListParagraph"/>
        <w:ind w:left="1440"/>
        <w:jc w:val="both"/>
        <w:rPr>
          <w:rFonts w:ascii="Arial" w:hAnsi="Arial" w:cs="Arial"/>
          <w:sz w:val="22"/>
          <w:szCs w:val="22"/>
          <w:lang w:val="en-US"/>
        </w:rPr>
      </w:pPr>
    </w:p>
    <w:p w:rsidR="001D47A6" w:rsidRPr="007C557B" w:rsidRDefault="001D47A6" w:rsidP="00571B02">
      <w:pPr>
        <w:pStyle w:val="ListParagraph"/>
        <w:numPr>
          <w:ilvl w:val="1"/>
          <w:numId w:val="16"/>
        </w:numPr>
        <w:jc w:val="both"/>
        <w:rPr>
          <w:rFonts w:ascii="Arial" w:hAnsi="Arial" w:cs="Arial"/>
          <w:sz w:val="22"/>
          <w:szCs w:val="22"/>
          <w:lang w:val="en-US"/>
        </w:rPr>
      </w:pPr>
      <w:r w:rsidRPr="007C557B">
        <w:rPr>
          <w:rFonts w:ascii="Arial" w:hAnsi="Arial" w:cs="Arial"/>
          <w:sz w:val="22"/>
          <w:szCs w:val="22"/>
          <w:lang w:val="en-US"/>
        </w:rPr>
        <w:t>Additionally, the law 27/2011, and in order to guaranteed the permanence of old workers in the labor market establishes that, whenever accessing to the retirement pension at a higher age than the legally required, and whenever all the required contributions have been made, the retirement benefit will be increased by an additional percentage for every additional year contributed. The increasing percentages will sum the following values: 2% for every additional contributed year (for contribution periods up to 25 years), 2,75% (for contribution periods between 25 and 37 years), 4% (over 37 years of contribution), with the limit of the maximum amount of contribution.</w:t>
      </w:r>
    </w:p>
    <w:p w:rsidR="001D47A6" w:rsidRPr="007C557B" w:rsidRDefault="001D47A6" w:rsidP="00571B02">
      <w:pPr>
        <w:jc w:val="both"/>
        <w:rPr>
          <w:rFonts w:ascii="Arial" w:hAnsi="Arial" w:cs="Arial"/>
          <w:sz w:val="22"/>
          <w:szCs w:val="22"/>
          <w:lang w:val="en-US"/>
        </w:rPr>
      </w:pPr>
    </w:p>
    <w:p w:rsidR="00AB4BB6" w:rsidRDefault="00D12DFE" w:rsidP="00571B02">
      <w:pPr>
        <w:jc w:val="both"/>
        <w:rPr>
          <w:rFonts w:ascii="Arial" w:hAnsi="Arial" w:cs="Arial"/>
          <w:sz w:val="22"/>
          <w:szCs w:val="22"/>
          <w:lang w:val="en-US"/>
        </w:rPr>
      </w:pPr>
      <w:r w:rsidRPr="007C557B">
        <w:rPr>
          <w:rFonts w:ascii="Arial" w:hAnsi="Arial" w:cs="Arial"/>
          <w:sz w:val="22"/>
          <w:szCs w:val="22"/>
          <w:lang w:val="en-US"/>
        </w:rPr>
        <w:t>In addition to</w:t>
      </w:r>
      <w:r w:rsidR="00E32282" w:rsidRPr="007C557B">
        <w:rPr>
          <w:rFonts w:ascii="Arial" w:hAnsi="Arial" w:cs="Arial"/>
          <w:sz w:val="22"/>
          <w:szCs w:val="22"/>
          <w:lang w:val="en-US"/>
        </w:rPr>
        <w:t xml:space="preserve"> these measures, there are two important reductions in the social security contributions</w:t>
      </w:r>
      <w:r w:rsidR="00EA52D3" w:rsidRPr="007C557B">
        <w:rPr>
          <w:rFonts w:ascii="Arial" w:hAnsi="Arial" w:cs="Arial"/>
          <w:sz w:val="22"/>
          <w:szCs w:val="22"/>
          <w:lang w:val="en-US"/>
        </w:rPr>
        <w:t xml:space="preserve"> intended to promote the creation of new </w:t>
      </w:r>
      <w:r w:rsidRPr="007C557B">
        <w:rPr>
          <w:rFonts w:ascii="Arial" w:hAnsi="Arial" w:cs="Arial"/>
          <w:sz w:val="22"/>
          <w:szCs w:val="22"/>
          <w:lang w:val="en-US"/>
        </w:rPr>
        <w:t xml:space="preserve">Jobs that should be </w:t>
      </w:r>
      <w:r w:rsidR="00B83874" w:rsidRPr="007C557B">
        <w:rPr>
          <w:rFonts w:ascii="Arial" w:hAnsi="Arial" w:cs="Arial"/>
          <w:sz w:val="22"/>
          <w:szCs w:val="22"/>
          <w:lang w:val="en-US"/>
        </w:rPr>
        <w:t>highlighted</w:t>
      </w:r>
      <w:r w:rsidR="00EA52D3" w:rsidRPr="007C557B">
        <w:rPr>
          <w:rFonts w:ascii="Arial" w:hAnsi="Arial" w:cs="Arial"/>
          <w:sz w:val="22"/>
          <w:szCs w:val="22"/>
          <w:lang w:val="en-US"/>
        </w:rPr>
        <w:t>:</w:t>
      </w:r>
    </w:p>
    <w:p w:rsidR="00B83874" w:rsidRDefault="00B83874" w:rsidP="00571B02">
      <w:pPr>
        <w:jc w:val="both"/>
        <w:rPr>
          <w:rFonts w:ascii="Arial" w:hAnsi="Arial" w:cs="Arial"/>
          <w:sz w:val="22"/>
          <w:szCs w:val="22"/>
          <w:lang w:val="en-US"/>
        </w:rPr>
      </w:pPr>
    </w:p>
    <w:p w:rsidR="00B83874" w:rsidRDefault="00B83874" w:rsidP="00571B02">
      <w:pPr>
        <w:jc w:val="both"/>
        <w:rPr>
          <w:rFonts w:ascii="Arial" w:hAnsi="Arial" w:cs="Arial"/>
          <w:sz w:val="22"/>
          <w:szCs w:val="22"/>
          <w:lang w:val="en-US"/>
        </w:rPr>
      </w:pPr>
    </w:p>
    <w:p w:rsidR="00B83874" w:rsidRDefault="00B83874" w:rsidP="00571B02">
      <w:pPr>
        <w:jc w:val="both"/>
        <w:rPr>
          <w:rFonts w:ascii="Arial" w:hAnsi="Arial" w:cs="Arial"/>
          <w:sz w:val="22"/>
          <w:szCs w:val="22"/>
          <w:lang w:val="en-US"/>
        </w:rPr>
      </w:pPr>
    </w:p>
    <w:p w:rsidR="00B83874" w:rsidRPr="007C557B" w:rsidRDefault="00B83874" w:rsidP="00571B02">
      <w:pPr>
        <w:jc w:val="both"/>
        <w:rPr>
          <w:rFonts w:ascii="Arial" w:hAnsi="Arial" w:cs="Arial"/>
          <w:sz w:val="22"/>
          <w:szCs w:val="22"/>
          <w:lang w:val="en-US"/>
        </w:rPr>
      </w:pPr>
    </w:p>
    <w:p w:rsidR="00EA52D3" w:rsidRPr="007C557B" w:rsidRDefault="00EA52D3" w:rsidP="00571B02">
      <w:pPr>
        <w:jc w:val="both"/>
        <w:rPr>
          <w:rFonts w:ascii="Arial" w:hAnsi="Arial" w:cs="Arial"/>
          <w:sz w:val="22"/>
          <w:szCs w:val="22"/>
          <w:lang w:val="en-US"/>
        </w:rPr>
      </w:pPr>
    </w:p>
    <w:p w:rsidR="00EA52D3" w:rsidRDefault="00EA52D3" w:rsidP="00571B02">
      <w:pPr>
        <w:pStyle w:val="ListParagraph"/>
        <w:numPr>
          <w:ilvl w:val="0"/>
          <w:numId w:val="17"/>
        </w:numPr>
        <w:jc w:val="both"/>
        <w:rPr>
          <w:rFonts w:ascii="Arial" w:hAnsi="Arial" w:cs="Arial"/>
          <w:sz w:val="22"/>
          <w:szCs w:val="22"/>
          <w:u w:val="single"/>
          <w:lang w:val="en-US"/>
        </w:rPr>
      </w:pPr>
      <w:r w:rsidRPr="007C557B">
        <w:rPr>
          <w:rFonts w:ascii="Arial" w:hAnsi="Arial" w:cs="Arial"/>
          <w:sz w:val="22"/>
          <w:szCs w:val="22"/>
          <w:u w:val="single"/>
          <w:lang w:val="en-US"/>
        </w:rPr>
        <w:lastRenderedPageBreak/>
        <w:t>The flat rate for self-employed</w:t>
      </w:r>
    </w:p>
    <w:p w:rsidR="00B83874" w:rsidRPr="007C557B" w:rsidRDefault="00B83874" w:rsidP="00B83874">
      <w:pPr>
        <w:pStyle w:val="ListParagraph"/>
        <w:jc w:val="both"/>
        <w:rPr>
          <w:rFonts w:ascii="Arial" w:hAnsi="Arial" w:cs="Arial"/>
          <w:sz w:val="22"/>
          <w:szCs w:val="22"/>
          <w:u w:val="single"/>
          <w:lang w:val="en-US"/>
        </w:rPr>
      </w:pPr>
    </w:p>
    <w:p w:rsidR="00EA52D3" w:rsidRDefault="00EA52D3" w:rsidP="00571B02">
      <w:pPr>
        <w:jc w:val="both"/>
        <w:rPr>
          <w:rFonts w:ascii="Arial" w:hAnsi="Arial" w:cs="Arial"/>
          <w:sz w:val="22"/>
          <w:szCs w:val="22"/>
          <w:lang w:val="en-US"/>
        </w:rPr>
      </w:pPr>
      <w:r w:rsidRPr="007C557B">
        <w:rPr>
          <w:rFonts w:ascii="Arial" w:hAnsi="Arial" w:cs="Arial"/>
          <w:sz w:val="22"/>
          <w:szCs w:val="22"/>
          <w:lang w:val="en-US"/>
        </w:rPr>
        <w:t>The flat rate for self-employed is a measure approved in 2013 to promote self-employment which involves paying a monthly reduced fee to Social Security. This has helped many new freelancers to take its first steps.</w:t>
      </w:r>
    </w:p>
    <w:p w:rsidR="00B83874" w:rsidRPr="007C557B" w:rsidRDefault="00B83874" w:rsidP="00571B02">
      <w:pPr>
        <w:jc w:val="both"/>
        <w:rPr>
          <w:rFonts w:ascii="Arial" w:hAnsi="Arial" w:cs="Arial"/>
          <w:sz w:val="22"/>
          <w:szCs w:val="22"/>
          <w:lang w:val="en-US"/>
        </w:rPr>
      </w:pPr>
    </w:p>
    <w:p w:rsidR="00EA52D3" w:rsidRDefault="00EA52D3" w:rsidP="00571B02">
      <w:pPr>
        <w:jc w:val="both"/>
        <w:rPr>
          <w:rFonts w:ascii="Arial" w:hAnsi="Arial" w:cs="Arial"/>
          <w:sz w:val="22"/>
          <w:szCs w:val="22"/>
          <w:lang w:val="en-US"/>
        </w:rPr>
      </w:pPr>
      <w:r w:rsidRPr="007C557B">
        <w:rPr>
          <w:rFonts w:ascii="Arial" w:hAnsi="Arial" w:cs="Arial"/>
          <w:sz w:val="22"/>
          <w:szCs w:val="22"/>
          <w:lang w:val="en-US"/>
        </w:rPr>
        <w:t xml:space="preserve">The flat rate for self-employed is a monthly payment of 50 </w:t>
      </w:r>
      <w:r w:rsidR="00047843" w:rsidRPr="007C557B">
        <w:rPr>
          <w:rFonts w:ascii="Arial" w:hAnsi="Arial" w:cs="Arial"/>
          <w:sz w:val="22"/>
          <w:szCs w:val="22"/>
          <w:lang w:val="en-US"/>
        </w:rPr>
        <w:t>Euros</w:t>
      </w:r>
      <w:r w:rsidRPr="007C557B">
        <w:rPr>
          <w:rFonts w:ascii="Arial" w:hAnsi="Arial" w:cs="Arial"/>
          <w:sz w:val="22"/>
          <w:szCs w:val="22"/>
          <w:lang w:val="en-US"/>
        </w:rPr>
        <w:t xml:space="preserve"> to Social Security instead of €267.03 which constitute the minimum monthly fee in 2016. It has been wi</w:t>
      </w:r>
      <w:r w:rsidR="00B83874">
        <w:rPr>
          <w:rFonts w:ascii="Arial" w:hAnsi="Arial" w:cs="Arial"/>
          <w:sz w:val="22"/>
          <w:szCs w:val="22"/>
          <w:lang w:val="en-US"/>
        </w:rPr>
        <w:t>dely accepted, since more than 9</w:t>
      </w:r>
      <w:r w:rsidRPr="007C557B">
        <w:rPr>
          <w:rFonts w:ascii="Arial" w:hAnsi="Arial" w:cs="Arial"/>
          <w:sz w:val="22"/>
          <w:szCs w:val="22"/>
          <w:lang w:val="en-US"/>
        </w:rPr>
        <w:t>00,000 new autonomous had benefited from the flat rate in two years, which means that is a considerable support on self-employment and new entrepreneurs.</w:t>
      </w:r>
    </w:p>
    <w:p w:rsidR="00047843" w:rsidRPr="007C557B" w:rsidRDefault="00047843" w:rsidP="00571B02">
      <w:pPr>
        <w:jc w:val="both"/>
        <w:rPr>
          <w:rFonts w:ascii="Arial" w:hAnsi="Arial" w:cs="Arial"/>
          <w:sz w:val="22"/>
          <w:szCs w:val="22"/>
          <w:lang w:val="en-US"/>
        </w:rPr>
      </w:pPr>
    </w:p>
    <w:p w:rsidR="00EA52D3" w:rsidRPr="007C557B" w:rsidRDefault="00EA52D3" w:rsidP="00571B02">
      <w:pPr>
        <w:jc w:val="both"/>
        <w:rPr>
          <w:rFonts w:ascii="Arial" w:hAnsi="Arial" w:cs="Arial"/>
          <w:sz w:val="22"/>
          <w:szCs w:val="22"/>
          <w:lang w:val="en-US"/>
        </w:rPr>
      </w:pPr>
      <w:r w:rsidRPr="007C557B">
        <w:rPr>
          <w:rFonts w:ascii="Arial" w:hAnsi="Arial" w:cs="Arial"/>
          <w:sz w:val="22"/>
          <w:szCs w:val="22"/>
          <w:lang w:val="en-US"/>
        </w:rPr>
        <w:t xml:space="preserve">It was initially approved only for people </w:t>
      </w:r>
      <w:proofErr w:type="gramStart"/>
      <w:r w:rsidRPr="007C557B">
        <w:rPr>
          <w:rFonts w:ascii="Arial" w:hAnsi="Arial" w:cs="Arial"/>
          <w:sz w:val="22"/>
          <w:szCs w:val="22"/>
          <w:lang w:val="en-US"/>
        </w:rPr>
        <w:t>under</w:t>
      </w:r>
      <w:proofErr w:type="gramEnd"/>
      <w:r w:rsidRPr="007C557B">
        <w:rPr>
          <w:rFonts w:ascii="Arial" w:hAnsi="Arial" w:cs="Arial"/>
          <w:sz w:val="22"/>
          <w:szCs w:val="22"/>
          <w:lang w:val="en-US"/>
        </w:rPr>
        <w:t xml:space="preserve"> 30 years but the government extended its application to all new autonomous, regardless of age in August 2013.</w:t>
      </w:r>
    </w:p>
    <w:p w:rsidR="00EA52D3" w:rsidRPr="007C557B" w:rsidRDefault="00EA52D3" w:rsidP="00571B02">
      <w:pPr>
        <w:jc w:val="both"/>
        <w:rPr>
          <w:rFonts w:ascii="Arial" w:hAnsi="Arial" w:cs="Arial"/>
          <w:sz w:val="22"/>
          <w:szCs w:val="22"/>
          <w:lang w:val="en-US"/>
        </w:rPr>
      </w:pPr>
    </w:p>
    <w:p w:rsidR="00EA52D3" w:rsidRPr="007C557B" w:rsidRDefault="00EA52D3" w:rsidP="00571B02">
      <w:pPr>
        <w:pStyle w:val="ListParagraph"/>
        <w:numPr>
          <w:ilvl w:val="0"/>
          <w:numId w:val="17"/>
        </w:numPr>
        <w:jc w:val="both"/>
        <w:rPr>
          <w:rFonts w:ascii="Arial" w:hAnsi="Arial" w:cs="Arial"/>
          <w:sz w:val="22"/>
          <w:szCs w:val="22"/>
          <w:u w:val="single"/>
          <w:lang w:val="en-US"/>
        </w:rPr>
      </w:pPr>
      <w:r w:rsidRPr="007C557B">
        <w:rPr>
          <w:rFonts w:ascii="Arial" w:hAnsi="Arial" w:cs="Arial"/>
          <w:sz w:val="22"/>
          <w:szCs w:val="22"/>
          <w:u w:val="single"/>
          <w:lang w:val="en-US"/>
        </w:rPr>
        <w:t xml:space="preserve">Exemption for full time indefinite contracts </w:t>
      </w:r>
    </w:p>
    <w:p w:rsidR="00EA52D3" w:rsidRPr="007C557B" w:rsidRDefault="00EA52D3" w:rsidP="00571B02">
      <w:pPr>
        <w:jc w:val="both"/>
        <w:rPr>
          <w:rFonts w:ascii="Arial" w:hAnsi="Arial" w:cs="Arial"/>
          <w:sz w:val="22"/>
          <w:szCs w:val="22"/>
          <w:lang w:val="en-US"/>
        </w:rPr>
      </w:pPr>
    </w:p>
    <w:p w:rsidR="00EA52D3" w:rsidRPr="007C557B" w:rsidRDefault="00EA52D3" w:rsidP="00571B02">
      <w:pPr>
        <w:jc w:val="both"/>
        <w:rPr>
          <w:rFonts w:ascii="Arial" w:hAnsi="Arial" w:cs="Arial"/>
          <w:sz w:val="22"/>
          <w:szCs w:val="22"/>
          <w:lang w:val="en-US"/>
        </w:rPr>
      </w:pPr>
      <w:r w:rsidRPr="007C557B">
        <w:rPr>
          <w:rFonts w:ascii="Arial" w:hAnsi="Arial" w:cs="Arial"/>
          <w:sz w:val="22"/>
          <w:szCs w:val="22"/>
          <w:lang w:val="en-US"/>
        </w:rPr>
        <w:t>In 2016, the general employer contribution is 2</w:t>
      </w:r>
      <w:r w:rsidR="00325E38">
        <w:rPr>
          <w:rFonts w:ascii="Arial" w:hAnsi="Arial" w:cs="Arial"/>
          <w:sz w:val="22"/>
          <w:szCs w:val="22"/>
          <w:lang w:val="en-US"/>
        </w:rPr>
        <w:t>3</w:t>
      </w:r>
      <w:r w:rsidRPr="007C557B">
        <w:rPr>
          <w:rFonts w:ascii="Arial" w:hAnsi="Arial" w:cs="Arial"/>
          <w:sz w:val="22"/>
          <w:szCs w:val="22"/>
          <w:lang w:val="en-US"/>
        </w:rPr>
        <w:t>.</w:t>
      </w:r>
      <w:r w:rsidR="00325E38">
        <w:rPr>
          <w:rFonts w:ascii="Arial" w:hAnsi="Arial" w:cs="Arial"/>
          <w:sz w:val="22"/>
          <w:szCs w:val="22"/>
          <w:lang w:val="en-US"/>
        </w:rPr>
        <w:t>6</w:t>
      </w:r>
      <w:r w:rsidRPr="007C557B">
        <w:rPr>
          <w:rFonts w:ascii="Arial" w:hAnsi="Arial" w:cs="Arial"/>
          <w:sz w:val="22"/>
          <w:szCs w:val="22"/>
          <w:lang w:val="en-US"/>
        </w:rPr>
        <w:t xml:space="preserve">% for general contingencies, while the employee contribution is </w:t>
      </w:r>
      <w:r w:rsidR="00325E38">
        <w:rPr>
          <w:rFonts w:ascii="Arial" w:hAnsi="Arial" w:cs="Arial"/>
          <w:sz w:val="22"/>
          <w:szCs w:val="22"/>
          <w:lang w:val="en-US"/>
        </w:rPr>
        <w:t>4</w:t>
      </w:r>
      <w:r w:rsidRPr="007C557B">
        <w:rPr>
          <w:rFonts w:ascii="Arial" w:hAnsi="Arial" w:cs="Arial"/>
          <w:sz w:val="22"/>
          <w:szCs w:val="22"/>
          <w:lang w:val="en-US"/>
        </w:rPr>
        <w:t>.</w:t>
      </w:r>
      <w:r w:rsidR="00325E38">
        <w:rPr>
          <w:rFonts w:ascii="Arial" w:hAnsi="Arial" w:cs="Arial"/>
          <w:sz w:val="22"/>
          <w:szCs w:val="22"/>
          <w:lang w:val="en-US"/>
        </w:rPr>
        <w:t>7</w:t>
      </w:r>
      <w:r w:rsidRPr="007C557B">
        <w:rPr>
          <w:rFonts w:ascii="Arial" w:hAnsi="Arial" w:cs="Arial"/>
          <w:sz w:val="22"/>
          <w:szCs w:val="22"/>
          <w:lang w:val="en-US"/>
        </w:rPr>
        <w:t>%. These rates are applied to certain minimum and maximum contribution bases (depending on the worker's occupation category), with the maximum contribution base being €3,6</w:t>
      </w:r>
      <w:r w:rsidR="00325E38">
        <w:rPr>
          <w:rFonts w:ascii="Arial" w:hAnsi="Arial" w:cs="Arial"/>
          <w:sz w:val="22"/>
          <w:szCs w:val="22"/>
          <w:lang w:val="en-US"/>
        </w:rPr>
        <w:t>42</w:t>
      </w:r>
      <w:r w:rsidRPr="007C557B">
        <w:rPr>
          <w:rFonts w:ascii="Arial" w:hAnsi="Arial" w:cs="Arial"/>
          <w:sz w:val="22"/>
          <w:szCs w:val="22"/>
          <w:lang w:val="en-US"/>
        </w:rPr>
        <w:t>.</w:t>
      </w:r>
    </w:p>
    <w:p w:rsidR="00EA52D3" w:rsidRPr="007C557B" w:rsidRDefault="00EA52D3" w:rsidP="00571B02">
      <w:pPr>
        <w:jc w:val="both"/>
        <w:rPr>
          <w:rFonts w:ascii="Arial" w:hAnsi="Arial" w:cs="Arial"/>
          <w:sz w:val="22"/>
          <w:szCs w:val="22"/>
          <w:lang w:val="en-US"/>
        </w:rPr>
      </w:pPr>
    </w:p>
    <w:p w:rsidR="00EA52D3" w:rsidRPr="007C557B" w:rsidRDefault="00EA52D3" w:rsidP="00571B02">
      <w:pPr>
        <w:jc w:val="both"/>
        <w:rPr>
          <w:rFonts w:ascii="Arial" w:hAnsi="Arial" w:cs="Arial"/>
          <w:sz w:val="22"/>
          <w:szCs w:val="22"/>
          <w:highlight w:val="yellow"/>
          <w:lang w:val="en-US"/>
        </w:rPr>
      </w:pPr>
      <w:r w:rsidRPr="007C557B">
        <w:rPr>
          <w:rFonts w:ascii="Arial" w:hAnsi="Arial" w:cs="Arial"/>
          <w:sz w:val="22"/>
          <w:szCs w:val="22"/>
          <w:lang w:val="en-US"/>
        </w:rPr>
        <w:t>There is a €500 exemption of the company’s social security contributions regarding the general contingencies base per month for full time indefinite contracts signed between March 1, 2015 and August 31, 2016. This exemption is applicable if the specific requirements are met (among others, when hiring indefinite employees increases the indefinite employment level as well as the general employment level in the company) and during a limited timeframe.</w:t>
      </w:r>
    </w:p>
    <w:p w:rsidR="00EA52D3" w:rsidRPr="007C557B" w:rsidRDefault="00EA52D3" w:rsidP="00571B02">
      <w:pPr>
        <w:jc w:val="both"/>
        <w:rPr>
          <w:rFonts w:ascii="Arial" w:hAnsi="Arial" w:cs="Arial"/>
          <w:sz w:val="22"/>
          <w:szCs w:val="22"/>
          <w:highlight w:val="yellow"/>
          <w:lang w:val="en-US"/>
        </w:rPr>
      </w:pPr>
    </w:p>
    <w:p w:rsidR="00EA52D3" w:rsidRPr="007C557B" w:rsidRDefault="00EA52D3" w:rsidP="00571B02">
      <w:pPr>
        <w:jc w:val="both"/>
        <w:rPr>
          <w:rFonts w:ascii="Arial" w:hAnsi="Arial" w:cs="Arial"/>
          <w:sz w:val="22"/>
          <w:szCs w:val="22"/>
          <w:highlight w:val="yellow"/>
          <w:lang w:val="en-US"/>
        </w:rPr>
      </w:pPr>
    </w:p>
    <w:p w:rsidR="002C2607" w:rsidRPr="007C557B" w:rsidRDefault="002C2607" w:rsidP="00571B02">
      <w:pPr>
        <w:spacing w:line="276" w:lineRule="auto"/>
        <w:jc w:val="both"/>
        <w:rPr>
          <w:rFonts w:ascii="Arial" w:hAnsi="Arial" w:cs="Arial"/>
          <w:b/>
          <w:lang w:val="en-US"/>
        </w:rPr>
      </w:pPr>
      <w:r w:rsidRPr="007C557B">
        <w:rPr>
          <w:rFonts w:ascii="Arial" w:hAnsi="Arial" w:cs="Arial"/>
          <w:b/>
          <w:lang w:val="en-US"/>
        </w:rPr>
        <w:t>3.2 UNIVERSAL COVERAGE</w:t>
      </w:r>
    </w:p>
    <w:p w:rsidR="00700906" w:rsidRPr="007C557B" w:rsidRDefault="00700906" w:rsidP="00571B02">
      <w:pPr>
        <w:jc w:val="both"/>
        <w:rPr>
          <w:rFonts w:ascii="Arial" w:hAnsi="Arial" w:cs="Arial"/>
          <w:sz w:val="22"/>
          <w:szCs w:val="22"/>
          <w:lang w:val="en-US"/>
        </w:rPr>
      </w:pPr>
    </w:p>
    <w:p w:rsidR="001E0FBD" w:rsidRPr="007C557B" w:rsidRDefault="002C2607" w:rsidP="00571B02">
      <w:pPr>
        <w:jc w:val="both"/>
        <w:rPr>
          <w:rFonts w:ascii="Arial" w:hAnsi="Arial" w:cs="Arial"/>
          <w:sz w:val="22"/>
          <w:szCs w:val="22"/>
          <w:lang w:val="en-US"/>
        </w:rPr>
      </w:pPr>
      <w:r w:rsidRPr="007C557B">
        <w:rPr>
          <w:rFonts w:ascii="Arial" w:hAnsi="Arial" w:cs="Arial"/>
          <w:sz w:val="22"/>
          <w:szCs w:val="22"/>
          <w:lang w:val="en-US"/>
        </w:rPr>
        <w:t>Des</w:t>
      </w:r>
      <w:r w:rsidR="001E0FBD" w:rsidRPr="007C557B">
        <w:rPr>
          <w:rFonts w:ascii="Arial" w:hAnsi="Arial" w:cs="Arial"/>
          <w:sz w:val="22"/>
          <w:szCs w:val="22"/>
          <w:lang w:val="en-US"/>
        </w:rPr>
        <w:t>p</w:t>
      </w:r>
      <w:r w:rsidRPr="007C557B">
        <w:rPr>
          <w:rFonts w:ascii="Arial" w:hAnsi="Arial" w:cs="Arial"/>
          <w:sz w:val="22"/>
          <w:szCs w:val="22"/>
          <w:lang w:val="en-US"/>
        </w:rPr>
        <w:t xml:space="preserve">ite its Bismarckian fundamental features, the </w:t>
      </w:r>
      <w:r w:rsidR="00700906" w:rsidRPr="007C557B">
        <w:rPr>
          <w:rFonts w:ascii="Arial" w:hAnsi="Arial" w:cs="Arial"/>
          <w:sz w:val="22"/>
          <w:szCs w:val="22"/>
          <w:lang w:val="en-US"/>
        </w:rPr>
        <w:t>Spanish</w:t>
      </w:r>
      <w:r w:rsidRPr="007C557B">
        <w:rPr>
          <w:rFonts w:ascii="Arial" w:hAnsi="Arial" w:cs="Arial"/>
          <w:sz w:val="22"/>
          <w:szCs w:val="22"/>
          <w:lang w:val="en-US"/>
        </w:rPr>
        <w:t xml:space="preserve"> social security system also embodies characteristics of universal social protection</w:t>
      </w:r>
      <w:r w:rsidR="00BA1B8C" w:rsidRPr="007C557B">
        <w:rPr>
          <w:rFonts w:ascii="Arial" w:hAnsi="Arial" w:cs="Arial"/>
          <w:sz w:val="22"/>
          <w:szCs w:val="22"/>
          <w:lang w:val="en-US"/>
        </w:rPr>
        <w:t>, mainly through two systems:</w:t>
      </w:r>
    </w:p>
    <w:p w:rsidR="00700906" w:rsidRPr="007C557B" w:rsidRDefault="00700906" w:rsidP="00571B02">
      <w:pPr>
        <w:jc w:val="both"/>
        <w:rPr>
          <w:rFonts w:ascii="Arial" w:hAnsi="Arial" w:cs="Arial"/>
          <w:sz w:val="22"/>
          <w:szCs w:val="22"/>
          <w:lang w:val="en-US"/>
        </w:rPr>
      </w:pPr>
    </w:p>
    <w:p w:rsidR="00BA1B8C" w:rsidRPr="007C557B" w:rsidRDefault="001377BC" w:rsidP="00571B02">
      <w:pPr>
        <w:pStyle w:val="ListParagraph"/>
        <w:numPr>
          <w:ilvl w:val="0"/>
          <w:numId w:val="19"/>
        </w:numPr>
        <w:jc w:val="both"/>
        <w:rPr>
          <w:rFonts w:ascii="Arial" w:hAnsi="Arial" w:cs="Arial"/>
          <w:sz w:val="22"/>
          <w:szCs w:val="22"/>
          <w:lang w:val="en-US"/>
        </w:rPr>
      </w:pPr>
      <w:r>
        <w:rPr>
          <w:rFonts w:ascii="Arial" w:hAnsi="Arial" w:cs="Arial"/>
          <w:sz w:val="22"/>
          <w:szCs w:val="22"/>
          <w:lang w:val="en-US"/>
        </w:rPr>
        <w:t xml:space="preserve">Non-contributory pensions, </w:t>
      </w:r>
      <w:r w:rsidRPr="007C557B">
        <w:rPr>
          <w:rFonts w:ascii="Arial" w:hAnsi="Arial" w:cs="Arial"/>
          <w:sz w:val="22"/>
          <w:szCs w:val="22"/>
          <w:lang w:val="en-US"/>
        </w:rPr>
        <w:t>there</w:t>
      </w:r>
      <w:r w:rsidR="00BA1B8C" w:rsidRPr="007C557B">
        <w:rPr>
          <w:rFonts w:ascii="Arial" w:hAnsi="Arial" w:cs="Arial"/>
          <w:sz w:val="22"/>
          <w:szCs w:val="22"/>
          <w:lang w:val="en-US"/>
        </w:rPr>
        <w:t xml:space="preserve"> is a non-contributory pensions system for persons aged over 65 years or those who have a </w:t>
      </w:r>
      <w:r w:rsidRPr="007C557B">
        <w:rPr>
          <w:rFonts w:ascii="Arial" w:hAnsi="Arial" w:cs="Arial"/>
          <w:sz w:val="22"/>
          <w:szCs w:val="22"/>
          <w:lang w:val="en-US"/>
        </w:rPr>
        <w:t>recognized</w:t>
      </w:r>
      <w:r w:rsidR="00BA1B8C" w:rsidRPr="007C557B">
        <w:rPr>
          <w:rFonts w:ascii="Arial" w:hAnsi="Arial" w:cs="Arial"/>
          <w:sz w:val="22"/>
          <w:szCs w:val="22"/>
          <w:lang w:val="en-US"/>
        </w:rPr>
        <w:t xml:space="preserve"> disability. In both cases beneficiaries must prove that they don’t have sufficient economic resources (less than €5,136.6 per year in </w:t>
      </w:r>
      <w:proofErr w:type="gramStart"/>
      <w:r w:rsidR="00BA1B8C" w:rsidRPr="007C557B">
        <w:rPr>
          <w:rFonts w:ascii="Arial" w:hAnsi="Arial" w:cs="Arial"/>
          <w:sz w:val="22"/>
          <w:szCs w:val="22"/>
          <w:lang w:val="en-US"/>
        </w:rPr>
        <w:t>2015 )</w:t>
      </w:r>
      <w:proofErr w:type="gramEnd"/>
      <w:r w:rsidR="00BA1B8C" w:rsidRPr="007C557B">
        <w:rPr>
          <w:rFonts w:ascii="Arial" w:hAnsi="Arial" w:cs="Arial"/>
          <w:sz w:val="22"/>
          <w:szCs w:val="22"/>
          <w:lang w:val="en-US"/>
        </w:rPr>
        <w:t xml:space="preserve"> and are not entitled to a contributory pension. The amount of the non-contributory pension varies according to family circumstances and the income level of the household. Most of the beneficiaries receive the monthly maximum amount which is €367.90 in 2016.This system is financed by general taxation. </w:t>
      </w:r>
    </w:p>
    <w:p w:rsidR="00BA1B8C" w:rsidRPr="007C557B" w:rsidRDefault="00BA1B8C" w:rsidP="00571B02">
      <w:pPr>
        <w:jc w:val="both"/>
        <w:rPr>
          <w:rFonts w:ascii="Arial" w:hAnsi="Arial" w:cs="Arial"/>
          <w:sz w:val="22"/>
          <w:szCs w:val="22"/>
          <w:lang w:val="en-US"/>
        </w:rPr>
      </w:pPr>
    </w:p>
    <w:p w:rsidR="00BA1B8C" w:rsidRPr="007C557B" w:rsidRDefault="00BA1B8C" w:rsidP="00571B02">
      <w:pPr>
        <w:pStyle w:val="ListParagraph"/>
        <w:numPr>
          <w:ilvl w:val="0"/>
          <w:numId w:val="19"/>
        </w:numPr>
        <w:jc w:val="both"/>
        <w:rPr>
          <w:rFonts w:ascii="Arial" w:hAnsi="Arial" w:cs="Arial"/>
          <w:sz w:val="22"/>
          <w:szCs w:val="22"/>
          <w:lang w:val="en-US"/>
        </w:rPr>
      </w:pPr>
      <w:r w:rsidRPr="007C557B">
        <w:rPr>
          <w:rFonts w:ascii="Arial" w:hAnsi="Arial" w:cs="Arial"/>
          <w:sz w:val="22"/>
          <w:szCs w:val="22"/>
          <w:lang w:val="en-US"/>
        </w:rPr>
        <w:t xml:space="preserve">Minimum amount guarantee: The Government sets out the minimum pension amount annually, which varies according to the pensioner's type of benefit and family situation. Those with a pension below the minimum amount receive a supplement, which cannot exceed the amount of the non-contributory pension for all those retiring as from 2013. Minimum supplements are funded through the State Budget. For pensioners over the age of 65 years, the monthly minimum retirement pension, in 2016, is €636.10 in 14 </w:t>
      </w:r>
      <w:proofErr w:type="spellStart"/>
      <w:r w:rsidRPr="007C557B">
        <w:rPr>
          <w:rFonts w:ascii="Arial" w:hAnsi="Arial" w:cs="Arial"/>
          <w:sz w:val="22"/>
          <w:szCs w:val="22"/>
          <w:lang w:val="en-US"/>
        </w:rPr>
        <w:t>instalments</w:t>
      </w:r>
      <w:proofErr w:type="spellEnd"/>
      <w:r w:rsidRPr="007C557B">
        <w:rPr>
          <w:rFonts w:ascii="Arial" w:hAnsi="Arial" w:cs="Arial"/>
          <w:sz w:val="22"/>
          <w:szCs w:val="22"/>
          <w:lang w:val="en-US"/>
        </w:rPr>
        <w:t xml:space="preserve"> or €784.90 with a dependent spouse. If the beneficiary suffers a significant disability, the pension amount rises by 50 percent.</w:t>
      </w:r>
    </w:p>
    <w:p w:rsidR="00BA1B8C" w:rsidRPr="007C557B" w:rsidRDefault="00BA1B8C" w:rsidP="00571B02">
      <w:pPr>
        <w:jc w:val="both"/>
        <w:rPr>
          <w:rFonts w:ascii="Arial" w:hAnsi="Arial" w:cs="Arial"/>
          <w:sz w:val="22"/>
          <w:szCs w:val="22"/>
          <w:lang w:val="en-US"/>
        </w:rPr>
      </w:pPr>
    </w:p>
    <w:p w:rsidR="00BA1B8C" w:rsidRPr="007C557B" w:rsidRDefault="00BA1B8C" w:rsidP="00571B02">
      <w:pPr>
        <w:jc w:val="both"/>
        <w:rPr>
          <w:rFonts w:ascii="Arial" w:hAnsi="Arial" w:cs="Arial"/>
          <w:sz w:val="22"/>
          <w:szCs w:val="22"/>
          <w:lang w:val="en-US"/>
        </w:rPr>
      </w:pPr>
      <w:r w:rsidRPr="007C557B">
        <w:rPr>
          <w:rFonts w:ascii="Arial" w:hAnsi="Arial" w:cs="Arial"/>
          <w:sz w:val="22"/>
          <w:szCs w:val="22"/>
          <w:lang w:val="en-US"/>
        </w:rPr>
        <w:t>Health Care is also a part of the universal coverage of the Spanish Social Security. The objective of Social Security health care is to provide the medical and pharmaceutical services required to maintain or recover the health of its beneficiaries, as well as their ability to work. It also provides the appropriate services to complement medical and pharmaceutical aid, with special attention given to the physical rehabilitation needed to allow workers to fully recover.</w:t>
      </w:r>
    </w:p>
    <w:p w:rsidR="00E3007C" w:rsidRPr="007C557B" w:rsidRDefault="00E3007C" w:rsidP="00571B02">
      <w:pPr>
        <w:jc w:val="both"/>
        <w:rPr>
          <w:rFonts w:ascii="Arial" w:hAnsi="Arial" w:cs="Arial"/>
          <w:sz w:val="22"/>
          <w:szCs w:val="22"/>
          <w:lang w:val="en-US"/>
        </w:rPr>
      </w:pPr>
    </w:p>
    <w:p w:rsidR="00E3007C" w:rsidRPr="007C557B" w:rsidRDefault="00E3007C" w:rsidP="00571B02">
      <w:pPr>
        <w:jc w:val="both"/>
        <w:rPr>
          <w:rFonts w:ascii="Arial" w:hAnsi="Arial" w:cs="Arial"/>
          <w:sz w:val="22"/>
          <w:szCs w:val="22"/>
          <w:lang w:val="en-US"/>
        </w:rPr>
      </w:pPr>
      <w:r w:rsidRPr="007C557B">
        <w:rPr>
          <w:rFonts w:ascii="Arial" w:hAnsi="Arial" w:cs="Arial"/>
          <w:sz w:val="22"/>
          <w:szCs w:val="22"/>
          <w:lang w:val="en-US"/>
        </w:rPr>
        <w:lastRenderedPageBreak/>
        <w:t>Access to public health services is obtained through the Individual Healthcare Card issued by each Health Service. This is the document which identifies every citizen as a healthcare user throughout the National Health System. In Spain, the rights to health protection and public healthcare through the National Health System are held by people who have insured status. Insured status is held by all people who fulfill any of the following requirements:</w:t>
      </w:r>
    </w:p>
    <w:p w:rsidR="00E3007C" w:rsidRPr="007C557B" w:rsidRDefault="00E3007C" w:rsidP="00571B02">
      <w:pPr>
        <w:jc w:val="both"/>
        <w:rPr>
          <w:rFonts w:ascii="Arial" w:hAnsi="Arial" w:cs="Arial"/>
          <w:sz w:val="22"/>
          <w:szCs w:val="22"/>
          <w:lang w:val="en-US"/>
        </w:rPr>
      </w:pPr>
    </w:p>
    <w:p w:rsidR="00E3007C" w:rsidRDefault="00E3007C" w:rsidP="00571B02">
      <w:pPr>
        <w:jc w:val="both"/>
        <w:rPr>
          <w:rFonts w:ascii="Arial" w:hAnsi="Arial" w:cs="Arial"/>
          <w:sz w:val="22"/>
          <w:szCs w:val="22"/>
          <w:lang w:val="en-US"/>
        </w:rPr>
      </w:pPr>
      <w:r w:rsidRPr="007C557B">
        <w:rPr>
          <w:rFonts w:ascii="Arial" w:hAnsi="Arial" w:cs="Arial"/>
          <w:sz w:val="22"/>
          <w:szCs w:val="22"/>
          <w:lang w:val="en-US"/>
        </w:rPr>
        <w:t xml:space="preserve">- Being an employed or self-employed </w:t>
      </w:r>
      <w:r w:rsidR="001377BC" w:rsidRPr="007C557B">
        <w:rPr>
          <w:rFonts w:ascii="Arial" w:hAnsi="Arial" w:cs="Arial"/>
          <w:sz w:val="22"/>
          <w:szCs w:val="22"/>
          <w:lang w:val="en-US"/>
        </w:rPr>
        <w:t>worker</w:t>
      </w:r>
      <w:r w:rsidRPr="007C557B">
        <w:rPr>
          <w:rFonts w:ascii="Arial" w:hAnsi="Arial" w:cs="Arial"/>
          <w:sz w:val="22"/>
          <w:szCs w:val="22"/>
          <w:lang w:val="en-US"/>
        </w:rPr>
        <w:t xml:space="preserve"> affiliated with the Social Security and having active contributor or assimilated contributor status.</w:t>
      </w:r>
    </w:p>
    <w:p w:rsidR="001377BC" w:rsidRPr="007C557B" w:rsidRDefault="001377BC" w:rsidP="00571B02">
      <w:pPr>
        <w:jc w:val="both"/>
        <w:rPr>
          <w:rFonts w:ascii="Arial" w:hAnsi="Arial" w:cs="Arial"/>
          <w:sz w:val="22"/>
          <w:szCs w:val="22"/>
          <w:lang w:val="en-US"/>
        </w:rPr>
      </w:pPr>
    </w:p>
    <w:p w:rsidR="00E3007C" w:rsidRDefault="00E3007C" w:rsidP="00571B02">
      <w:pPr>
        <w:jc w:val="both"/>
        <w:rPr>
          <w:rFonts w:ascii="Arial" w:hAnsi="Arial" w:cs="Arial"/>
          <w:sz w:val="22"/>
          <w:szCs w:val="22"/>
          <w:lang w:val="en-US"/>
        </w:rPr>
      </w:pPr>
      <w:r w:rsidRPr="007C557B">
        <w:rPr>
          <w:rFonts w:ascii="Arial" w:hAnsi="Arial" w:cs="Arial"/>
          <w:sz w:val="22"/>
          <w:szCs w:val="22"/>
          <w:lang w:val="en-US"/>
        </w:rPr>
        <w:t>- Being a pensioner in the Social Security system.</w:t>
      </w:r>
    </w:p>
    <w:p w:rsidR="001377BC" w:rsidRPr="007C557B" w:rsidRDefault="001377BC" w:rsidP="00571B02">
      <w:pPr>
        <w:jc w:val="both"/>
        <w:rPr>
          <w:rFonts w:ascii="Arial" w:hAnsi="Arial" w:cs="Arial"/>
          <w:sz w:val="22"/>
          <w:szCs w:val="22"/>
          <w:lang w:val="en-US"/>
        </w:rPr>
      </w:pPr>
    </w:p>
    <w:p w:rsidR="00E3007C"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 Being a recipient of any other periodic Social Security benefits including unemployment benefits.</w:t>
      </w:r>
    </w:p>
    <w:p w:rsidR="001377BC" w:rsidRPr="007C557B" w:rsidRDefault="001377BC" w:rsidP="00571B02">
      <w:pPr>
        <w:spacing w:line="276" w:lineRule="auto"/>
        <w:jc w:val="both"/>
        <w:rPr>
          <w:rFonts w:ascii="Arial" w:hAnsi="Arial" w:cs="Arial"/>
          <w:sz w:val="22"/>
          <w:szCs w:val="22"/>
          <w:lang w:val="en-US"/>
        </w:rPr>
      </w:pPr>
    </w:p>
    <w:p w:rsidR="00E3007C" w:rsidRPr="007C557B"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 xml:space="preserve">- Having used up all unemployment benefits and being unemployed, while not certifying insured status under any other title. </w:t>
      </w:r>
    </w:p>
    <w:p w:rsidR="00E3007C" w:rsidRPr="007C557B" w:rsidRDefault="00E3007C" w:rsidP="00571B02">
      <w:pPr>
        <w:spacing w:line="276" w:lineRule="auto"/>
        <w:jc w:val="both"/>
        <w:rPr>
          <w:rFonts w:ascii="Arial" w:hAnsi="Arial" w:cs="Arial"/>
          <w:sz w:val="22"/>
          <w:szCs w:val="22"/>
          <w:lang w:val="en-US"/>
        </w:rPr>
      </w:pPr>
    </w:p>
    <w:p w:rsidR="00E3007C" w:rsidRPr="007C557B"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 xml:space="preserve">In those cases in which none of the aforementioned circumstances are present, Spanish nationals or citizens of any European Union Member State, the European Economic Area or Switzerland residing in Spain and foreign citizens authorized to reside in </w:t>
      </w:r>
      <w:r w:rsidR="001377BC" w:rsidRPr="007C557B">
        <w:rPr>
          <w:rFonts w:ascii="Arial" w:hAnsi="Arial" w:cs="Arial"/>
          <w:sz w:val="22"/>
          <w:szCs w:val="22"/>
          <w:lang w:val="en-US"/>
        </w:rPr>
        <w:t>Spanish</w:t>
      </w:r>
      <w:r w:rsidRPr="007C557B">
        <w:rPr>
          <w:rFonts w:ascii="Arial" w:hAnsi="Arial" w:cs="Arial"/>
          <w:sz w:val="22"/>
          <w:szCs w:val="22"/>
          <w:lang w:val="en-US"/>
        </w:rPr>
        <w:t xml:space="preserve"> territory, may have insured status, provided they do not exceed the income limit established by regulations.</w:t>
      </w:r>
    </w:p>
    <w:p w:rsidR="00E3007C" w:rsidRPr="007C557B"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 xml:space="preserve">The following people will be beneficiaries of an insured person, provided they reside in Spain: a spouse or person with a relationship of similar status, who must prove the corresponding official registration, a dependent ex-spouse, and dependent descendants under the age of 26 or with a disability of a degree greater than or equal to 65%. </w:t>
      </w:r>
    </w:p>
    <w:p w:rsidR="0018641D" w:rsidRPr="007C557B" w:rsidRDefault="0018641D" w:rsidP="00571B02">
      <w:pPr>
        <w:spacing w:line="276" w:lineRule="auto"/>
        <w:jc w:val="both"/>
        <w:rPr>
          <w:rFonts w:ascii="Arial" w:hAnsi="Arial" w:cs="Arial"/>
          <w:sz w:val="22"/>
          <w:szCs w:val="22"/>
          <w:lang w:val="en-US"/>
        </w:rPr>
      </w:pPr>
    </w:p>
    <w:p w:rsidR="0018641D" w:rsidRPr="007C557B"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 xml:space="preserve">The people who do not have insured or beneficiary status can get the health care benefit by making the corresponding payment or contribution arising from signing a special agreement. </w:t>
      </w:r>
    </w:p>
    <w:p w:rsidR="0018641D" w:rsidRPr="007C557B" w:rsidRDefault="0018641D" w:rsidP="00571B02">
      <w:pPr>
        <w:spacing w:line="276" w:lineRule="auto"/>
        <w:jc w:val="both"/>
        <w:rPr>
          <w:rFonts w:ascii="Arial" w:hAnsi="Arial" w:cs="Arial"/>
          <w:sz w:val="22"/>
          <w:szCs w:val="22"/>
          <w:lang w:val="en-US"/>
        </w:rPr>
      </w:pPr>
    </w:p>
    <w:p w:rsidR="0018641D" w:rsidRDefault="00E3007C" w:rsidP="00571B02">
      <w:pPr>
        <w:spacing w:line="276" w:lineRule="auto"/>
        <w:jc w:val="both"/>
        <w:rPr>
          <w:rFonts w:ascii="Arial" w:hAnsi="Arial" w:cs="Arial"/>
          <w:sz w:val="22"/>
          <w:szCs w:val="22"/>
          <w:lang w:val="en-US"/>
        </w:rPr>
      </w:pPr>
      <w:r w:rsidRPr="007C557B">
        <w:rPr>
          <w:rFonts w:ascii="Arial" w:hAnsi="Arial" w:cs="Arial"/>
          <w:sz w:val="22"/>
          <w:szCs w:val="22"/>
          <w:lang w:val="en-US"/>
        </w:rPr>
        <w:t>Foreign citizens who have not been registered or authorized as residents in Spain may receive the health care under the same c</w:t>
      </w:r>
      <w:r w:rsidR="0018641D" w:rsidRPr="007C557B">
        <w:rPr>
          <w:rFonts w:ascii="Arial" w:hAnsi="Arial" w:cs="Arial"/>
          <w:sz w:val="22"/>
          <w:szCs w:val="22"/>
          <w:lang w:val="en-US"/>
        </w:rPr>
        <w:t>onditions as Spanish citizens:</w:t>
      </w:r>
    </w:p>
    <w:p w:rsidR="001377BC" w:rsidRPr="007C557B" w:rsidRDefault="001377BC" w:rsidP="00571B02">
      <w:pPr>
        <w:spacing w:line="276" w:lineRule="auto"/>
        <w:jc w:val="both"/>
        <w:rPr>
          <w:rFonts w:ascii="Arial" w:hAnsi="Arial" w:cs="Arial"/>
          <w:sz w:val="22"/>
          <w:szCs w:val="22"/>
          <w:lang w:val="en-US"/>
        </w:rPr>
      </w:pPr>
    </w:p>
    <w:p w:rsidR="0018641D" w:rsidRPr="007C557B" w:rsidRDefault="00E3007C" w:rsidP="00571B02">
      <w:pPr>
        <w:pStyle w:val="ListParagraph"/>
        <w:numPr>
          <w:ilvl w:val="0"/>
          <w:numId w:val="16"/>
        </w:numPr>
        <w:spacing w:line="276" w:lineRule="auto"/>
        <w:jc w:val="both"/>
        <w:rPr>
          <w:rFonts w:ascii="Arial" w:hAnsi="Arial" w:cs="Arial"/>
          <w:sz w:val="22"/>
          <w:szCs w:val="22"/>
          <w:lang w:val="en-US"/>
        </w:rPr>
      </w:pPr>
      <w:r w:rsidRPr="007C557B">
        <w:rPr>
          <w:rFonts w:ascii="Arial" w:hAnsi="Arial" w:cs="Arial"/>
          <w:sz w:val="22"/>
          <w:szCs w:val="22"/>
          <w:lang w:val="en-US"/>
        </w:rPr>
        <w:t xml:space="preserve">Emergency care for serious illnesses or injuries until medical discharge. </w:t>
      </w:r>
    </w:p>
    <w:p w:rsidR="0018641D" w:rsidRPr="007C557B" w:rsidRDefault="00E3007C" w:rsidP="00571B02">
      <w:pPr>
        <w:pStyle w:val="ListParagraph"/>
        <w:numPr>
          <w:ilvl w:val="0"/>
          <w:numId w:val="16"/>
        </w:numPr>
        <w:spacing w:line="276" w:lineRule="auto"/>
        <w:jc w:val="both"/>
        <w:rPr>
          <w:rFonts w:ascii="Arial" w:hAnsi="Arial" w:cs="Arial"/>
          <w:sz w:val="22"/>
          <w:szCs w:val="22"/>
          <w:lang w:val="en-US"/>
        </w:rPr>
      </w:pPr>
      <w:r w:rsidRPr="007C557B">
        <w:rPr>
          <w:rFonts w:ascii="Arial" w:hAnsi="Arial" w:cs="Arial"/>
          <w:sz w:val="22"/>
          <w:szCs w:val="22"/>
          <w:lang w:val="en-US"/>
        </w:rPr>
        <w:t xml:space="preserve">Antenatal and postnatal care. </w:t>
      </w:r>
    </w:p>
    <w:p w:rsidR="00E3007C" w:rsidRDefault="00E3007C" w:rsidP="00571B02">
      <w:pPr>
        <w:pStyle w:val="ListParagraph"/>
        <w:numPr>
          <w:ilvl w:val="0"/>
          <w:numId w:val="16"/>
        </w:numPr>
        <w:spacing w:line="276" w:lineRule="auto"/>
        <w:jc w:val="both"/>
        <w:rPr>
          <w:rFonts w:ascii="Arial" w:hAnsi="Arial" w:cs="Arial"/>
          <w:sz w:val="22"/>
          <w:szCs w:val="22"/>
          <w:lang w:val="en-US"/>
        </w:rPr>
      </w:pPr>
      <w:r w:rsidRPr="007C557B">
        <w:rPr>
          <w:rFonts w:ascii="Arial" w:hAnsi="Arial" w:cs="Arial"/>
          <w:sz w:val="22"/>
          <w:szCs w:val="22"/>
          <w:lang w:val="en-US"/>
        </w:rPr>
        <w:t>If under the age of eighteen.</w:t>
      </w:r>
    </w:p>
    <w:p w:rsidR="001377BC" w:rsidRPr="007C557B" w:rsidRDefault="001377BC" w:rsidP="001377BC">
      <w:pPr>
        <w:pStyle w:val="ListParagraph"/>
        <w:spacing w:line="276" w:lineRule="auto"/>
        <w:jc w:val="both"/>
        <w:rPr>
          <w:rFonts w:ascii="Arial" w:hAnsi="Arial" w:cs="Arial"/>
          <w:sz w:val="22"/>
          <w:szCs w:val="22"/>
          <w:lang w:val="en-US"/>
        </w:rPr>
      </w:pPr>
    </w:p>
    <w:p w:rsidR="0018641D" w:rsidRPr="007C557B" w:rsidRDefault="0018641D" w:rsidP="00571B02">
      <w:pPr>
        <w:spacing w:line="276" w:lineRule="auto"/>
        <w:jc w:val="both"/>
        <w:rPr>
          <w:rFonts w:ascii="Arial" w:hAnsi="Arial" w:cs="Arial"/>
          <w:sz w:val="22"/>
          <w:szCs w:val="22"/>
          <w:lang w:val="en-US"/>
        </w:rPr>
      </w:pPr>
    </w:p>
    <w:p w:rsidR="00202E15" w:rsidRDefault="005A525A" w:rsidP="00571B02">
      <w:pPr>
        <w:spacing w:line="276" w:lineRule="auto"/>
        <w:jc w:val="both"/>
        <w:rPr>
          <w:rFonts w:ascii="Arial" w:hAnsi="Arial" w:cs="Arial"/>
          <w:b/>
          <w:sz w:val="28"/>
          <w:szCs w:val="28"/>
          <w:lang w:val="en-US"/>
        </w:rPr>
      </w:pPr>
      <w:r w:rsidRPr="007C557B">
        <w:rPr>
          <w:rFonts w:ascii="Arial" w:hAnsi="Arial" w:cs="Arial"/>
          <w:b/>
          <w:sz w:val="28"/>
          <w:szCs w:val="28"/>
          <w:lang w:val="en-US"/>
        </w:rPr>
        <w:t>4. SOCIAL EFFICIENCY AND INCLUSIVE GROWTH</w:t>
      </w:r>
    </w:p>
    <w:p w:rsidR="001377BC" w:rsidRPr="007C557B" w:rsidRDefault="001377BC" w:rsidP="00571B02">
      <w:pPr>
        <w:spacing w:line="276" w:lineRule="auto"/>
        <w:jc w:val="both"/>
        <w:rPr>
          <w:rFonts w:ascii="Arial" w:hAnsi="Arial" w:cs="Arial"/>
          <w:b/>
          <w:sz w:val="28"/>
          <w:szCs w:val="28"/>
          <w:lang w:val="en-US"/>
        </w:rPr>
      </w:pPr>
    </w:p>
    <w:p w:rsidR="007C557B" w:rsidRPr="007C557B" w:rsidRDefault="007C557B" w:rsidP="00571B02">
      <w:pPr>
        <w:spacing w:line="276" w:lineRule="auto"/>
        <w:jc w:val="both"/>
        <w:rPr>
          <w:rFonts w:ascii="Arial" w:hAnsi="Arial" w:cs="Arial"/>
          <w:sz w:val="22"/>
          <w:szCs w:val="22"/>
          <w:lang w:val="en-US"/>
        </w:rPr>
      </w:pPr>
      <w:r w:rsidRPr="007C557B">
        <w:rPr>
          <w:rFonts w:ascii="Arial" w:hAnsi="Arial" w:cs="Arial"/>
          <w:sz w:val="22"/>
          <w:szCs w:val="22"/>
          <w:lang w:val="en-US"/>
        </w:rPr>
        <w:t>Three major areas of social protection (pensions, unemployment, social exclusion/</w:t>
      </w:r>
      <w:r w:rsidR="009927AE" w:rsidRPr="007C557B">
        <w:rPr>
          <w:rFonts w:ascii="Arial" w:hAnsi="Arial" w:cs="Arial"/>
          <w:sz w:val="22"/>
          <w:szCs w:val="22"/>
          <w:lang w:val="en-US"/>
        </w:rPr>
        <w:t>housing and</w:t>
      </w:r>
      <w:r w:rsidRPr="007C557B">
        <w:rPr>
          <w:rFonts w:ascii="Arial" w:hAnsi="Arial" w:cs="Arial"/>
          <w:sz w:val="22"/>
          <w:szCs w:val="22"/>
          <w:lang w:val="en-US"/>
        </w:rPr>
        <w:t xml:space="preserve"> family) are covered to address the Effectiveness and efficiency in key areas of social protection:</w:t>
      </w:r>
    </w:p>
    <w:p w:rsidR="007C557B" w:rsidRPr="007C557B" w:rsidRDefault="007C557B" w:rsidP="00571B02">
      <w:pPr>
        <w:spacing w:line="276" w:lineRule="auto"/>
        <w:jc w:val="both"/>
        <w:rPr>
          <w:rFonts w:ascii="Arial" w:hAnsi="Arial" w:cs="Arial"/>
          <w:sz w:val="22"/>
          <w:szCs w:val="22"/>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1377BC" w:rsidRDefault="001377BC" w:rsidP="00571B02">
      <w:pPr>
        <w:spacing w:line="276" w:lineRule="auto"/>
        <w:jc w:val="both"/>
        <w:rPr>
          <w:rFonts w:ascii="Arial" w:hAnsi="Arial" w:cs="Arial"/>
          <w:i/>
          <w:sz w:val="22"/>
          <w:szCs w:val="22"/>
          <w:u w:val="single"/>
          <w:lang w:val="en-US"/>
        </w:rPr>
      </w:pPr>
    </w:p>
    <w:p w:rsidR="007C557B" w:rsidRDefault="007C557B" w:rsidP="00571B02">
      <w:pPr>
        <w:spacing w:line="276" w:lineRule="auto"/>
        <w:jc w:val="both"/>
        <w:rPr>
          <w:rFonts w:ascii="Arial" w:hAnsi="Arial" w:cs="Arial"/>
          <w:i/>
          <w:sz w:val="22"/>
          <w:szCs w:val="22"/>
          <w:u w:val="single"/>
          <w:lang w:val="en-US"/>
        </w:rPr>
      </w:pPr>
      <w:r w:rsidRPr="007C557B">
        <w:rPr>
          <w:rFonts w:ascii="Arial" w:hAnsi="Arial" w:cs="Arial"/>
          <w:i/>
          <w:sz w:val="22"/>
          <w:szCs w:val="22"/>
          <w:u w:val="single"/>
          <w:lang w:val="en-US"/>
        </w:rPr>
        <w:lastRenderedPageBreak/>
        <w:t>Pensions</w:t>
      </w:r>
    </w:p>
    <w:p w:rsidR="001377BC" w:rsidRPr="007C557B" w:rsidRDefault="001377BC" w:rsidP="00571B02">
      <w:pPr>
        <w:spacing w:line="276" w:lineRule="auto"/>
        <w:jc w:val="both"/>
        <w:rPr>
          <w:rFonts w:ascii="Arial" w:hAnsi="Arial" w:cs="Arial"/>
          <w:i/>
          <w:sz w:val="22"/>
          <w:szCs w:val="22"/>
          <w:u w:val="single"/>
          <w:lang w:val="en-US"/>
        </w:rPr>
      </w:pPr>
    </w:p>
    <w:p w:rsidR="007C557B" w:rsidRPr="007C557B" w:rsidRDefault="007C557B" w:rsidP="00571B02">
      <w:pPr>
        <w:spacing w:line="276" w:lineRule="auto"/>
        <w:jc w:val="both"/>
        <w:rPr>
          <w:rFonts w:ascii="Arial" w:hAnsi="Arial" w:cs="Arial"/>
          <w:sz w:val="22"/>
          <w:szCs w:val="22"/>
          <w:lang w:val="en-US"/>
        </w:rPr>
      </w:pPr>
      <w:r w:rsidRPr="007C557B">
        <w:rPr>
          <w:rFonts w:ascii="Arial" w:hAnsi="Arial" w:cs="Arial"/>
          <w:sz w:val="22"/>
          <w:szCs w:val="22"/>
          <w:lang w:val="en-US"/>
        </w:rPr>
        <w:t>The purpose of pensions is to provide adequate incomes in retirement, measured along the two dimensions of income replacement and poverty protection.</w:t>
      </w:r>
    </w:p>
    <w:p w:rsidR="007C557B" w:rsidRPr="007C557B" w:rsidRDefault="007C557B" w:rsidP="00571B02">
      <w:pPr>
        <w:jc w:val="both"/>
        <w:rPr>
          <w:sz w:val="23"/>
          <w:szCs w:val="23"/>
          <w:lang w:val="en-US"/>
        </w:rPr>
      </w:pPr>
    </w:p>
    <w:p w:rsidR="007C557B" w:rsidRPr="007C557B" w:rsidRDefault="007C557B" w:rsidP="00571B02">
      <w:pPr>
        <w:jc w:val="both"/>
        <w:rPr>
          <w:sz w:val="22"/>
          <w:szCs w:val="22"/>
          <w:lang w:val="en-US"/>
        </w:rPr>
      </w:pPr>
    </w:p>
    <w:tbl>
      <w:tblPr>
        <w:tblW w:w="4540" w:type="dxa"/>
        <w:tblInd w:w="55" w:type="dxa"/>
        <w:tblCellMar>
          <w:left w:w="70" w:type="dxa"/>
          <w:right w:w="70" w:type="dxa"/>
        </w:tblCellMar>
        <w:tblLook w:val="04A0" w:firstRow="1" w:lastRow="0" w:firstColumn="1" w:lastColumn="0" w:noHBand="0" w:noVBand="1"/>
      </w:tblPr>
      <w:tblGrid>
        <w:gridCol w:w="2140"/>
        <w:gridCol w:w="1200"/>
        <w:gridCol w:w="1200"/>
      </w:tblGrid>
      <w:tr w:rsidR="007C557B" w:rsidRPr="00BD4E27" w:rsidTr="007C557B">
        <w:trPr>
          <w:trHeight w:val="49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sz w:val="20"/>
                <w:szCs w:val="20"/>
                <w:lang w:val="en-US" w:eastAsia="es-ES"/>
              </w:rPr>
            </w:pPr>
            <w:r w:rsidRPr="00BD4E27">
              <w:rPr>
                <w:rFonts w:ascii="Times New Roman" w:eastAsia="Times New Roman" w:hAnsi="Times New Roman" w:cs="Times New Roman"/>
                <w:sz w:val="20"/>
                <w:szCs w:val="20"/>
                <w:lang w:val="en-US" w:eastAsia="es-ES"/>
              </w:rPr>
              <w:t xml:space="preserve">Pensions </w:t>
            </w:r>
            <w:r w:rsidRPr="00BD4E27">
              <w:rPr>
                <w:rFonts w:ascii="Times New Roman" w:eastAsia="Times New Roman" w:hAnsi="Times New Roman" w:cs="Times New Roman"/>
                <w:i/>
                <w:iCs/>
                <w:color w:val="000000"/>
                <w:sz w:val="18"/>
                <w:szCs w:val="18"/>
                <w:lang w:val="en-US" w:eastAsia="es-ES"/>
              </w:rPr>
              <w:t xml:space="preserve">Indicator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i/>
                <w:iCs/>
                <w:color w:val="000000"/>
                <w:sz w:val="18"/>
                <w:szCs w:val="18"/>
                <w:lang w:val="en-US" w:eastAsia="es-ES"/>
              </w:rPr>
            </w:pPr>
            <w:r w:rsidRPr="00BD4E27">
              <w:rPr>
                <w:rFonts w:ascii="Times New Roman" w:eastAsia="Times New Roman" w:hAnsi="Times New Roman" w:cs="Times New Roman"/>
                <w:i/>
                <w:iCs/>
                <w:color w:val="000000"/>
                <w:sz w:val="18"/>
                <w:szCs w:val="18"/>
                <w:lang w:val="en-US" w:eastAsia="es-ES"/>
              </w:rPr>
              <w:t>EU-28 2014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i/>
                <w:iCs/>
                <w:color w:val="000000"/>
                <w:sz w:val="18"/>
                <w:szCs w:val="18"/>
                <w:lang w:val="en-US" w:eastAsia="es-ES"/>
              </w:rPr>
            </w:pPr>
            <w:r w:rsidRPr="00BD4E27">
              <w:rPr>
                <w:rFonts w:ascii="Times New Roman" w:eastAsia="Times New Roman" w:hAnsi="Times New Roman" w:cs="Times New Roman"/>
                <w:i/>
                <w:iCs/>
                <w:color w:val="000000"/>
                <w:sz w:val="18"/>
                <w:szCs w:val="18"/>
                <w:lang w:val="en-US" w:eastAsia="es-ES"/>
              </w:rPr>
              <w:t>ES 2014</w:t>
            </w:r>
          </w:p>
        </w:tc>
      </w:tr>
      <w:tr w:rsidR="007C557B" w:rsidRPr="00BD4E27" w:rsidTr="007C557B">
        <w:trPr>
          <w:trHeight w:val="48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Expenditure pensions, % of GDP</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14,6</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13,8</w:t>
            </w:r>
          </w:p>
        </w:tc>
      </w:tr>
      <w:tr w:rsidR="007C557B" w:rsidRPr="00BD4E27" w:rsidTr="007C557B">
        <w:trPr>
          <w:trHeight w:val="72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 xml:space="preserve">Aggregate </w:t>
            </w:r>
            <w:proofErr w:type="spellStart"/>
            <w:r w:rsidRPr="00BD4E27">
              <w:rPr>
                <w:rFonts w:ascii="Times New Roman" w:eastAsia="Times New Roman" w:hAnsi="Times New Roman" w:cs="Times New Roman"/>
                <w:color w:val="000000"/>
                <w:sz w:val="18"/>
                <w:szCs w:val="18"/>
                <w:lang w:val="en-US" w:eastAsia="es-ES"/>
              </w:rPr>
              <w:t>replacenent</w:t>
            </w:r>
            <w:proofErr w:type="spellEnd"/>
            <w:r w:rsidRPr="00BD4E27">
              <w:rPr>
                <w:rFonts w:ascii="Times New Roman" w:eastAsia="Times New Roman" w:hAnsi="Times New Roman" w:cs="Times New Roman"/>
                <w:color w:val="000000"/>
                <w:sz w:val="18"/>
                <w:szCs w:val="18"/>
                <w:lang w:val="en-US" w:eastAsia="es-ES"/>
              </w:rPr>
              <w:t xml:space="preserve"> ratio </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0,56</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0,6</w:t>
            </w:r>
          </w:p>
        </w:tc>
      </w:tr>
      <w:tr w:rsidR="007C557B" w:rsidRPr="00BD4E27" w:rsidTr="007C557B">
        <w:trPr>
          <w:trHeight w:val="51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AROP 65+</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13,8</w:t>
            </w:r>
          </w:p>
        </w:tc>
        <w:tc>
          <w:tcPr>
            <w:tcW w:w="1200" w:type="dxa"/>
            <w:tcBorders>
              <w:top w:val="nil"/>
              <w:left w:val="nil"/>
              <w:bottom w:val="single" w:sz="4" w:space="0" w:color="auto"/>
              <w:right w:val="single" w:sz="4" w:space="0" w:color="auto"/>
            </w:tcBorders>
            <w:shd w:val="clear" w:color="auto" w:fill="auto"/>
            <w:vAlign w:val="center"/>
            <w:hideMark/>
          </w:tcPr>
          <w:p w:rsidR="007C557B" w:rsidRPr="00BD4E27" w:rsidRDefault="007C557B" w:rsidP="00571B02">
            <w:pPr>
              <w:jc w:val="both"/>
              <w:rPr>
                <w:rFonts w:ascii="Times New Roman" w:eastAsia="Times New Roman" w:hAnsi="Times New Roman" w:cs="Times New Roman"/>
                <w:color w:val="000000"/>
                <w:sz w:val="18"/>
                <w:szCs w:val="18"/>
                <w:lang w:val="en-US" w:eastAsia="es-ES"/>
              </w:rPr>
            </w:pPr>
            <w:r w:rsidRPr="00BD4E27">
              <w:rPr>
                <w:rFonts w:ascii="Times New Roman" w:eastAsia="Times New Roman" w:hAnsi="Times New Roman" w:cs="Times New Roman"/>
                <w:color w:val="000000"/>
                <w:sz w:val="18"/>
                <w:szCs w:val="18"/>
                <w:lang w:val="en-US" w:eastAsia="es-ES"/>
              </w:rPr>
              <w:t>11,4</w:t>
            </w:r>
          </w:p>
        </w:tc>
      </w:tr>
    </w:tbl>
    <w:p w:rsidR="007C557B" w:rsidRPr="007C557B" w:rsidRDefault="00A106E7" w:rsidP="00571B02">
      <w:pPr>
        <w:jc w:val="both"/>
        <w:rPr>
          <w:sz w:val="22"/>
          <w:szCs w:val="22"/>
          <w:lang w:val="en-US"/>
        </w:rPr>
      </w:pPr>
      <w:r>
        <w:rPr>
          <w:sz w:val="22"/>
          <w:szCs w:val="22"/>
          <w:lang w:val="en-US"/>
        </w:rPr>
        <w:t xml:space="preserve"> (</w:t>
      </w:r>
      <w:proofErr w:type="spellStart"/>
      <w:r>
        <w:rPr>
          <w:sz w:val="22"/>
          <w:szCs w:val="22"/>
          <w:lang w:val="en-US"/>
        </w:rPr>
        <w:t>AROP</w:t>
      </w:r>
      <w:proofErr w:type="spellEnd"/>
      <w:r>
        <w:rPr>
          <w:sz w:val="22"/>
          <w:szCs w:val="22"/>
          <w:lang w:val="en-US"/>
        </w:rPr>
        <w:t>: “at risk of poverty”)</w:t>
      </w:r>
      <w:bookmarkStart w:id="0" w:name="_GoBack"/>
      <w:bookmarkEnd w:id="0"/>
    </w:p>
    <w:p w:rsidR="007C557B" w:rsidRPr="009927AE" w:rsidRDefault="007C557B" w:rsidP="00571B02">
      <w:pPr>
        <w:jc w:val="both"/>
        <w:rPr>
          <w:rFonts w:ascii="Arial" w:hAnsi="Arial" w:cs="Arial"/>
          <w:sz w:val="22"/>
          <w:szCs w:val="22"/>
          <w:lang w:val="en-US"/>
        </w:rPr>
      </w:pPr>
      <w:r w:rsidRPr="007C557B">
        <w:rPr>
          <w:rFonts w:ascii="Arial" w:hAnsi="Arial" w:cs="Arial"/>
          <w:sz w:val="22"/>
          <w:szCs w:val="22"/>
          <w:lang w:val="en-US"/>
        </w:rPr>
        <w:t>Spanish expenditure on pensions (13,8</w:t>
      </w:r>
      <w:r w:rsidRPr="009927AE">
        <w:rPr>
          <w:rFonts w:ascii="Arial" w:hAnsi="Arial" w:cs="Arial"/>
          <w:sz w:val="22"/>
          <w:szCs w:val="22"/>
          <w:lang w:val="en-US"/>
        </w:rPr>
        <w:t xml:space="preserve">%) is </w:t>
      </w:r>
      <w:r w:rsidR="009927AE" w:rsidRPr="009927AE">
        <w:rPr>
          <w:rFonts w:ascii="Arial" w:hAnsi="Arial" w:cs="Arial"/>
          <w:sz w:val="22"/>
          <w:szCs w:val="22"/>
          <w:lang w:val="en-US"/>
        </w:rPr>
        <w:t xml:space="preserve">now lower </w:t>
      </w:r>
      <w:r w:rsidRPr="007C557B">
        <w:rPr>
          <w:rFonts w:ascii="Arial" w:hAnsi="Arial" w:cs="Arial"/>
          <w:sz w:val="22"/>
          <w:szCs w:val="22"/>
          <w:lang w:val="en-US"/>
        </w:rPr>
        <w:t>than de EU average (14,6%)</w:t>
      </w:r>
      <w:r w:rsidR="009927AE">
        <w:rPr>
          <w:rFonts w:ascii="Arial" w:hAnsi="Arial" w:cs="Arial"/>
          <w:sz w:val="22"/>
          <w:szCs w:val="22"/>
          <w:lang w:val="en-US"/>
        </w:rPr>
        <w:t xml:space="preserve">, </w:t>
      </w:r>
      <w:r w:rsidR="009927AE" w:rsidRPr="009927AE">
        <w:rPr>
          <w:rStyle w:val="shorttext"/>
          <w:rFonts w:ascii="Arial" w:hAnsi="Arial" w:cs="Arial"/>
          <w:color w:val="222222"/>
          <w:sz w:val="22"/>
          <w:szCs w:val="22"/>
        </w:rPr>
        <w:t>since the aging rate is less</w:t>
      </w:r>
      <w:r w:rsidRPr="009927AE">
        <w:rPr>
          <w:rFonts w:ascii="Arial" w:hAnsi="Arial" w:cs="Arial"/>
          <w:sz w:val="22"/>
          <w:szCs w:val="22"/>
          <w:lang w:val="en-US"/>
        </w:rPr>
        <w:t>. However,</w:t>
      </w:r>
      <w:r w:rsidRPr="009927AE">
        <w:rPr>
          <w:sz w:val="22"/>
          <w:szCs w:val="22"/>
          <w:lang w:val="en-US"/>
        </w:rPr>
        <w:t xml:space="preserve"> </w:t>
      </w:r>
      <w:r w:rsidRPr="009927AE">
        <w:rPr>
          <w:rFonts w:ascii="Arial" w:hAnsi="Arial" w:cs="Arial"/>
          <w:sz w:val="22"/>
          <w:szCs w:val="22"/>
          <w:lang w:val="en-US"/>
        </w:rPr>
        <w:t>the Aggregate replacement ratio (ratio of the median individual gross pensions of people aged 65–74 and the median individual gross earnings of people aged 50-59</w:t>
      </w:r>
      <w:r w:rsidR="009927AE">
        <w:rPr>
          <w:rFonts w:ascii="Arial" w:hAnsi="Arial" w:cs="Arial"/>
          <w:sz w:val="22"/>
          <w:szCs w:val="22"/>
          <w:lang w:val="en-US"/>
        </w:rPr>
        <w:t>)</w:t>
      </w:r>
      <w:r w:rsidRPr="009927AE">
        <w:rPr>
          <w:rFonts w:ascii="Arial" w:hAnsi="Arial" w:cs="Arial"/>
          <w:sz w:val="22"/>
          <w:szCs w:val="22"/>
          <w:lang w:val="en-US"/>
        </w:rPr>
        <w:t xml:space="preserve"> is slightly higher in Spain compared to the EU average. Concerning the EU 2020 target on poverty and exclusion, old age poverty in Spain is lower than the EU average.</w:t>
      </w:r>
    </w:p>
    <w:p w:rsidR="007C557B" w:rsidRPr="007C557B" w:rsidRDefault="007C557B" w:rsidP="00571B02">
      <w:pPr>
        <w:jc w:val="both"/>
        <w:rPr>
          <w:sz w:val="22"/>
          <w:szCs w:val="22"/>
          <w:lang w:val="en-US"/>
        </w:rPr>
      </w:pPr>
    </w:p>
    <w:p w:rsidR="007C557B" w:rsidRDefault="007C557B" w:rsidP="00571B02">
      <w:pPr>
        <w:spacing w:line="276" w:lineRule="auto"/>
        <w:jc w:val="both"/>
        <w:rPr>
          <w:rFonts w:ascii="Arial" w:hAnsi="Arial" w:cs="Arial"/>
          <w:i/>
          <w:sz w:val="22"/>
          <w:szCs w:val="22"/>
          <w:u w:val="single"/>
          <w:lang w:val="en-US"/>
        </w:rPr>
      </w:pPr>
      <w:r w:rsidRPr="007C557B">
        <w:rPr>
          <w:rFonts w:ascii="Arial" w:hAnsi="Arial" w:cs="Arial"/>
          <w:i/>
          <w:sz w:val="22"/>
          <w:szCs w:val="22"/>
          <w:u w:val="single"/>
          <w:lang w:val="en-US"/>
        </w:rPr>
        <w:t xml:space="preserve">Unemployment </w:t>
      </w:r>
    </w:p>
    <w:p w:rsidR="009927AE" w:rsidRPr="007C557B" w:rsidRDefault="009927AE" w:rsidP="00571B02">
      <w:pPr>
        <w:spacing w:line="276" w:lineRule="auto"/>
        <w:jc w:val="both"/>
        <w:rPr>
          <w:rFonts w:ascii="Arial" w:hAnsi="Arial" w:cs="Arial"/>
          <w:i/>
          <w:sz w:val="22"/>
          <w:szCs w:val="22"/>
          <w:u w:val="single"/>
          <w:lang w:val="en-US"/>
        </w:rPr>
      </w:pPr>
    </w:p>
    <w:tbl>
      <w:tblPr>
        <w:tblW w:w="4540" w:type="dxa"/>
        <w:tblInd w:w="55" w:type="dxa"/>
        <w:tblCellMar>
          <w:left w:w="70" w:type="dxa"/>
          <w:right w:w="70" w:type="dxa"/>
        </w:tblCellMar>
        <w:tblLook w:val="04A0" w:firstRow="1" w:lastRow="0" w:firstColumn="1" w:lastColumn="0" w:noHBand="0" w:noVBand="1"/>
      </w:tblPr>
      <w:tblGrid>
        <w:gridCol w:w="2140"/>
        <w:gridCol w:w="1200"/>
        <w:gridCol w:w="1200"/>
      </w:tblGrid>
      <w:tr w:rsidR="007C557B" w:rsidRPr="00F81C8C" w:rsidTr="007C557B">
        <w:trPr>
          <w:trHeight w:val="76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sz w:val="20"/>
                <w:szCs w:val="20"/>
                <w:lang w:val="en-US" w:eastAsia="es-ES"/>
              </w:rPr>
            </w:pPr>
            <w:r w:rsidRPr="00F81C8C">
              <w:rPr>
                <w:rFonts w:ascii="Times New Roman" w:eastAsia="Times New Roman" w:hAnsi="Times New Roman" w:cs="Times New Roman"/>
                <w:sz w:val="20"/>
                <w:szCs w:val="20"/>
                <w:lang w:val="en-US" w:eastAsia="es-ES"/>
              </w:rPr>
              <w:t xml:space="preserve">Unemployment </w:t>
            </w:r>
            <w:r w:rsidRPr="00F81C8C">
              <w:rPr>
                <w:rFonts w:ascii="Times New Roman" w:eastAsia="Times New Roman" w:hAnsi="Times New Roman" w:cs="Times New Roman"/>
                <w:i/>
                <w:iCs/>
                <w:color w:val="000000"/>
                <w:sz w:val="18"/>
                <w:szCs w:val="18"/>
                <w:lang w:val="en-US" w:eastAsia="es-ES"/>
              </w:rPr>
              <w:t xml:space="preserve">Indicator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i/>
                <w:iCs/>
                <w:color w:val="000000"/>
                <w:sz w:val="18"/>
                <w:szCs w:val="18"/>
                <w:lang w:val="en-US" w:eastAsia="es-ES"/>
              </w:rPr>
            </w:pPr>
            <w:r w:rsidRPr="00F81C8C">
              <w:rPr>
                <w:rFonts w:ascii="Times New Roman" w:eastAsia="Times New Roman" w:hAnsi="Times New Roman" w:cs="Times New Roman"/>
                <w:i/>
                <w:iCs/>
                <w:color w:val="000000"/>
                <w:sz w:val="18"/>
                <w:szCs w:val="18"/>
                <w:lang w:val="en-US" w:eastAsia="es-ES"/>
              </w:rPr>
              <w:t>EU-28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i/>
                <w:iCs/>
                <w:color w:val="000000"/>
                <w:sz w:val="18"/>
                <w:szCs w:val="18"/>
                <w:lang w:val="en-US" w:eastAsia="es-ES"/>
              </w:rPr>
            </w:pPr>
            <w:r w:rsidRPr="00F81C8C">
              <w:rPr>
                <w:rFonts w:ascii="Times New Roman" w:eastAsia="Times New Roman" w:hAnsi="Times New Roman" w:cs="Times New Roman"/>
                <w:i/>
                <w:iCs/>
                <w:color w:val="000000"/>
                <w:sz w:val="18"/>
                <w:szCs w:val="18"/>
                <w:lang w:val="en-US" w:eastAsia="es-ES"/>
              </w:rPr>
              <w:t>Spain</w:t>
            </w:r>
          </w:p>
        </w:tc>
      </w:tr>
      <w:tr w:rsidR="007C557B" w:rsidRPr="00F81C8C" w:rsidTr="007C557B">
        <w:trPr>
          <w:trHeight w:val="48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proofErr w:type="spellStart"/>
            <w:r w:rsidRPr="00F81C8C">
              <w:rPr>
                <w:rFonts w:ascii="Times New Roman" w:eastAsia="Times New Roman" w:hAnsi="Times New Roman" w:cs="Times New Roman"/>
                <w:color w:val="000000"/>
                <w:sz w:val="18"/>
                <w:szCs w:val="18"/>
                <w:lang w:val="en-US" w:eastAsia="es-ES"/>
              </w:rPr>
              <w:t>Unempl</w:t>
            </w:r>
            <w:proofErr w:type="spellEnd"/>
            <w:r w:rsidRPr="00F81C8C">
              <w:rPr>
                <w:rFonts w:ascii="Times New Roman" w:eastAsia="Times New Roman" w:hAnsi="Times New Roman" w:cs="Times New Roman"/>
                <w:color w:val="000000"/>
                <w:sz w:val="18"/>
                <w:szCs w:val="18"/>
                <w:lang w:val="en-US" w:eastAsia="es-ES"/>
              </w:rPr>
              <w:t xml:space="preserve"> exp - % GDP (2012)</w:t>
            </w:r>
          </w:p>
        </w:tc>
        <w:tc>
          <w:tcPr>
            <w:tcW w:w="1200" w:type="dxa"/>
            <w:tcBorders>
              <w:top w:val="nil"/>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r w:rsidRPr="00F81C8C">
              <w:rPr>
                <w:rFonts w:ascii="Times New Roman" w:eastAsia="Times New Roman" w:hAnsi="Times New Roman" w:cs="Times New Roman"/>
                <w:color w:val="000000"/>
                <w:sz w:val="18"/>
                <w:szCs w:val="18"/>
                <w:lang w:val="en-US" w:eastAsia="es-ES"/>
              </w:rPr>
              <w:t>1,5</w:t>
            </w:r>
          </w:p>
        </w:tc>
        <w:tc>
          <w:tcPr>
            <w:tcW w:w="1200" w:type="dxa"/>
            <w:tcBorders>
              <w:top w:val="nil"/>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r w:rsidRPr="00F81C8C">
              <w:rPr>
                <w:rFonts w:ascii="Times New Roman" w:eastAsia="Times New Roman" w:hAnsi="Times New Roman" w:cs="Times New Roman"/>
                <w:color w:val="000000"/>
                <w:sz w:val="18"/>
                <w:szCs w:val="18"/>
                <w:lang w:val="en-US" w:eastAsia="es-ES"/>
              </w:rPr>
              <w:t>3,5</w:t>
            </w:r>
          </w:p>
        </w:tc>
      </w:tr>
      <w:tr w:rsidR="007C557B" w:rsidRPr="00F81C8C" w:rsidTr="007C557B">
        <w:trPr>
          <w:trHeight w:val="72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r w:rsidRPr="00F81C8C">
              <w:rPr>
                <w:rFonts w:ascii="Times New Roman" w:eastAsia="Times New Roman" w:hAnsi="Times New Roman" w:cs="Times New Roman"/>
                <w:color w:val="000000"/>
                <w:sz w:val="18"/>
                <w:szCs w:val="18"/>
                <w:lang w:val="en-US" w:eastAsia="es-ES"/>
              </w:rPr>
              <w:t>AROP Unemployed (2014)</w:t>
            </w:r>
          </w:p>
        </w:tc>
        <w:tc>
          <w:tcPr>
            <w:tcW w:w="1200" w:type="dxa"/>
            <w:tcBorders>
              <w:top w:val="nil"/>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r w:rsidRPr="00F81C8C">
              <w:rPr>
                <w:rFonts w:ascii="Times New Roman" w:eastAsia="Times New Roman" w:hAnsi="Times New Roman" w:cs="Times New Roman"/>
                <w:color w:val="000000"/>
                <w:sz w:val="18"/>
                <w:szCs w:val="18"/>
                <w:lang w:val="en-US" w:eastAsia="es-ES"/>
              </w:rPr>
              <w:t>47,5</w:t>
            </w:r>
          </w:p>
        </w:tc>
        <w:tc>
          <w:tcPr>
            <w:tcW w:w="1200" w:type="dxa"/>
            <w:tcBorders>
              <w:top w:val="nil"/>
              <w:left w:val="nil"/>
              <w:bottom w:val="single" w:sz="4" w:space="0" w:color="auto"/>
              <w:right w:val="single" w:sz="4" w:space="0" w:color="auto"/>
            </w:tcBorders>
            <w:shd w:val="clear" w:color="auto" w:fill="auto"/>
            <w:vAlign w:val="center"/>
            <w:hideMark/>
          </w:tcPr>
          <w:p w:rsidR="007C557B" w:rsidRPr="00F81C8C" w:rsidRDefault="007C557B" w:rsidP="00571B02">
            <w:pPr>
              <w:jc w:val="both"/>
              <w:rPr>
                <w:rFonts w:ascii="Times New Roman" w:eastAsia="Times New Roman" w:hAnsi="Times New Roman" w:cs="Times New Roman"/>
                <w:color w:val="000000"/>
                <w:sz w:val="18"/>
                <w:szCs w:val="18"/>
                <w:lang w:val="en-US" w:eastAsia="es-ES"/>
              </w:rPr>
            </w:pPr>
            <w:r w:rsidRPr="00F81C8C">
              <w:rPr>
                <w:rFonts w:ascii="Times New Roman" w:eastAsia="Times New Roman" w:hAnsi="Times New Roman" w:cs="Times New Roman"/>
                <w:color w:val="000000"/>
                <w:sz w:val="18"/>
                <w:szCs w:val="18"/>
                <w:lang w:val="en-US" w:eastAsia="es-ES"/>
              </w:rPr>
              <w:t>48,1</w:t>
            </w:r>
          </w:p>
        </w:tc>
      </w:tr>
    </w:tbl>
    <w:p w:rsidR="007C557B" w:rsidRPr="007C557B" w:rsidRDefault="007C557B" w:rsidP="00571B02">
      <w:pPr>
        <w:jc w:val="both"/>
        <w:rPr>
          <w:lang w:val="en-US"/>
        </w:rPr>
      </w:pPr>
    </w:p>
    <w:p w:rsidR="007C557B" w:rsidRPr="007C557B" w:rsidRDefault="007C557B" w:rsidP="00571B02">
      <w:pPr>
        <w:jc w:val="both"/>
        <w:rPr>
          <w:rFonts w:ascii="Arial" w:hAnsi="Arial" w:cs="Arial"/>
          <w:sz w:val="22"/>
          <w:szCs w:val="22"/>
          <w:lang w:val="en-US"/>
        </w:rPr>
      </w:pPr>
      <w:r w:rsidRPr="007C557B">
        <w:rPr>
          <w:rFonts w:ascii="Arial" w:hAnsi="Arial" w:cs="Arial"/>
          <w:sz w:val="22"/>
          <w:szCs w:val="22"/>
          <w:lang w:val="en-US"/>
        </w:rPr>
        <w:t>Concerning the target of poverty reduction, the risk of poverty among unemployed in Spain is in line with EU average although unemployment rate is twice higher in Spain than in EU area.</w:t>
      </w:r>
    </w:p>
    <w:p w:rsidR="007C557B" w:rsidRPr="007C557B" w:rsidRDefault="007C557B" w:rsidP="00571B02">
      <w:pPr>
        <w:jc w:val="both"/>
        <w:rPr>
          <w:sz w:val="22"/>
          <w:szCs w:val="22"/>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8D59F2" w:rsidRDefault="008D59F2" w:rsidP="00571B02">
      <w:pPr>
        <w:spacing w:line="276" w:lineRule="auto"/>
        <w:jc w:val="both"/>
        <w:rPr>
          <w:rFonts w:ascii="Arial" w:hAnsi="Arial" w:cs="Arial"/>
          <w:i/>
          <w:sz w:val="22"/>
          <w:szCs w:val="22"/>
          <w:u w:val="single"/>
          <w:lang w:val="en-US"/>
        </w:rPr>
      </w:pPr>
    </w:p>
    <w:p w:rsidR="007C557B" w:rsidRDefault="007C557B" w:rsidP="00571B02">
      <w:pPr>
        <w:spacing w:line="276" w:lineRule="auto"/>
        <w:jc w:val="both"/>
        <w:rPr>
          <w:rFonts w:ascii="Arial" w:hAnsi="Arial" w:cs="Arial"/>
          <w:i/>
          <w:sz w:val="22"/>
          <w:szCs w:val="22"/>
          <w:u w:val="single"/>
          <w:lang w:val="en-US"/>
        </w:rPr>
      </w:pPr>
      <w:r w:rsidRPr="007C557B">
        <w:rPr>
          <w:rFonts w:ascii="Arial" w:hAnsi="Arial" w:cs="Arial"/>
          <w:i/>
          <w:sz w:val="22"/>
          <w:szCs w:val="22"/>
          <w:u w:val="single"/>
          <w:lang w:val="en-US"/>
        </w:rPr>
        <w:lastRenderedPageBreak/>
        <w:t xml:space="preserve">Social exclusion, housing and family support </w:t>
      </w:r>
    </w:p>
    <w:p w:rsidR="008D59F2" w:rsidRPr="007C557B" w:rsidRDefault="008D59F2" w:rsidP="00571B02">
      <w:pPr>
        <w:spacing w:line="276" w:lineRule="auto"/>
        <w:jc w:val="both"/>
        <w:rPr>
          <w:rFonts w:ascii="Arial" w:hAnsi="Arial" w:cs="Arial"/>
          <w:i/>
          <w:sz w:val="22"/>
          <w:szCs w:val="22"/>
          <w:u w:val="single"/>
          <w:lang w:val="en-US"/>
        </w:rPr>
      </w:pPr>
    </w:p>
    <w:p w:rsidR="007C557B" w:rsidRPr="007C557B" w:rsidRDefault="007C557B" w:rsidP="00571B02">
      <w:pPr>
        <w:jc w:val="both"/>
        <w:rPr>
          <w:rFonts w:ascii="Arial" w:hAnsi="Arial" w:cs="Arial"/>
          <w:sz w:val="22"/>
          <w:szCs w:val="22"/>
          <w:lang w:val="en-US"/>
        </w:rPr>
      </w:pPr>
      <w:r w:rsidRPr="007C557B">
        <w:rPr>
          <w:rFonts w:ascii="Arial" w:hAnsi="Arial" w:cs="Arial"/>
          <w:sz w:val="22"/>
          <w:szCs w:val="22"/>
          <w:lang w:val="en-US"/>
        </w:rPr>
        <w:t xml:space="preserve">Social exclusion and housing expenditure provide support to households in order to alleviate poverty and exclusion, in particular through income and housing support (be it in kind or in cash). </w:t>
      </w:r>
    </w:p>
    <w:p w:rsidR="007C557B" w:rsidRPr="007C557B" w:rsidRDefault="007C557B" w:rsidP="00571B02">
      <w:pPr>
        <w:jc w:val="both"/>
        <w:rPr>
          <w:sz w:val="22"/>
          <w:szCs w:val="22"/>
          <w:lang w:val="en-US"/>
        </w:rPr>
      </w:pPr>
    </w:p>
    <w:tbl>
      <w:tblPr>
        <w:tblW w:w="6678" w:type="dxa"/>
        <w:tblInd w:w="55" w:type="dxa"/>
        <w:tblLayout w:type="fixed"/>
        <w:tblCellMar>
          <w:left w:w="70" w:type="dxa"/>
          <w:right w:w="70" w:type="dxa"/>
        </w:tblCellMar>
        <w:tblLook w:val="04A0" w:firstRow="1" w:lastRow="0" w:firstColumn="1" w:lastColumn="0" w:noHBand="0" w:noVBand="1"/>
      </w:tblPr>
      <w:tblGrid>
        <w:gridCol w:w="4533"/>
        <w:gridCol w:w="1152"/>
        <w:gridCol w:w="993"/>
      </w:tblGrid>
      <w:tr w:rsidR="007C557B" w:rsidRPr="00AD12F7" w:rsidTr="008D59F2">
        <w:trPr>
          <w:trHeight w:val="750"/>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sz w:val="20"/>
                <w:szCs w:val="20"/>
                <w:lang w:val="en-US" w:eastAsia="es-ES"/>
              </w:rPr>
            </w:pPr>
            <w:r w:rsidRPr="00AD12F7">
              <w:rPr>
                <w:rFonts w:ascii="Times New Roman" w:eastAsia="Times New Roman" w:hAnsi="Times New Roman" w:cs="Times New Roman"/>
                <w:sz w:val="20"/>
                <w:szCs w:val="20"/>
                <w:lang w:val="en-US" w:eastAsia="es-ES"/>
              </w:rPr>
              <w:t xml:space="preserve">Social Exclusion, Housing and Family </w:t>
            </w:r>
            <w:r w:rsidRPr="00AD12F7">
              <w:rPr>
                <w:rFonts w:ascii="Times New Roman" w:eastAsia="Times New Roman" w:hAnsi="Times New Roman" w:cs="Times New Roman"/>
                <w:i/>
                <w:iCs/>
                <w:color w:val="000000"/>
                <w:sz w:val="18"/>
                <w:szCs w:val="18"/>
                <w:lang w:val="en-US" w:eastAsia="es-ES"/>
              </w:rPr>
              <w:t xml:space="preserve">Indicator </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i/>
                <w:iCs/>
                <w:color w:val="000000"/>
                <w:sz w:val="18"/>
                <w:szCs w:val="18"/>
                <w:lang w:val="en-US" w:eastAsia="es-ES"/>
              </w:rPr>
            </w:pPr>
            <w:r w:rsidRPr="00AD12F7">
              <w:rPr>
                <w:rFonts w:ascii="Times New Roman" w:eastAsia="Times New Roman" w:hAnsi="Times New Roman" w:cs="Times New Roman"/>
                <w:i/>
                <w:iCs/>
                <w:color w:val="000000"/>
                <w:sz w:val="18"/>
                <w:szCs w:val="18"/>
                <w:lang w:val="en-US" w:eastAsia="es-ES"/>
              </w:rPr>
              <w:t>EU-28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i/>
                <w:iCs/>
                <w:color w:val="000000"/>
                <w:sz w:val="18"/>
                <w:szCs w:val="18"/>
                <w:lang w:val="en-US" w:eastAsia="es-ES"/>
              </w:rPr>
            </w:pPr>
            <w:r w:rsidRPr="00AD12F7">
              <w:rPr>
                <w:rFonts w:ascii="Times New Roman" w:eastAsia="Times New Roman" w:hAnsi="Times New Roman" w:cs="Times New Roman"/>
                <w:i/>
                <w:iCs/>
                <w:color w:val="000000"/>
                <w:sz w:val="18"/>
                <w:szCs w:val="18"/>
                <w:lang w:val="en-US" w:eastAsia="es-ES"/>
              </w:rPr>
              <w:t>Spain</w:t>
            </w:r>
          </w:p>
        </w:tc>
      </w:tr>
      <w:tr w:rsidR="007C557B" w:rsidRPr="00AD12F7" w:rsidTr="008D59F2">
        <w:trPr>
          <w:trHeight w:val="720"/>
        </w:trPr>
        <w:tc>
          <w:tcPr>
            <w:tcW w:w="4533" w:type="dxa"/>
            <w:tcBorders>
              <w:top w:val="nil"/>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Social Exclusion, Housing and Family Exp - % GDP (2012)</w:t>
            </w:r>
          </w:p>
        </w:tc>
        <w:tc>
          <w:tcPr>
            <w:tcW w:w="1152"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3,4</w:t>
            </w:r>
          </w:p>
        </w:tc>
        <w:tc>
          <w:tcPr>
            <w:tcW w:w="993"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1,6</w:t>
            </w:r>
          </w:p>
        </w:tc>
      </w:tr>
      <w:tr w:rsidR="007C557B" w:rsidRPr="00AD12F7" w:rsidTr="008D59F2">
        <w:trPr>
          <w:trHeight w:val="720"/>
        </w:trPr>
        <w:tc>
          <w:tcPr>
            <w:tcW w:w="4533" w:type="dxa"/>
            <w:tcBorders>
              <w:top w:val="nil"/>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Impact of Social Transfers (excluding pensions)</w:t>
            </w:r>
          </w:p>
        </w:tc>
        <w:tc>
          <w:tcPr>
            <w:tcW w:w="1152"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34,1</w:t>
            </w:r>
          </w:p>
        </w:tc>
        <w:tc>
          <w:tcPr>
            <w:tcW w:w="993"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28,6</w:t>
            </w:r>
          </w:p>
        </w:tc>
      </w:tr>
      <w:tr w:rsidR="007C557B" w:rsidRPr="00AD12F7" w:rsidTr="008D59F2">
        <w:trPr>
          <w:trHeight w:val="720"/>
        </w:trPr>
        <w:tc>
          <w:tcPr>
            <w:tcW w:w="4533" w:type="dxa"/>
            <w:tcBorders>
              <w:top w:val="nil"/>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AROP Total Population (2014)</w:t>
            </w:r>
          </w:p>
        </w:tc>
        <w:tc>
          <w:tcPr>
            <w:tcW w:w="1152"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17,2</w:t>
            </w:r>
          </w:p>
        </w:tc>
        <w:tc>
          <w:tcPr>
            <w:tcW w:w="993"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22,2</w:t>
            </w:r>
          </w:p>
        </w:tc>
      </w:tr>
      <w:tr w:rsidR="007C557B" w:rsidRPr="00AD12F7" w:rsidTr="008D59F2">
        <w:trPr>
          <w:trHeight w:val="647"/>
        </w:trPr>
        <w:tc>
          <w:tcPr>
            <w:tcW w:w="4533" w:type="dxa"/>
            <w:tcBorders>
              <w:top w:val="nil"/>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Housing Cost Overburden Rate</w:t>
            </w:r>
          </w:p>
        </w:tc>
        <w:tc>
          <w:tcPr>
            <w:tcW w:w="1152"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11,4</w:t>
            </w:r>
          </w:p>
        </w:tc>
        <w:tc>
          <w:tcPr>
            <w:tcW w:w="993"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10,9</w:t>
            </w:r>
          </w:p>
        </w:tc>
      </w:tr>
      <w:tr w:rsidR="007C557B" w:rsidRPr="00AD12F7" w:rsidTr="008D59F2">
        <w:trPr>
          <w:trHeight w:val="480"/>
        </w:trPr>
        <w:tc>
          <w:tcPr>
            <w:tcW w:w="4533" w:type="dxa"/>
            <w:tcBorders>
              <w:top w:val="nil"/>
              <w:left w:val="single" w:sz="4" w:space="0" w:color="auto"/>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Overcrowding rate</w:t>
            </w:r>
          </w:p>
        </w:tc>
        <w:tc>
          <w:tcPr>
            <w:tcW w:w="1152"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16,9</w:t>
            </w:r>
          </w:p>
        </w:tc>
        <w:tc>
          <w:tcPr>
            <w:tcW w:w="993" w:type="dxa"/>
            <w:tcBorders>
              <w:top w:val="nil"/>
              <w:left w:val="nil"/>
              <w:bottom w:val="single" w:sz="4" w:space="0" w:color="auto"/>
              <w:right w:val="single" w:sz="4" w:space="0" w:color="auto"/>
            </w:tcBorders>
            <w:shd w:val="clear" w:color="auto" w:fill="auto"/>
            <w:vAlign w:val="center"/>
            <w:hideMark/>
          </w:tcPr>
          <w:p w:rsidR="007C557B" w:rsidRPr="00AD12F7" w:rsidRDefault="007C557B" w:rsidP="00571B02">
            <w:pPr>
              <w:jc w:val="both"/>
              <w:rPr>
                <w:rFonts w:ascii="Times New Roman" w:eastAsia="Times New Roman" w:hAnsi="Times New Roman" w:cs="Times New Roman"/>
                <w:color w:val="000000"/>
                <w:sz w:val="18"/>
                <w:szCs w:val="18"/>
                <w:lang w:val="en-US" w:eastAsia="es-ES"/>
              </w:rPr>
            </w:pPr>
            <w:r w:rsidRPr="00AD12F7">
              <w:rPr>
                <w:rFonts w:ascii="Times New Roman" w:eastAsia="Times New Roman" w:hAnsi="Times New Roman" w:cs="Times New Roman"/>
                <w:color w:val="000000"/>
                <w:sz w:val="18"/>
                <w:szCs w:val="18"/>
                <w:lang w:val="en-US" w:eastAsia="es-ES"/>
              </w:rPr>
              <w:t>5,3</w:t>
            </w:r>
          </w:p>
        </w:tc>
      </w:tr>
    </w:tbl>
    <w:p w:rsidR="007C557B" w:rsidRPr="007C557B" w:rsidRDefault="007C557B" w:rsidP="00571B02">
      <w:pPr>
        <w:jc w:val="both"/>
        <w:rPr>
          <w:lang w:val="en-US"/>
        </w:rPr>
      </w:pPr>
    </w:p>
    <w:p w:rsidR="007C557B" w:rsidRPr="007C557B" w:rsidRDefault="007C557B" w:rsidP="00571B02">
      <w:pPr>
        <w:jc w:val="both"/>
        <w:rPr>
          <w:rFonts w:ascii="Arial" w:hAnsi="Arial" w:cs="Arial"/>
          <w:sz w:val="22"/>
          <w:szCs w:val="22"/>
          <w:lang w:val="en-US"/>
        </w:rPr>
      </w:pPr>
      <w:r w:rsidRPr="007C557B">
        <w:rPr>
          <w:rFonts w:ascii="Arial" w:hAnsi="Arial" w:cs="Arial"/>
          <w:sz w:val="22"/>
          <w:szCs w:val="22"/>
          <w:lang w:val="en-US"/>
        </w:rPr>
        <w:t xml:space="preserve">The Spanish expenditure in this area is lower than in EU area. The outcomes </w:t>
      </w:r>
      <w:r>
        <w:rPr>
          <w:rFonts w:ascii="Arial" w:hAnsi="Arial" w:cs="Arial"/>
          <w:sz w:val="22"/>
          <w:szCs w:val="22"/>
          <w:lang w:val="en-US"/>
        </w:rPr>
        <w:t>of this measures o</w:t>
      </w:r>
      <w:r w:rsidRPr="007C557B">
        <w:rPr>
          <w:rFonts w:ascii="Arial" w:hAnsi="Arial" w:cs="Arial"/>
          <w:sz w:val="22"/>
          <w:szCs w:val="22"/>
          <w:lang w:val="en-US"/>
        </w:rPr>
        <w:t xml:space="preserve">n AROP and </w:t>
      </w:r>
      <w:r>
        <w:rPr>
          <w:rFonts w:ascii="Arial" w:hAnsi="Arial" w:cs="Arial"/>
          <w:sz w:val="22"/>
          <w:szCs w:val="22"/>
          <w:lang w:val="en-US"/>
        </w:rPr>
        <w:t xml:space="preserve">on </w:t>
      </w:r>
      <w:r w:rsidRPr="007C557B">
        <w:rPr>
          <w:rFonts w:ascii="Arial" w:hAnsi="Arial" w:cs="Arial"/>
          <w:sz w:val="22"/>
          <w:szCs w:val="22"/>
          <w:lang w:val="en-US"/>
        </w:rPr>
        <w:t>Impact of Social transfers (relative reduction in the share of population living at risk of poverty (in %) due to social transfers (excluding pensions) are also lower. Housing indicators however show that Spain performs well on both indicators compared to the EU average.</w:t>
      </w:r>
    </w:p>
    <w:p w:rsidR="00AC2B6D" w:rsidRPr="007C557B" w:rsidRDefault="00AC2B6D" w:rsidP="00571B02">
      <w:pPr>
        <w:pStyle w:val="NormalWeb"/>
        <w:spacing w:after="0" w:afterAutospacing="0"/>
        <w:jc w:val="both"/>
        <w:rPr>
          <w:rFonts w:ascii="Arial" w:hAnsi="Arial" w:cs="Arial"/>
          <w:b/>
          <w:sz w:val="28"/>
          <w:szCs w:val="28"/>
          <w:lang w:val="en-US"/>
        </w:rPr>
      </w:pPr>
      <w:r w:rsidRPr="007C557B">
        <w:rPr>
          <w:rFonts w:ascii="Arial" w:hAnsi="Arial" w:cs="Arial"/>
          <w:b/>
          <w:sz w:val="28"/>
          <w:szCs w:val="28"/>
          <w:lang w:val="en-US"/>
        </w:rPr>
        <w:t>5. SUSTAINABILITY AND FINANCIAL REFORM</w:t>
      </w:r>
    </w:p>
    <w:p w:rsidR="002B3A08" w:rsidRPr="007C557B" w:rsidRDefault="002B3A08" w:rsidP="00571B02">
      <w:pPr>
        <w:pStyle w:val="NormalWeb"/>
        <w:spacing w:before="0" w:beforeAutospacing="0" w:after="0" w:afterAutospacing="0"/>
        <w:jc w:val="both"/>
        <w:rPr>
          <w:rFonts w:ascii="Arial" w:hAnsi="Arial" w:cs="Arial"/>
          <w:sz w:val="22"/>
          <w:szCs w:val="22"/>
          <w:lang w:val="en-US"/>
        </w:rPr>
      </w:pPr>
    </w:p>
    <w:p w:rsidR="00174A28" w:rsidRPr="007C557B" w:rsidRDefault="007C557B" w:rsidP="00571B02">
      <w:pPr>
        <w:pStyle w:val="NormalWeb"/>
        <w:spacing w:before="0" w:beforeAutospacing="0" w:after="0" w:afterAutospacing="0"/>
        <w:jc w:val="both"/>
        <w:rPr>
          <w:rFonts w:ascii="Arial" w:hAnsi="Arial" w:cs="Arial"/>
          <w:sz w:val="22"/>
          <w:szCs w:val="22"/>
          <w:lang w:val="en-US"/>
        </w:rPr>
      </w:pPr>
      <w:r>
        <w:rPr>
          <w:rFonts w:ascii="Arial" w:hAnsi="Arial" w:cs="Arial"/>
          <w:sz w:val="22"/>
          <w:szCs w:val="22"/>
          <w:lang w:val="en-US"/>
        </w:rPr>
        <w:t>T</w:t>
      </w:r>
      <w:r w:rsidR="00174A28" w:rsidRPr="007C557B">
        <w:rPr>
          <w:rFonts w:ascii="Arial" w:hAnsi="Arial" w:cs="Arial"/>
          <w:sz w:val="22"/>
          <w:szCs w:val="22"/>
          <w:lang w:val="en-US"/>
        </w:rPr>
        <w:t xml:space="preserve">he </w:t>
      </w:r>
      <w:r>
        <w:rPr>
          <w:rFonts w:ascii="Arial" w:hAnsi="Arial" w:cs="Arial"/>
          <w:sz w:val="22"/>
          <w:szCs w:val="22"/>
          <w:lang w:val="en-US"/>
        </w:rPr>
        <w:t xml:space="preserve">Spanish </w:t>
      </w:r>
      <w:r w:rsidR="00174A28" w:rsidRPr="007C557B">
        <w:rPr>
          <w:rFonts w:ascii="Arial" w:hAnsi="Arial" w:cs="Arial"/>
          <w:sz w:val="22"/>
          <w:szCs w:val="22"/>
          <w:lang w:val="en-US"/>
        </w:rPr>
        <w:t>pension system have been quite successful over the years in guaranteeing de</w:t>
      </w:r>
      <w:r w:rsidR="00A5307F" w:rsidRPr="007C557B">
        <w:rPr>
          <w:rFonts w:ascii="Arial" w:hAnsi="Arial" w:cs="Arial"/>
          <w:sz w:val="22"/>
          <w:szCs w:val="22"/>
          <w:lang w:val="en-US"/>
        </w:rPr>
        <w:t>c</w:t>
      </w:r>
      <w:r w:rsidR="00174A28" w:rsidRPr="007C557B">
        <w:rPr>
          <w:rFonts w:ascii="Arial" w:hAnsi="Arial" w:cs="Arial"/>
          <w:sz w:val="22"/>
          <w:szCs w:val="22"/>
          <w:lang w:val="en-US"/>
        </w:rPr>
        <w:t xml:space="preserve">ent living conditions to retirees, since the </w:t>
      </w:r>
      <w:r w:rsidR="00A5307F" w:rsidRPr="007C557B">
        <w:rPr>
          <w:rFonts w:ascii="Arial" w:hAnsi="Arial" w:cs="Arial"/>
          <w:sz w:val="22"/>
          <w:szCs w:val="22"/>
          <w:lang w:val="en-US"/>
        </w:rPr>
        <w:t>poverty rate among the retired population</w:t>
      </w:r>
      <w:r w:rsidR="008A52E2" w:rsidRPr="007C557B">
        <w:rPr>
          <w:rFonts w:ascii="Arial" w:hAnsi="Arial" w:cs="Arial"/>
          <w:sz w:val="22"/>
          <w:szCs w:val="22"/>
          <w:lang w:val="en-US"/>
        </w:rPr>
        <w:t xml:space="preserve"> (At risk of poverty rate 65+ was 12.3% in 2015)</w:t>
      </w:r>
      <w:r w:rsidR="00A5307F" w:rsidRPr="007C557B">
        <w:rPr>
          <w:rFonts w:ascii="Arial" w:hAnsi="Arial" w:cs="Arial"/>
          <w:sz w:val="22"/>
          <w:szCs w:val="22"/>
          <w:lang w:val="en-US"/>
        </w:rPr>
        <w:t xml:space="preserve"> is consistently lower than that among the general population</w:t>
      </w:r>
      <w:r w:rsidR="008A52E2" w:rsidRPr="007C557B">
        <w:rPr>
          <w:rFonts w:ascii="Arial" w:hAnsi="Arial" w:cs="Arial"/>
          <w:sz w:val="22"/>
          <w:szCs w:val="22"/>
          <w:lang w:val="en-US"/>
        </w:rPr>
        <w:t xml:space="preserve"> (At risk of poverty rate for the total population was 22.1% in 2015)</w:t>
      </w:r>
    </w:p>
    <w:p w:rsidR="00E86CE7" w:rsidRPr="007C557B" w:rsidRDefault="00E86CE7" w:rsidP="00571B02">
      <w:pPr>
        <w:pStyle w:val="NormalWeb"/>
        <w:spacing w:before="0" w:beforeAutospacing="0" w:after="0" w:afterAutospacing="0"/>
        <w:jc w:val="both"/>
        <w:rPr>
          <w:rFonts w:ascii="Arial" w:hAnsi="Arial" w:cs="Arial"/>
          <w:sz w:val="22"/>
          <w:szCs w:val="22"/>
          <w:lang w:val="en-US"/>
        </w:rPr>
      </w:pPr>
    </w:p>
    <w:p w:rsidR="00A5307F" w:rsidRPr="007C557B" w:rsidRDefault="00A5307F"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It is therefore expected that the adjustments made in some parameters of the pension formula will not, when coupled with the </w:t>
      </w:r>
      <w:r w:rsidR="008D59F2" w:rsidRPr="007C557B">
        <w:rPr>
          <w:rFonts w:ascii="Arial" w:hAnsi="Arial" w:cs="Arial"/>
          <w:sz w:val="22"/>
          <w:szCs w:val="22"/>
          <w:lang w:val="en-US"/>
        </w:rPr>
        <w:t>stabilizing</w:t>
      </w:r>
      <w:r w:rsidRPr="007C557B">
        <w:rPr>
          <w:rFonts w:ascii="Arial" w:hAnsi="Arial" w:cs="Arial"/>
          <w:sz w:val="22"/>
          <w:szCs w:val="22"/>
          <w:lang w:val="en-US"/>
        </w:rPr>
        <w:t xml:space="preserve"> effect of extension of contributory periods through increase in legal retirement age and reduction in early retirement facilities, act too much negatively on </w:t>
      </w:r>
      <w:r w:rsidR="00E86CE7" w:rsidRPr="007C557B">
        <w:rPr>
          <w:rFonts w:ascii="Arial" w:hAnsi="Arial" w:cs="Arial"/>
          <w:sz w:val="22"/>
          <w:szCs w:val="22"/>
          <w:lang w:val="en-US"/>
        </w:rPr>
        <w:t>retirees’</w:t>
      </w:r>
      <w:r w:rsidRPr="007C557B">
        <w:rPr>
          <w:rFonts w:ascii="Arial" w:hAnsi="Arial" w:cs="Arial"/>
          <w:sz w:val="22"/>
          <w:szCs w:val="22"/>
          <w:lang w:val="en-US"/>
        </w:rPr>
        <w:t xml:space="preserve"> future standards of living.</w:t>
      </w:r>
    </w:p>
    <w:p w:rsidR="006B0759" w:rsidRPr="007C557B" w:rsidRDefault="006B0759"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Several reforms of the Social Security pensions system, implementing the Act 27/2011</w:t>
      </w:r>
      <w:r w:rsidRPr="00B931E5">
        <w:rPr>
          <w:rFonts w:ascii="Arial" w:hAnsi="Arial" w:cs="Arial"/>
          <w:sz w:val="22"/>
          <w:szCs w:val="22"/>
          <w:vertAlign w:val="superscript"/>
          <w:lang w:val="en-US"/>
        </w:rPr>
        <w:footnoteReference w:id="1"/>
      </w:r>
      <w:r w:rsidRPr="007C557B">
        <w:rPr>
          <w:rFonts w:ascii="Arial" w:hAnsi="Arial" w:cs="Arial"/>
          <w:sz w:val="22"/>
          <w:szCs w:val="22"/>
          <w:lang w:val="en-US"/>
        </w:rPr>
        <w:t>, entered into force in 2013. The objective of this reform is to ensure the sustainability of the public Social Security system in the medium and long term.</w:t>
      </w:r>
    </w:p>
    <w:p w:rsidR="007C557B" w:rsidRPr="007C557B" w:rsidRDefault="007C557B"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The measures used for this are: gradual increase of pensionable age from 65 to 67 years; progressive increase in the number of years used to calculate the pension from 15 to 25 years; increase in the number of years of contribution necessary to receive 100 percent of the pension from 35 to 37 years; stricter eligibility requirements for early retirement; change in the method used to update pensions, removing their current tracking of inflation; introduction of the sustainability factor, which changes the pension substitution rate; and the promotion of active ageing. </w:t>
      </w:r>
    </w:p>
    <w:p w:rsidR="008D59F2" w:rsidRPr="007C557B" w:rsidRDefault="008D59F2"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changes to these parameters will be gradually implemented over fifteen years (2013-2027). The situation in 201</w:t>
      </w:r>
      <w:r w:rsidR="007C557B">
        <w:rPr>
          <w:rFonts w:ascii="Arial" w:hAnsi="Arial" w:cs="Arial"/>
          <w:sz w:val="22"/>
          <w:szCs w:val="22"/>
          <w:lang w:val="en-US"/>
        </w:rPr>
        <w:t>6</w:t>
      </w:r>
      <w:r w:rsidRPr="007C557B">
        <w:rPr>
          <w:rFonts w:ascii="Arial" w:hAnsi="Arial" w:cs="Arial"/>
          <w:sz w:val="22"/>
          <w:szCs w:val="22"/>
          <w:lang w:val="en-US"/>
        </w:rPr>
        <w:t xml:space="preserve"> is as follows: </w:t>
      </w:r>
    </w:p>
    <w:p w:rsidR="007C557B" w:rsidRPr="007C557B" w:rsidRDefault="007C557B"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lastRenderedPageBreak/>
        <w:t>a) Higher pensionable age. In 201</w:t>
      </w:r>
      <w:r w:rsidR="007C557B">
        <w:rPr>
          <w:rFonts w:ascii="Arial" w:hAnsi="Arial" w:cs="Arial"/>
          <w:sz w:val="22"/>
          <w:szCs w:val="22"/>
          <w:lang w:val="en-US"/>
        </w:rPr>
        <w:t>6</w:t>
      </w:r>
      <w:r w:rsidRPr="007C557B">
        <w:rPr>
          <w:rFonts w:ascii="Arial" w:hAnsi="Arial" w:cs="Arial"/>
          <w:sz w:val="22"/>
          <w:szCs w:val="22"/>
          <w:lang w:val="en-US"/>
        </w:rPr>
        <w:t xml:space="preserve">, the pensionable age is 65 years and </w:t>
      </w:r>
      <w:r w:rsidR="007C557B">
        <w:rPr>
          <w:rFonts w:ascii="Arial" w:hAnsi="Arial" w:cs="Arial"/>
          <w:sz w:val="22"/>
          <w:szCs w:val="22"/>
          <w:lang w:val="en-US"/>
        </w:rPr>
        <w:t>four</w:t>
      </w:r>
      <w:r w:rsidRPr="007C557B">
        <w:rPr>
          <w:rFonts w:ascii="Arial" w:hAnsi="Arial" w:cs="Arial"/>
          <w:sz w:val="22"/>
          <w:szCs w:val="22"/>
          <w:lang w:val="en-US"/>
        </w:rPr>
        <w:t xml:space="preserve"> months if the number of years </w:t>
      </w:r>
      <w:r w:rsidR="007C557B">
        <w:rPr>
          <w:rFonts w:ascii="Arial" w:hAnsi="Arial" w:cs="Arial"/>
          <w:sz w:val="22"/>
          <w:szCs w:val="22"/>
          <w:lang w:val="en-US"/>
        </w:rPr>
        <w:t>of contribution is fewer than 36 years</w:t>
      </w:r>
      <w:r w:rsidRPr="007C557B">
        <w:rPr>
          <w:rFonts w:ascii="Arial" w:hAnsi="Arial" w:cs="Arial"/>
          <w:sz w:val="22"/>
          <w:szCs w:val="22"/>
          <w:lang w:val="en-US"/>
        </w:rPr>
        <w:t xml:space="preserve">. However, people may retire from 65 years if the number of years of contribution is greater than </w:t>
      </w:r>
      <w:r w:rsidR="007C557B">
        <w:rPr>
          <w:rFonts w:ascii="Arial" w:hAnsi="Arial" w:cs="Arial"/>
          <w:sz w:val="22"/>
          <w:szCs w:val="22"/>
          <w:lang w:val="en-US"/>
        </w:rPr>
        <w:t>36</w:t>
      </w:r>
      <w:r w:rsidRPr="007C557B">
        <w:rPr>
          <w:rFonts w:ascii="Arial" w:hAnsi="Arial" w:cs="Arial"/>
          <w:sz w:val="22"/>
          <w:szCs w:val="22"/>
          <w:lang w:val="en-US"/>
        </w:rPr>
        <w:t xml:space="preserve">. As from 2013, the date of pensionable age has been extended by one month per year for the first six years, and two months per year for the last nine until 2027. </w:t>
      </w:r>
    </w:p>
    <w:p w:rsidR="008D59F2" w:rsidRPr="007C557B" w:rsidRDefault="008D59F2"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Early retirement in case of involuntary loss of employment may be taken four years before pensionable age and requires 33 years of contributions. In case of voluntary resignation, early retirement may be taken two years before pensionable age and requires 35 years of contribution. A lower pensionable age is maintained for disabled people and those in arduous or hazardous jobs.</w:t>
      </w:r>
    </w:p>
    <w:p w:rsidR="007C557B" w:rsidRPr="007C557B" w:rsidRDefault="007C557B"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b) Correspondence between pension entitlement and length of contribution period. The minimum contribution period for entitlement to a contributory pension is 15 years. Receipt of 100 percent of the pension in 2015 requires 35 years and </w:t>
      </w:r>
      <w:r w:rsidR="002B5DD2">
        <w:rPr>
          <w:rFonts w:ascii="Arial" w:hAnsi="Arial" w:cs="Arial"/>
          <w:sz w:val="22"/>
          <w:szCs w:val="22"/>
          <w:lang w:val="en-US"/>
        </w:rPr>
        <w:t>five</w:t>
      </w:r>
      <w:r w:rsidRPr="007C557B">
        <w:rPr>
          <w:rFonts w:ascii="Arial" w:hAnsi="Arial" w:cs="Arial"/>
          <w:sz w:val="22"/>
          <w:szCs w:val="22"/>
          <w:lang w:val="en-US"/>
        </w:rPr>
        <w:t xml:space="preserve"> months of contributions and, otherwise, a sliding scale</w:t>
      </w:r>
      <w:r w:rsidRPr="00B931E5">
        <w:rPr>
          <w:rFonts w:ascii="Arial" w:hAnsi="Arial" w:cs="Arial"/>
          <w:sz w:val="22"/>
          <w:szCs w:val="22"/>
          <w:vertAlign w:val="superscript"/>
          <w:lang w:val="en-US"/>
        </w:rPr>
        <w:footnoteReference w:id="2"/>
      </w:r>
      <w:r w:rsidRPr="007C557B">
        <w:rPr>
          <w:rFonts w:ascii="Arial" w:hAnsi="Arial" w:cs="Arial"/>
          <w:sz w:val="22"/>
          <w:szCs w:val="22"/>
          <w:lang w:val="en-US"/>
        </w:rPr>
        <w:t xml:space="preserve"> is used according to the number of years of contributions. As from 2027 when the transition period is complete, 37 years of contributions will be necessary in order to receive 100 percent of the pension. </w:t>
      </w:r>
    </w:p>
    <w:p w:rsidR="007E29EA" w:rsidRPr="007C557B" w:rsidRDefault="007E29EA"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amount of the retirement regulatory basis is the ratio between the total of up to date contribution bases</w:t>
      </w:r>
      <w:r w:rsidRPr="00B931E5">
        <w:rPr>
          <w:rFonts w:ascii="Arial" w:hAnsi="Arial" w:cs="Arial"/>
          <w:sz w:val="22"/>
          <w:szCs w:val="22"/>
          <w:vertAlign w:val="superscript"/>
          <w:lang w:val="en-US"/>
        </w:rPr>
        <w:footnoteReference w:id="3"/>
      </w:r>
      <w:r w:rsidRPr="007C557B">
        <w:rPr>
          <w:rFonts w:ascii="Arial" w:hAnsi="Arial" w:cs="Arial"/>
          <w:sz w:val="22"/>
          <w:szCs w:val="22"/>
          <w:lang w:val="en-US"/>
        </w:rPr>
        <w:t xml:space="preserve"> in the calculation period (1</w:t>
      </w:r>
      <w:r w:rsidR="002B5DD2">
        <w:rPr>
          <w:rFonts w:ascii="Arial" w:hAnsi="Arial" w:cs="Arial"/>
          <w:sz w:val="22"/>
          <w:szCs w:val="22"/>
          <w:lang w:val="en-US"/>
        </w:rPr>
        <w:t>9</w:t>
      </w:r>
      <w:r w:rsidRPr="007C557B">
        <w:rPr>
          <w:rFonts w:ascii="Arial" w:hAnsi="Arial" w:cs="Arial"/>
          <w:sz w:val="22"/>
          <w:szCs w:val="22"/>
          <w:lang w:val="en-US"/>
        </w:rPr>
        <w:t xml:space="preserve"> years in 201</w:t>
      </w:r>
      <w:r w:rsidR="002B5DD2">
        <w:rPr>
          <w:rFonts w:ascii="Arial" w:hAnsi="Arial" w:cs="Arial"/>
          <w:sz w:val="22"/>
          <w:szCs w:val="22"/>
          <w:lang w:val="en-US"/>
        </w:rPr>
        <w:t>6</w:t>
      </w:r>
      <w:r w:rsidRPr="007C557B">
        <w:rPr>
          <w:rFonts w:ascii="Arial" w:hAnsi="Arial" w:cs="Arial"/>
          <w:sz w:val="22"/>
          <w:szCs w:val="22"/>
          <w:lang w:val="en-US"/>
        </w:rPr>
        <w:t>) and a divider (2</w:t>
      </w:r>
      <w:r w:rsidR="002B5DD2">
        <w:rPr>
          <w:rFonts w:ascii="Arial" w:hAnsi="Arial" w:cs="Arial"/>
          <w:sz w:val="22"/>
          <w:szCs w:val="22"/>
          <w:lang w:val="en-US"/>
        </w:rPr>
        <w:t>66</w:t>
      </w:r>
      <w:r w:rsidRPr="007C557B">
        <w:rPr>
          <w:rFonts w:ascii="Arial" w:hAnsi="Arial" w:cs="Arial"/>
          <w:sz w:val="22"/>
          <w:szCs w:val="22"/>
          <w:lang w:val="en-US"/>
        </w:rPr>
        <w:t xml:space="preserve"> in 201</w:t>
      </w:r>
      <w:r w:rsidR="002B5DD2">
        <w:rPr>
          <w:rFonts w:ascii="Arial" w:hAnsi="Arial" w:cs="Arial"/>
          <w:sz w:val="22"/>
          <w:szCs w:val="22"/>
          <w:lang w:val="en-US"/>
        </w:rPr>
        <w:t>6</w:t>
      </w:r>
      <w:r w:rsidRPr="007C557B">
        <w:rPr>
          <w:rFonts w:ascii="Arial" w:hAnsi="Arial" w:cs="Arial"/>
          <w:sz w:val="22"/>
          <w:szCs w:val="22"/>
          <w:lang w:val="en-US"/>
        </w:rPr>
        <w:t>)</w:t>
      </w:r>
      <w:r w:rsidRPr="00B931E5">
        <w:rPr>
          <w:rFonts w:ascii="Arial" w:hAnsi="Arial" w:cs="Arial"/>
          <w:sz w:val="22"/>
          <w:szCs w:val="22"/>
          <w:vertAlign w:val="superscript"/>
          <w:lang w:val="en-US"/>
        </w:rPr>
        <w:footnoteReference w:id="4"/>
      </w:r>
      <w:r w:rsidRPr="007C557B">
        <w:rPr>
          <w:rFonts w:ascii="Arial" w:hAnsi="Arial" w:cs="Arial"/>
          <w:sz w:val="22"/>
          <w:szCs w:val="22"/>
          <w:lang w:val="en-US"/>
        </w:rPr>
        <w:t>. Until 2022, the calculation period will increase by 12 months each year until it reaches 25 years and the divider will reach 300.</w:t>
      </w:r>
    </w:p>
    <w:p w:rsidR="007E29EA" w:rsidRPr="007C557B" w:rsidRDefault="007E29EA"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Included in the contribution periods are breaks in employment for mothers / fathers for the care of children under the age of six years. This can be up to 9 months per child and is capped at two years</w:t>
      </w:r>
      <w:r w:rsidRPr="00B931E5">
        <w:rPr>
          <w:rFonts w:ascii="Arial" w:hAnsi="Arial" w:cs="Arial"/>
          <w:sz w:val="22"/>
          <w:szCs w:val="22"/>
          <w:vertAlign w:val="superscript"/>
          <w:lang w:val="en-US"/>
        </w:rPr>
        <w:footnoteReference w:id="5"/>
      </w:r>
      <w:r w:rsidRPr="00B931E5">
        <w:rPr>
          <w:rFonts w:ascii="Arial" w:hAnsi="Arial" w:cs="Arial"/>
          <w:sz w:val="22"/>
          <w:szCs w:val="22"/>
          <w:vertAlign w:val="superscript"/>
          <w:lang w:val="en-US"/>
        </w:rPr>
        <w:t xml:space="preserve"> </w:t>
      </w:r>
      <w:r w:rsidRPr="007C557B">
        <w:rPr>
          <w:rFonts w:ascii="Arial" w:hAnsi="Arial" w:cs="Arial"/>
          <w:sz w:val="22"/>
          <w:szCs w:val="22"/>
          <w:lang w:val="en-US"/>
        </w:rPr>
        <w:t>in cases of unemployment without the obligation to make contributions. Also the three-year leave to care for each child or foster will be considered effective contribution period.</w:t>
      </w:r>
    </w:p>
    <w:p w:rsidR="002B5DD2" w:rsidRPr="007C557B" w:rsidRDefault="002B5DD2"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c) Toughening of eligibility for early retirement. Reduction coefficients are applied for each quarter that retirement is brought forward and varies according both to the length of contribution record and the type of early retirement. For contributed periods longer than 44 years and 6 month, the quarterly reduction coefficient will be either 1.625 percent or 1.5 percent depending on whether the retirement is voluntary or not. As the period of contribution decreases, reduction coefficients gradually increase until a maximum of 2 percent or 1.875 percent, respectively.</w:t>
      </w:r>
    </w:p>
    <w:p w:rsidR="007E29EA" w:rsidRPr="007C557B" w:rsidRDefault="007E29EA"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Once the reduction coefficient is applied, the pension amount cannot be greater than the maximum pension minus 0.5 percent for each quarter that the pension is brought forward. Pensions for voluntary early retirement cannot be subject to supplements to guarantee minimum income.</w:t>
      </w:r>
    </w:p>
    <w:p w:rsidR="00B931E5" w:rsidRPr="007C557B" w:rsidRDefault="00B931E5"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Partial retirement may be taken two years before reaching pensionable age and requires 33 years of contributions. The maximum reduction in working hours is 50 percent, or up to 75 percent in the case of a substitute worker being hired on a full-time basis with a permanent contract. Contributions must be made for full working hours even if the work is actually part-time</w:t>
      </w:r>
      <w:r w:rsidRPr="00B931E5">
        <w:rPr>
          <w:rFonts w:ascii="Arial" w:hAnsi="Arial" w:cs="Arial"/>
          <w:sz w:val="22"/>
          <w:szCs w:val="22"/>
          <w:vertAlign w:val="superscript"/>
          <w:lang w:val="en-US"/>
        </w:rPr>
        <w:footnoteReference w:id="6"/>
      </w:r>
      <w:r w:rsidRPr="007C557B">
        <w:rPr>
          <w:rFonts w:ascii="Arial" w:hAnsi="Arial" w:cs="Arial"/>
          <w:sz w:val="22"/>
          <w:szCs w:val="22"/>
          <w:lang w:val="en-US"/>
        </w:rPr>
        <w:t xml:space="preserve">. </w:t>
      </w:r>
    </w:p>
    <w:p w:rsidR="002B5DD2" w:rsidRPr="007C557B" w:rsidRDefault="002B5DD2"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d) New limits on revaluating pensions. As of 2014, pensions are re-valued according to a new index, the Pension Revaluation Index (PRI). Previously, pensions were revalued solely according to the Consumer Price Index (CPI). The PRI is calculated annually according to Social Security </w:t>
      </w:r>
      <w:r w:rsidRPr="007C557B">
        <w:rPr>
          <w:rFonts w:ascii="Arial" w:hAnsi="Arial" w:cs="Arial"/>
          <w:sz w:val="22"/>
          <w:szCs w:val="22"/>
          <w:lang w:val="en-US"/>
        </w:rPr>
        <w:lastRenderedPageBreak/>
        <w:t>forecasts of income and outgoings across an average of 11 years (5 previous years and 6 following years). For the sake of transparency, the Independent Fiscal Authority (AIREF) should give their opinion about the calculus of such PRI.</w:t>
      </w:r>
    </w:p>
    <w:p w:rsidR="00B931E5" w:rsidRPr="007C557B" w:rsidRDefault="00B931E5" w:rsidP="00571B02">
      <w:pPr>
        <w:pStyle w:val="NormalWeb"/>
        <w:spacing w:before="0" w:beforeAutospacing="0" w:after="0" w:afterAutospacing="0"/>
        <w:jc w:val="both"/>
        <w:rPr>
          <w:rFonts w:ascii="Arial" w:hAnsi="Arial" w:cs="Arial"/>
          <w:sz w:val="22"/>
          <w:szCs w:val="22"/>
          <w:lang w:val="en-US"/>
        </w:rPr>
      </w:pPr>
    </w:p>
    <w:p w:rsidR="00B931E5"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Upper and lower caps on the revaluation are set: the minimum percentage is 0.25 percent and the maximum percentage is the value of the consumer price index plus 0.5 </w:t>
      </w:r>
      <w:r w:rsidR="00434BD7" w:rsidRPr="007C557B">
        <w:rPr>
          <w:rFonts w:ascii="Arial" w:hAnsi="Arial" w:cs="Arial"/>
          <w:sz w:val="22"/>
          <w:szCs w:val="22"/>
          <w:lang w:val="en-US"/>
        </w:rPr>
        <w:t>percent</w:t>
      </w:r>
      <w:r w:rsidRPr="00434BD7">
        <w:rPr>
          <w:rFonts w:ascii="Arial" w:hAnsi="Arial" w:cs="Arial"/>
          <w:sz w:val="22"/>
          <w:szCs w:val="22"/>
          <w:vertAlign w:val="superscript"/>
          <w:lang w:val="en-US"/>
        </w:rPr>
        <w:footnoteReference w:id="7"/>
      </w:r>
      <w:r w:rsidRPr="007C557B">
        <w:rPr>
          <w:rFonts w:ascii="Arial" w:hAnsi="Arial" w:cs="Arial"/>
          <w:sz w:val="22"/>
          <w:szCs w:val="22"/>
          <w:lang w:val="en-US"/>
        </w:rPr>
        <w:t>.</w:t>
      </w:r>
    </w:p>
    <w:p w:rsidR="008A52E2" w:rsidRPr="007C557B"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 </w:t>
      </w: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"sustainability factor" will be introduced in 2019 and will adjust the initial pension amount according to the life expectancy of the newly retired person. This index will be reviewed every five years and will apply to new pensioners.</w:t>
      </w:r>
    </w:p>
    <w:p w:rsidR="002B5DD2" w:rsidRPr="007C557B" w:rsidRDefault="002B5DD2" w:rsidP="00571B02">
      <w:pPr>
        <w:pStyle w:val="NormalWeb"/>
        <w:spacing w:before="0" w:beforeAutospacing="0" w:after="0" w:afterAutospacing="0"/>
        <w:jc w:val="both"/>
        <w:rPr>
          <w:rFonts w:ascii="Arial" w:hAnsi="Arial" w:cs="Arial"/>
          <w:sz w:val="22"/>
          <w:szCs w:val="22"/>
          <w:lang w:val="en-US"/>
        </w:rPr>
      </w:pPr>
    </w:p>
    <w:p w:rsidR="00434BD7"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e) Fostering of longer working lives. Persons who reach the pensionable age and have met the contribution period required for entitlement to 100 percent of the pension may combine a pension with work, either on a self-employed or employed basis</w:t>
      </w:r>
      <w:r w:rsidRPr="00434BD7">
        <w:rPr>
          <w:rFonts w:ascii="Arial" w:hAnsi="Arial" w:cs="Arial"/>
          <w:sz w:val="22"/>
          <w:szCs w:val="22"/>
          <w:vertAlign w:val="superscript"/>
          <w:lang w:val="en-US"/>
        </w:rPr>
        <w:footnoteReference w:id="8"/>
      </w:r>
      <w:r w:rsidRPr="007C557B">
        <w:rPr>
          <w:rFonts w:ascii="Arial" w:hAnsi="Arial" w:cs="Arial"/>
          <w:sz w:val="22"/>
          <w:szCs w:val="22"/>
          <w:lang w:val="en-US"/>
        </w:rPr>
        <w:t>. In this case, and for the duration of such a situation, the pensioner will receive 50 percent of the pension. Once the work has concluded, the pension will be restored in full amount, with any revaluations that may have been made.</w:t>
      </w:r>
    </w:p>
    <w:p w:rsidR="00434BD7" w:rsidRDefault="00434BD7" w:rsidP="00571B02">
      <w:pPr>
        <w:pStyle w:val="NormalWeb"/>
        <w:spacing w:before="0" w:beforeAutospacing="0" w:after="0" w:afterAutospacing="0"/>
        <w:jc w:val="both"/>
        <w:rPr>
          <w:rFonts w:ascii="Arial" w:hAnsi="Arial" w:cs="Arial"/>
          <w:sz w:val="22"/>
          <w:szCs w:val="22"/>
          <w:lang w:val="en-US"/>
        </w:rPr>
      </w:pPr>
    </w:p>
    <w:p w:rsidR="008A52E2"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Furthermore, Act 27/2011 allows the old-age pension to be combined with self-employed activities if the total annual income received does not exceed the national minimum wage</w:t>
      </w:r>
      <w:r w:rsidRPr="00434BD7">
        <w:rPr>
          <w:rFonts w:ascii="Arial" w:hAnsi="Arial" w:cs="Arial"/>
          <w:sz w:val="22"/>
          <w:szCs w:val="22"/>
          <w:vertAlign w:val="superscript"/>
          <w:lang w:val="en-US"/>
        </w:rPr>
        <w:footnoteReference w:id="9"/>
      </w:r>
      <w:r w:rsidRPr="007C557B">
        <w:rPr>
          <w:rFonts w:ascii="Arial" w:hAnsi="Arial" w:cs="Arial"/>
          <w:sz w:val="22"/>
          <w:szCs w:val="22"/>
          <w:lang w:val="en-US"/>
        </w:rPr>
        <w:t xml:space="preserve"> calculated on an annual basis, with no Social Security contributions being payable on such income. Another incentive to prolonging working life is increasing pensions by between 2 percent and 4 percent for each full additional year of work after pensionable age is reached, depending on the number of years of contributions previously made. </w:t>
      </w:r>
    </w:p>
    <w:p w:rsidR="002B5DD2" w:rsidRPr="007C557B" w:rsidRDefault="002B5DD2" w:rsidP="00571B02">
      <w:pPr>
        <w:pStyle w:val="NormalWeb"/>
        <w:spacing w:before="0" w:beforeAutospacing="0" w:after="0" w:afterAutospacing="0"/>
        <w:jc w:val="both"/>
        <w:rPr>
          <w:rFonts w:ascii="Arial" w:hAnsi="Arial" w:cs="Arial"/>
          <w:sz w:val="22"/>
          <w:szCs w:val="22"/>
          <w:lang w:val="en-US"/>
        </w:rPr>
      </w:pPr>
    </w:p>
    <w:p w:rsidR="008A52E2" w:rsidRPr="007C557B" w:rsidRDefault="008A52E2"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The Government has introduced several reforms in the regulatory framework of the complementary pension system, like the changes made on the Income Tax Reform Act</w:t>
      </w:r>
      <w:r w:rsidRPr="00434BD7">
        <w:rPr>
          <w:rFonts w:ascii="Arial" w:hAnsi="Arial" w:cs="Arial"/>
          <w:sz w:val="22"/>
          <w:szCs w:val="22"/>
          <w:vertAlign w:val="superscript"/>
          <w:lang w:val="en-US"/>
        </w:rPr>
        <w:footnoteReference w:id="10"/>
      </w:r>
      <w:r w:rsidRPr="007C557B">
        <w:rPr>
          <w:rFonts w:ascii="Arial" w:hAnsi="Arial" w:cs="Arial"/>
          <w:sz w:val="22"/>
          <w:szCs w:val="22"/>
          <w:lang w:val="en-US"/>
        </w:rPr>
        <w:t xml:space="preserve">. The new proposals are principally geared towards boosting the liquidity of individual pension plans, allowing them to be drawn from 10 years after their constitution; life insurance policies are encouraged by introducing the tax exemption - of up to €240,000 for capital gains for persons over the age of 65 in the disposal of any asset owned, provided that such gains are reinvested in a life annuity that complements the public pension. The changes introduced in the Personal Income Tax Reform Act concerning the complementary pension system benefit individual pension plans. The occupational pension plans depend on collective bargaining in companies. </w:t>
      </w:r>
    </w:p>
    <w:p w:rsidR="00031FDD" w:rsidRPr="007C557B" w:rsidRDefault="00031FDD" w:rsidP="00571B02">
      <w:pPr>
        <w:pStyle w:val="NormalWeb"/>
        <w:spacing w:before="0" w:beforeAutospacing="0" w:after="0" w:afterAutospacing="0"/>
        <w:jc w:val="both"/>
        <w:rPr>
          <w:rFonts w:ascii="Arial" w:hAnsi="Arial" w:cs="Arial"/>
          <w:sz w:val="22"/>
          <w:szCs w:val="22"/>
          <w:lang w:val="en-US"/>
        </w:rPr>
      </w:pPr>
    </w:p>
    <w:p w:rsidR="002B59B7" w:rsidRPr="007C557B" w:rsidRDefault="002B59B7" w:rsidP="00571B02">
      <w:pPr>
        <w:pStyle w:val="NormalWeb"/>
        <w:spacing w:before="0" w:beforeAutospacing="0" w:after="0" w:afterAutospacing="0"/>
        <w:jc w:val="both"/>
        <w:rPr>
          <w:rFonts w:ascii="Arial" w:hAnsi="Arial" w:cs="Arial"/>
          <w:sz w:val="22"/>
          <w:szCs w:val="22"/>
          <w:lang w:val="en-US"/>
        </w:rPr>
      </w:pPr>
      <w:r w:rsidRPr="007C557B">
        <w:rPr>
          <w:rFonts w:ascii="Arial" w:hAnsi="Arial" w:cs="Arial"/>
          <w:sz w:val="22"/>
          <w:szCs w:val="22"/>
          <w:lang w:val="en-US"/>
        </w:rPr>
        <w:t xml:space="preserve">Additionally it has been approved the Integrated Plan on Family Support 2015-2017. The plan provides for an increase of the pension rights in a 5% for women with two children, in a 10% for those with three children and with four or more children, in a 15%. The application of an additional percentage is intended to recognize the demographic contribution that women do to the social security system, combining their careers with motherhood, given the importance of births for the sustainability of the pension system in the future. This measure, which is </w:t>
      </w:r>
      <w:r w:rsidR="00434BD7" w:rsidRPr="007C557B">
        <w:rPr>
          <w:rFonts w:ascii="Arial" w:hAnsi="Arial" w:cs="Arial"/>
          <w:sz w:val="22"/>
          <w:szCs w:val="22"/>
          <w:lang w:val="en-US"/>
        </w:rPr>
        <w:t>app,</w:t>
      </w:r>
      <w:r w:rsidRPr="007C557B">
        <w:rPr>
          <w:rFonts w:ascii="Arial" w:hAnsi="Arial" w:cs="Arial"/>
          <w:sz w:val="22"/>
          <w:szCs w:val="22"/>
          <w:lang w:val="en-US"/>
        </w:rPr>
        <w:t xml:space="preserve"> lied to those pensions caused from January 2016, will also contribute to close the gender gap in pension amounts.</w:t>
      </w:r>
    </w:p>
    <w:sectPr w:rsidR="002B59B7" w:rsidRPr="007C557B" w:rsidSect="00595350">
      <w:footerReference w:type="even" r:id="rId9"/>
      <w:footerReference w:type="default" r:id="rId10"/>
      <w:pgSz w:w="11900" w:h="16840"/>
      <w:pgMar w:top="1440" w:right="985"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659" w:rsidRDefault="00A74659" w:rsidP="003E3104">
      <w:r>
        <w:separator/>
      </w:r>
    </w:p>
  </w:endnote>
  <w:endnote w:type="continuationSeparator" w:id="0">
    <w:p w:rsidR="00A74659" w:rsidRDefault="00A74659" w:rsidP="003E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B" w:rsidRDefault="00CD4680" w:rsidP="0045280C">
    <w:pPr>
      <w:pStyle w:val="Footer"/>
      <w:framePr w:wrap="around" w:vAnchor="text" w:hAnchor="margin" w:xAlign="right" w:y="1"/>
      <w:rPr>
        <w:rStyle w:val="PageNumber"/>
      </w:rPr>
    </w:pPr>
    <w:r>
      <w:rPr>
        <w:rStyle w:val="PageNumber"/>
      </w:rPr>
      <w:fldChar w:fldCharType="begin"/>
    </w:r>
    <w:r w:rsidR="007C557B">
      <w:rPr>
        <w:rStyle w:val="PageNumber"/>
      </w:rPr>
      <w:instrText xml:space="preserve">PAGE  </w:instrText>
    </w:r>
    <w:r>
      <w:rPr>
        <w:rStyle w:val="PageNumber"/>
      </w:rPr>
      <w:fldChar w:fldCharType="end"/>
    </w:r>
  </w:p>
  <w:p w:rsidR="007C557B" w:rsidRDefault="007C557B" w:rsidP="004528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B" w:rsidRDefault="00CD4680" w:rsidP="0045280C">
    <w:pPr>
      <w:pStyle w:val="Footer"/>
      <w:framePr w:wrap="around" w:vAnchor="text" w:hAnchor="margin" w:xAlign="right" w:y="1"/>
      <w:rPr>
        <w:rStyle w:val="PageNumber"/>
      </w:rPr>
    </w:pPr>
    <w:r>
      <w:rPr>
        <w:rStyle w:val="PageNumber"/>
      </w:rPr>
      <w:fldChar w:fldCharType="begin"/>
    </w:r>
    <w:r w:rsidR="007C557B">
      <w:rPr>
        <w:rStyle w:val="PageNumber"/>
      </w:rPr>
      <w:instrText xml:space="preserve">PAGE  </w:instrText>
    </w:r>
    <w:r>
      <w:rPr>
        <w:rStyle w:val="PageNumber"/>
      </w:rPr>
      <w:fldChar w:fldCharType="separate"/>
    </w:r>
    <w:r w:rsidR="00A106E7">
      <w:rPr>
        <w:rStyle w:val="PageNumber"/>
        <w:noProof/>
      </w:rPr>
      <w:t>14</w:t>
    </w:r>
    <w:r>
      <w:rPr>
        <w:rStyle w:val="PageNumber"/>
      </w:rPr>
      <w:fldChar w:fldCharType="end"/>
    </w:r>
  </w:p>
  <w:p w:rsidR="007C557B" w:rsidRDefault="007C557B" w:rsidP="004528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659" w:rsidRDefault="00A74659" w:rsidP="003E3104">
      <w:r>
        <w:separator/>
      </w:r>
    </w:p>
  </w:footnote>
  <w:footnote w:type="continuationSeparator" w:id="0">
    <w:p w:rsidR="00A74659" w:rsidRDefault="00A74659" w:rsidP="003E3104">
      <w:r>
        <w:continuationSeparator/>
      </w:r>
    </w:p>
  </w:footnote>
  <w:footnote w:id="1">
    <w:p w:rsidR="007C557B" w:rsidRPr="0030639A" w:rsidRDefault="007C557B" w:rsidP="008A52E2">
      <w:pPr>
        <w:spacing w:before="60" w:after="60"/>
        <w:jc w:val="both"/>
        <w:rPr>
          <w:rFonts w:ascii="Times New Roman" w:hAnsi="Times New Roman"/>
          <w:sz w:val="20"/>
          <w:szCs w:val="20"/>
        </w:rPr>
      </w:pPr>
      <w:r w:rsidRPr="0030639A">
        <w:rPr>
          <w:rStyle w:val="FootnoteReference"/>
          <w:rFonts w:ascii="Times New Roman" w:hAnsi="Times New Roman"/>
          <w:sz w:val="20"/>
          <w:szCs w:val="20"/>
        </w:rPr>
        <w:footnoteRef/>
      </w:r>
      <w:r w:rsidRPr="0030639A">
        <w:rPr>
          <w:rFonts w:ascii="Times New Roman" w:hAnsi="Times New Roman"/>
          <w:sz w:val="20"/>
          <w:szCs w:val="20"/>
        </w:rPr>
        <w:t xml:space="preserve"> </w:t>
      </w:r>
      <w:proofErr w:type="spellStart"/>
      <w:r w:rsidRPr="0030639A">
        <w:rPr>
          <w:rFonts w:ascii="Times New Roman" w:hAnsi="Times New Roman"/>
          <w:sz w:val="20"/>
          <w:szCs w:val="20"/>
        </w:rPr>
        <w:t>Act</w:t>
      </w:r>
      <w:proofErr w:type="spellEnd"/>
      <w:r w:rsidRPr="0030639A">
        <w:rPr>
          <w:rFonts w:ascii="Times New Roman" w:hAnsi="Times New Roman"/>
          <w:sz w:val="20"/>
          <w:szCs w:val="20"/>
        </w:rPr>
        <w:t xml:space="preserve"> 27/2011 of 1 August, on the </w:t>
      </w:r>
      <w:proofErr w:type="spellStart"/>
      <w:r w:rsidRPr="0030639A">
        <w:rPr>
          <w:rFonts w:ascii="Times New Roman" w:hAnsi="Times New Roman"/>
          <w:sz w:val="20"/>
          <w:szCs w:val="20"/>
        </w:rPr>
        <w:t>updating</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adequacy</w:t>
      </w:r>
      <w:proofErr w:type="spellEnd"/>
      <w:r w:rsidRPr="0030639A">
        <w:rPr>
          <w:rFonts w:ascii="Times New Roman" w:hAnsi="Times New Roman"/>
          <w:sz w:val="20"/>
          <w:szCs w:val="20"/>
        </w:rPr>
        <w:t xml:space="preserve"> and modernisation of the Social Security System. </w:t>
      </w:r>
    </w:p>
  </w:footnote>
  <w:footnote w:id="2">
    <w:p w:rsidR="007C557B" w:rsidRPr="0030639A" w:rsidRDefault="007C557B" w:rsidP="008A52E2">
      <w:pPr>
        <w:spacing w:before="60" w:after="60"/>
        <w:jc w:val="both"/>
        <w:rPr>
          <w:rFonts w:ascii="Times New Roman" w:hAnsi="Times New Roman"/>
          <w:sz w:val="20"/>
          <w:szCs w:val="20"/>
        </w:rPr>
      </w:pPr>
      <w:r w:rsidRPr="0030639A">
        <w:rPr>
          <w:rStyle w:val="FootnoteReference"/>
          <w:rFonts w:ascii="Times New Roman" w:hAnsi="Times New Roman"/>
          <w:sz w:val="20"/>
          <w:szCs w:val="20"/>
        </w:rPr>
        <w:footnoteRef/>
      </w:r>
      <w:r w:rsidRPr="0030639A">
        <w:rPr>
          <w:rFonts w:ascii="Times New Roman" w:hAnsi="Times New Roman"/>
          <w:sz w:val="20"/>
          <w:szCs w:val="20"/>
        </w:rPr>
        <w:t xml:space="preserve"> For the first 15 </w:t>
      </w:r>
      <w:proofErr w:type="spellStart"/>
      <w:r w:rsidRPr="0030639A">
        <w:rPr>
          <w:rFonts w:ascii="Times New Roman" w:hAnsi="Times New Roman"/>
          <w:sz w:val="20"/>
          <w:szCs w:val="20"/>
        </w:rPr>
        <w:t>years</w:t>
      </w:r>
      <w:proofErr w:type="spellEnd"/>
      <w:r w:rsidRPr="0030639A">
        <w:rPr>
          <w:rFonts w:ascii="Times New Roman" w:hAnsi="Times New Roman"/>
          <w:sz w:val="20"/>
          <w:szCs w:val="20"/>
        </w:rPr>
        <w:t xml:space="preserve"> of contributions, 50</w:t>
      </w:r>
      <w:r>
        <w:rPr>
          <w:rFonts w:ascii="Times New Roman" w:hAnsi="Times New Roman"/>
          <w:sz w:val="20"/>
          <w:szCs w:val="20"/>
        </w:rPr>
        <w:t xml:space="preserve"> percent</w:t>
      </w:r>
      <w:r w:rsidRPr="0030639A">
        <w:rPr>
          <w:rFonts w:ascii="Times New Roman" w:hAnsi="Times New Roman"/>
          <w:sz w:val="20"/>
          <w:szCs w:val="20"/>
        </w:rPr>
        <w:t xml:space="preserve"> of the </w:t>
      </w:r>
      <w:proofErr w:type="spellStart"/>
      <w:r w:rsidRPr="0030639A">
        <w:rPr>
          <w:rFonts w:ascii="Times New Roman" w:hAnsi="Times New Roman"/>
          <w:sz w:val="20"/>
          <w:szCs w:val="20"/>
        </w:rPr>
        <w:t>regulatory</w:t>
      </w:r>
      <w:proofErr w:type="spellEnd"/>
      <w:r w:rsidRPr="0030639A">
        <w:rPr>
          <w:rFonts w:ascii="Times New Roman" w:hAnsi="Times New Roman"/>
          <w:sz w:val="20"/>
          <w:szCs w:val="20"/>
        </w:rPr>
        <w:t xml:space="preserve"> basis </w:t>
      </w:r>
      <w:proofErr w:type="spellStart"/>
      <w:r w:rsidRPr="0030639A">
        <w:rPr>
          <w:rFonts w:ascii="Times New Roman" w:hAnsi="Times New Roman"/>
          <w:sz w:val="20"/>
          <w:szCs w:val="20"/>
        </w:rPr>
        <w:t>is</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received</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with</w:t>
      </w:r>
      <w:proofErr w:type="spellEnd"/>
      <w:r w:rsidRPr="0030639A">
        <w:rPr>
          <w:rFonts w:ascii="Times New Roman" w:hAnsi="Times New Roman"/>
          <w:sz w:val="20"/>
          <w:szCs w:val="20"/>
        </w:rPr>
        <w:t xml:space="preserve"> an extra 0.21</w:t>
      </w:r>
      <w:r>
        <w:rPr>
          <w:rFonts w:ascii="Times New Roman" w:hAnsi="Times New Roman"/>
          <w:sz w:val="20"/>
          <w:szCs w:val="20"/>
        </w:rPr>
        <w:t xml:space="preserve"> percent</w:t>
      </w:r>
      <w:r w:rsidRPr="0030639A">
        <w:rPr>
          <w:rFonts w:ascii="Times New Roman" w:hAnsi="Times New Roman"/>
          <w:sz w:val="20"/>
          <w:szCs w:val="20"/>
        </w:rPr>
        <w:t xml:space="preserve"> for </w:t>
      </w:r>
      <w:proofErr w:type="spellStart"/>
      <w:r w:rsidRPr="0030639A">
        <w:rPr>
          <w:rFonts w:ascii="Times New Roman" w:hAnsi="Times New Roman"/>
          <w:sz w:val="20"/>
          <w:szCs w:val="20"/>
        </w:rPr>
        <w:t>each</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additional</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month</w:t>
      </w:r>
      <w:proofErr w:type="spellEnd"/>
      <w:r w:rsidRPr="0030639A">
        <w:rPr>
          <w:rFonts w:ascii="Times New Roman" w:hAnsi="Times New Roman"/>
          <w:sz w:val="20"/>
          <w:szCs w:val="20"/>
        </w:rPr>
        <w:t xml:space="preserve"> of contribution for the 163 </w:t>
      </w:r>
      <w:proofErr w:type="spellStart"/>
      <w:r w:rsidRPr="0030639A">
        <w:rPr>
          <w:rFonts w:ascii="Times New Roman" w:hAnsi="Times New Roman"/>
          <w:sz w:val="20"/>
          <w:szCs w:val="20"/>
        </w:rPr>
        <w:t>months</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following</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with</w:t>
      </w:r>
      <w:proofErr w:type="spellEnd"/>
      <w:r w:rsidRPr="0030639A">
        <w:rPr>
          <w:rFonts w:ascii="Times New Roman" w:hAnsi="Times New Roman"/>
          <w:sz w:val="20"/>
          <w:szCs w:val="20"/>
        </w:rPr>
        <w:t xml:space="preserve"> an extra 0.19</w:t>
      </w:r>
      <w:r>
        <w:rPr>
          <w:rFonts w:ascii="Times New Roman" w:hAnsi="Times New Roman"/>
          <w:sz w:val="20"/>
          <w:szCs w:val="20"/>
        </w:rPr>
        <w:t xml:space="preserve"> percent</w:t>
      </w:r>
      <w:r w:rsidRPr="0030639A">
        <w:rPr>
          <w:rFonts w:ascii="Times New Roman" w:hAnsi="Times New Roman"/>
          <w:sz w:val="20"/>
          <w:szCs w:val="20"/>
        </w:rPr>
        <w:t xml:space="preserve"> </w:t>
      </w:r>
      <w:proofErr w:type="spellStart"/>
      <w:r w:rsidRPr="0030639A">
        <w:rPr>
          <w:rFonts w:ascii="Times New Roman" w:hAnsi="Times New Roman"/>
          <w:sz w:val="20"/>
          <w:szCs w:val="20"/>
        </w:rPr>
        <w:t>added</w:t>
      </w:r>
      <w:proofErr w:type="spellEnd"/>
      <w:r w:rsidRPr="0030639A">
        <w:rPr>
          <w:rFonts w:ascii="Times New Roman" w:hAnsi="Times New Roman"/>
          <w:sz w:val="20"/>
          <w:szCs w:val="20"/>
        </w:rPr>
        <w:t xml:space="preserve"> in the </w:t>
      </w:r>
      <w:proofErr w:type="spellStart"/>
      <w:r w:rsidRPr="0030639A">
        <w:rPr>
          <w:rFonts w:ascii="Times New Roman" w:hAnsi="Times New Roman"/>
          <w:sz w:val="20"/>
          <w:szCs w:val="20"/>
        </w:rPr>
        <w:t>remaining</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months</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until</w:t>
      </w:r>
      <w:proofErr w:type="spellEnd"/>
      <w:r w:rsidRPr="0030639A">
        <w:rPr>
          <w:rFonts w:ascii="Times New Roman" w:hAnsi="Times New Roman"/>
          <w:sz w:val="20"/>
          <w:szCs w:val="20"/>
        </w:rPr>
        <w:t xml:space="preserve"> 100</w:t>
      </w:r>
      <w:r>
        <w:rPr>
          <w:rFonts w:ascii="Times New Roman" w:hAnsi="Times New Roman"/>
          <w:sz w:val="20"/>
          <w:szCs w:val="20"/>
        </w:rPr>
        <w:t xml:space="preserve"> percent</w:t>
      </w:r>
      <w:r w:rsidRPr="0030639A">
        <w:rPr>
          <w:rFonts w:ascii="Times New Roman" w:hAnsi="Times New Roman"/>
          <w:sz w:val="20"/>
          <w:szCs w:val="20"/>
        </w:rPr>
        <w:t xml:space="preserve"> </w:t>
      </w:r>
      <w:proofErr w:type="spellStart"/>
      <w:r w:rsidRPr="0030639A">
        <w:rPr>
          <w:rFonts w:ascii="Times New Roman" w:hAnsi="Times New Roman"/>
          <w:sz w:val="20"/>
          <w:szCs w:val="20"/>
        </w:rPr>
        <w:t>is</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reached</w:t>
      </w:r>
      <w:proofErr w:type="spellEnd"/>
      <w:r w:rsidRPr="0030639A">
        <w:rPr>
          <w:rFonts w:ascii="Times New Roman" w:hAnsi="Times New Roman"/>
          <w:sz w:val="20"/>
          <w:szCs w:val="20"/>
        </w:rPr>
        <w:t xml:space="preserve">. Coefficients </w:t>
      </w:r>
      <w:proofErr w:type="spellStart"/>
      <w:r w:rsidRPr="0030639A">
        <w:rPr>
          <w:rFonts w:ascii="Times New Roman" w:hAnsi="Times New Roman"/>
          <w:sz w:val="20"/>
          <w:szCs w:val="20"/>
        </w:rPr>
        <w:t>vary</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slightly</w:t>
      </w:r>
      <w:proofErr w:type="spellEnd"/>
      <w:r w:rsidRPr="0030639A">
        <w:rPr>
          <w:rFonts w:ascii="Times New Roman" w:hAnsi="Times New Roman"/>
          <w:sz w:val="20"/>
          <w:szCs w:val="20"/>
        </w:rPr>
        <w:t xml:space="preserve"> </w:t>
      </w:r>
      <w:proofErr w:type="spellStart"/>
      <w:r w:rsidRPr="0030639A">
        <w:rPr>
          <w:rFonts w:ascii="Times New Roman" w:hAnsi="Times New Roman"/>
          <w:sz w:val="20"/>
          <w:szCs w:val="20"/>
        </w:rPr>
        <w:t>throughout</w:t>
      </w:r>
      <w:proofErr w:type="spellEnd"/>
      <w:r w:rsidRPr="0030639A">
        <w:rPr>
          <w:rFonts w:ascii="Times New Roman" w:hAnsi="Times New Roman"/>
          <w:sz w:val="20"/>
          <w:szCs w:val="20"/>
        </w:rPr>
        <w:t xml:space="preserve"> the transition </w:t>
      </w:r>
      <w:proofErr w:type="spellStart"/>
      <w:r w:rsidRPr="0030639A">
        <w:rPr>
          <w:rFonts w:ascii="Times New Roman" w:hAnsi="Times New Roman"/>
          <w:sz w:val="20"/>
          <w:szCs w:val="20"/>
        </w:rPr>
        <w:t>period</w:t>
      </w:r>
      <w:proofErr w:type="spellEnd"/>
      <w:r w:rsidRPr="0030639A">
        <w:rPr>
          <w:rFonts w:ascii="Times New Roman" w:hAnsi="Times New Roman"/>
          <w:sz w:val="20"/>
          <w:szCs w:val="20"/>
        </w:rPr>
        <w:t>.</w:t>
      </w:r>
    </w:p>
  </w:footnote>
  <w:footnote w:id="3">
    <w:p w:rsidR="007C557B" w:rsidRPr="0030639A" w:rsidRDefault="007C557B" w:rsidP="008A52E2">
      <w:pPr>
        <w:spacing w:before="60" w:after="60"/>
        <w:jc w:val="both"/>
        <w:rPr>
          <w:rFonts w:ascii="Times New Roman" w:hAnsi="Times New Roman"/>
          <w:sz w:val="20"/>
          <w:szCs w:val="20"/>
        </w:rPr>
      </w:pPr>
      <w:r w:rsidRPr="0030639A">
        <w:rPr>
          <w:rStyle w:val="FootnoteReference"/>
          <w:rFonts w:ascii="Times New Roman" w:hAnsi="Times New Roman"/>
          <w:sz w:val="20"/>
          <w:szCs w:val="20"/>
        </w:rPr>
        <w:footnoteRef/>
      </w:r>
      <w:r w:rsidRPr="0030639A">
        <w:rPr>
          <w:rFonts w:ascii="Times New Roman" w:hAnsi="Times New Roman"/>
          <w:sz w:val="20"/>
          <w:szCs w:val="20"/>
        </w:rPr>
        <w:t xml:space="preserve"> </w:t>
      </w:r>
      <w:r w:rsidRPr="0030639A">
        <w:rPr>
          <w:rFonts w:ascii="Times New Roman" w:hAnsi="Times New Roman"/>
          <w:sz w:val="20"/>
          <w:szCs w:val="20"/>
          <w:lang w:eastAsia="en-GB" w:bidi="en-GB"/>
        </w:rPr>
        <w:t xml:space="preserve">Contribution bases are </w:t>
      </w:r>
      <w:proofErr w:type="spellStart"/>
      <w:r w:rsidRPr="0030639A">
        <w:rPr>
          <w:rFonts w:ascii="Times New Roman" w:hAnsi="Times New Roman"/>
          <w:sz w:val="20"/>
          <w:szCs w:val="20"/>
          <w:lang w:eastAsia="en-GB" w:bidi="en-GB"/>
        </w:rPr>
        <w:t>updated</w:t>
      </w:r>
      <w:proofErr w:type="spellEnd"/>
      <w:r w:rsidRPr="0030639A">
        <w:rPr>
          <w:rFonts w:ascii="Times New Roman" w:hAnsi="Times New Roman"/>
          <w:sz w:val="20"/>
          <w:szCs w:val="20"/>
          <w:lang w:eastAsia="en-GB" w:bidi="en-GB"/>
        </w:rPr>
        <w:t xml:space="preserve"> </w:t>
      </w:r>
      <w:proofErr w:type="spellStart"/>
      <w:r w:rsidRPr="0030639A">
        <w:rPr>
          <w:rFonts w:ascii="Times New Roman" w:hAnsi="Times New Roman"/>
          <w:sz w:val="20"/>
          <w:szCs w:val="20"/>
          <w:lang w:eastAsia="en-GB" w:bidi="en-GB"/>
        </w:rPr>
        <w:t>following</w:t>
      </w:r>
      <w:proofErr w:type="spellEnd"/>
      <w:r w:rsidRPr="0030639A">
        <w:rPr>
          <w:rFonts w:ascii="Times New Roman" w:hAnsi="Times New Roman"/>
          <w:sz w:val="20"/>
          <w:szCs w:val="20"/>
          <w:lang w:eastAsia="en-GB" w:bidi="en-GB"/>
        </w:rPr>
        <w:t xml:space="preserve"> the </w:t>
      </w:r>
      <w:proofErr w:type="spellStart"/>
      <w:r w:rsidRPr="0030639A">
        <w:rPr>
          <w:rFonts w:ascii="Times New Roman" w:hAnsi="Times New Roman"/>
          <w:sz w:val="20"/>
          <w:szCs w:val="20"/>
          <w:lang w:eastAsia="en-GB" w:bidi="en-GB"/>
        </w:rPr>
        <w:t>price</w:t>
      </w:r>
      <w:proofErr w:type="spellEnd"/>
      <w:r w:rsidRPr="0030639A">
        <w:rPr>
          <w:rFonts w:ascii="Times New Roman" w:hAnsi="Times New Roman"/>
          <w:sz w:val="20"/>
          <w:szCs w:val="20"/>
          <w:lang w:eastAsia="en-GB" w:bidi="en-GB"/>
        </w:rPr>
        <w:t xml:space="preserve"> index. </w:t>
      </w:r>
      <w:proofErr w:type="spellStart"/>
      <w:r w:rsidRPr="0030639A">
        <w:rPr>
          <w:rFonts w:ascii="Times New Roman" w:hAnsi="Times New Roman"/>
          <w:sz w:val="20"/>
          <w:szCs w:val="20"/>
          <w:lang w:eastAsia="en-GB" w:bidi="en-GB"/>
        </w:rPr>
        <w:t>They</w:t>
      </w:r>
      <w:proofErr w:type="spellEnd"/>
      <w:r w:rsidRPr="0030639A">
        <w:rPr>
          <w:rFonts w:ascii="Times New Roman" w:hAnsi="Times New Roman"/>
          <w:sz w:val="20"/>
          <w:szCs w:val="20"/>
          <w:lang w:eastAsia="en-GB" w:bidi="en-GB"/>
        </w:rPr>
        <w:t xml:space="preserve"> are not </w:t>
      </w:r>
      <w:proofErr w:type="spellStart"/>
      <w:r w:rsidRPr="0030639A">
        <w:rPr>
          <w:rFonts w:ascii="Times New Roman" w:hAnsi="Times New Roman"/>
          <w:sz w:val="20"/>
          <w:szCs w:val="20"/>
          <w:lang w:eastAsia="en-GB" w:bidi="en-GB"/>
        </w:rPr>
        <w:t>updated</w:t>
      </w:r>
      <w:proofErr w:type="spellEnd"/>
      <w:r w:rsidRPr="0030639A">
        <w:rPr>
          <w:rFonts w:ascii="Times New Roman" w:hAnsi="Times New Roman"/>
          <w:sz w:val="20"/>
          <w:szCs w:val="20"/>
          <w:lang w:eastAsia="en-GB" w:bidi="en-GB"/>
        </w:rPr>
        <w:t xml:space="preserve"> in the </w:t>
      </w:r>
      <w:proofErr w:type="spellStart"/>
      <w:r w:rsidRPr="0030639A">
        <w:rPr>
          <w:rFonts w:ascii="Times New Roman" w:hAnsi="Times New Roman"/>
          <w:sz w:val="20"/>
          <w:szCs w:val="20"/>
          <w:lang w:eastAsia="en-GB" w:bidi="en-GB"/>
        </w:rPr>
        <w:t>two</w:t>
      </w:r>
      <w:proofErr w:type="spellEnd"/>
      <w:r w:rsidRPr="0030639A">
        <w:rPr>
          <w:rFonts w:ascii="Times New Roman" w:hAnsi="Times New Roman"/>
          <w:sz w:val="20"/>
          <w:szCs w:val="20"/>
          <w:lang w:eastAsia="en-GB" w:bidi="en-GB"/>
        </w:rPr>
        <w:t xml:space="preserve"> </w:t>
      </w:r>
      <w:proofErr w:type="spellStart"/>
      <w:r w:rsidRPr="0030639A">
        <w:rPr>
          <w:rFonts w:ascii="Times New Roman" w:hAnsi="Times New Roman"/>
          <w:sz w:val="20"/>
          <w:szCs w:val="20"/>
          <w:lang w:eastAsia="en-GB" w:bidi="en-GB"/>
        </w:rPr>
        <w:t>years</w:t>
      </w:r>
      <w:proofErr w:type="spellEnd"/>
      <w:r w:rsidRPr="0030639A">
        <w:rPr>
          <w:rFonts w:ascii="Times New Roman" w:hAnsi="Times New Roman"/>
          <w:sz w:val="20"/>
          <w:szCs w:val="20"/>
          <w:lang w:eastAsia="en-GB" w:bidi="en-GB"/>
        </w:rPr>
        <w:t xml:space="preserve"> </w:t>
      </w:r>
      <w:proofErr w:type="spellStart"/>
      <w:r w:rsidRPr="0030639A">
        <w:rPr>
          <w:rFonts w:ascii="Times New Roman" w:hAnsi="Times New Roman"/>
          <w:sz w:val="20"/>
          <w:szCs w:val="20"/>
          <w:lang w:eastAsia="en-GB" w:bidi="en-GB"/>
        </w:rPr>
        <w:t>prior</w:t>
      </w:r>
      <w:proofErr w:type="spellEnd"/>
      <w:r w:rsidRPr="0030639A">
        <w:rPr>
          <w:rFonts w:ascii="Times New Roman" w:hAnsi="Times New Roman"/>
          <w:sz w:val="20"/>
          <w:szCs w:val="20"/>
          <w:lang w:eastAsia="en-GB" w:bidi="en-GB"/>
        </w:rPr>
        <w:t xml:space="preserve"> to the date of retirement.</w:t>
      </w:r>
    </w:p>
  </w:footnote>
  <w:footnote w:id="4">
    <w:p w:rsidR="007C557B" w:rsidRPr="00956890" w:rsidRDefault="007C557B" w:rsidP="008A52E2">
      <w:pPr>
        <w:pStyle w:val="FootnoteText"/>
        <w:spacing w:before="60" w:after="60"/>
        <w:rPr>
          <w:rFonts w:ascii="Verdana" w:hAnsi="Verdana"/>
          <w:sz w:val="18"/>
          <w:szCs w:val="18"/>
        </w:rPr>
      </w:pPr>
      <w:r w:rsidRPr="0030639A">
        <w:rPr>
          <w:rStyle w:val="FootnoteReference"/>
          <w:rFonts w:ascii="Times New Roman" w:hAnsi="Times New Roman"/>
        </w:rPr>
        <w:footnoteRef/>
      </w:r>
      <w:r w:rsidRPr="0030639A">
        <w:rPr>
          <w:rFonts w:ascii="Times New Roman" w:hAnsi="Times New Roman"/>
        </w:rPr>
        <w:t xml:space="preserve"> </w:t>
      </w:r>
      <w:r w:rsidRPr="00B931E5">
        <w:rPr>
          <w:rFonts w:ascii="Times New Roman" w:hAnsi="Times New Roman"/>
          <w:sz w:val="20"/>
          <w:szCs w:val="20"/>
        </w:rPr>
        <w:t xml:space="preserve">The </w:t>
      </w:r>
      <w:proofErr w:type="spellStart"/>
      <w:r w:rsidRPr="00B931E5">
        <w:rPr>
          <w:rFonts w:ascii="Times New Roman" w:hAnsi="Times New Roman"/>
          <w:sz w:val="20"/>
          <w:szCs w:val="20"/>
        </w:rPr>
        <w:t>divider</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is</w:t>
      </w:r>
      <w:proofErr w:type="spellEnd"/>
      <w:r w:rsidRPr="00B931E5">
        <w:rPr>
          <w:rFonts w:ascii="Times New Roman" w:hAnsi="Times New Roman"/>
          <w:sz w:val="20"/>
          <w:szCs w:val="20"/>
        </w:rPr>
        <w:t xml:space="preserve"> the </w:t>
      </w:r>
      <w:proofErr w:type="spellStart"/>
      <w:r w:rsidRPr="00B931E5">
        <w:rPr>
          <w:rFonts w:ascii="Times New Roman" w:hAnsi="Times New Roman"/>
          <w:sz w:val="20"/>
          <w:szCs w:val="20"/>
        </w:rPr>
        <w:t>result</w:t>
      </w:r>
      <w:proofErr w:type="spellEnd"/>
      <w:r w:rsidRPr="00B931E5">
        <w:rPr>
          <w:rFonts w:ascii="Times New Roman" w:hAnsi="Times New Roman"/>
          <w:sz w:val="20"/>
          <w:szCs w:val="20"/>
        </w:rPr>
        <w:t xml:space="preserve"> of </w:t>
      </w:r>
      <w:proofErr w:type="spellStart"/>
      <w:r w:rsidRPr="00B931E5">
        <w:rPr>
          <w:rFonts w:ascii="Times New Roman" w:hAnsi="Times New Roman"/>
          <w:sz w:val="20"/>
          <w:szCs w:val="20"/>
        </w:rPr>
        <w:t>multiplying</w:t>
      </w:r>
      <w:proofErr w:type="spellEnd"/>
      <w:r w:rsidRPr="00B931E5">
        <w:rPr>
          <w:rFonts w:ascii="Times New Roman" w:hAnsi="Times New Roman"/>
          <w:sz w:val="20"/>
          <w:szCs w:val="20"/>
        </w:rPr>
        <w:t xml:space="preserve"> the </w:t>
      </w:r>
      <w:proofErr w:type="spellStart"/>
      <w:r w:rsidRPr="00B931E5">
        <w:rPr>
          <w:rFonts w:ascii="Times New Roman" w:hAnsi="Times New Roman"/>
          <w:sz w:val="20"/>
          <w:szCs w:val="20"/>
        </w:rPr>
        <w:t>number</w:t>
      </w:r>
      <w:proofErr w:type="spellEnd"/>
      <w:r w:rsidRPr="00B931E5">
        <w:rPr>
          <w:rFonts w:ascii="Times New Roman" w:hAnsi="Times New Roman"/>
          <w:sz w:val="20"/>
          <w:szCs w:val="20"/>
        </w:rPr>
        <w:t xml:space="preserve"> of </w:t>
      </w:r>
      <w:proofErr w:type="spellStart"/>
      <w:r w:rsidRPr="00B931E5">
        <w:rPr>
          <w:rFonts w:ascii="Times New Roman" w:hAnsi="Times New Roman"/>
          <w:sz w:val="20"/>
          <w:szCs w:val="20"/>
        </w:rPr>
        <w:t>years</w:t>
      </w:r>
      <w:proofErr w:type="spellEnd"/>
      <w:r w:rsidRPr="00B931E5">
        <w:rPr>
          <w:rFonts w:ascii="Times New Roman" w:hAnsi="Times New Roman"/>
          <w:sz w:val="20"/>
          <w:szCs w:val="20"/>
        </w:rPr>
        <w:t xml:space="preserve"> of the </w:t>
      </w:r>
      <w:proofErr w:type="spellStart"/>
      <w:r w:rsidRPr="00B931E5">
        <w:rPr>
          <w:rFonts w:ascii="Times New Roman" w:hAnsi="Times New Roman"/>
          <w:sz w:val="20"/>
          <w:szCs w:val="20"/>
        </w:rPr>
        <w:t>period</w:t>
      </w:r>
      <w:proofErr w:type="spellEnd"/>
      <w:r w:rsidRPr="00B931E5">
        <w:rPr>
          <w:rFonts w:ascii="Times New Roman" w:hAnsi="Times New Roman"/>
          <w:sz w:val="20"/>
          <w:szCs w:val="20"/>
        </w:rPr>
        <w:t xml:space="preserve"> of </w:t>
      </w:r>
      <w:proofErr w:type="spellStart"/>
      <w:r w:rsidRPr="00B931E5">
        <w:rPr>
          <w:rFonts w:ascii="Times New Roman" w:hAnsi="Times New Roman"/>
          <w:sz w:val="20"/>
          <w:szCs w:val="20"/>
        </w:rPr>
        <w:t>calculation</w:t>
      </w:r>
      <w:proofErr w:type="spellEnd"/>
      <w:r w:rsidRPr="00B931E5">
        <w:rPr>
          <w:rFonts w:ascii="Times New Roman" w:hAnsi="Times New Roman"/>
          <w:sz w:val="20"/>
          <w:szCs w:val="20"/>
        </w:rPr>
        <w:t xml:space="preserve"> by 14 </w:t>
      </w:r>
      <w:proofErr w:type="spellStart"/>
      <w:r w:rsidRPr="00B931E5">
        <w:rPr>
          <w:rFonts w:ascii="Times New Roman" w:hAnsi="Times New Roman"/>
          <w:sz w:val="20"/>
          <w:szCs w:val="20"/>
        </w:rPr>
        <w:t>months</w:t>
      </w:r>
      <w:proofErr w:type="spellEnd"/>
      <w:r w:rsidRPr="00B931E5">
        <w:rPr>
          <w:rFonts w:ascii="Times New Roman" w:hAnsi="Times New Roman"/>
          <w:sz w:val="20"/>
          <w:szCs w:val="20"/>
        </w:rPr>
        <w:t>.</w:t>
      </w:r>
    </w:p>
  </w:footnote>
  <w:footnote w:id="5">
    <w:p w:rsidR="007C557B" w:rsidRPr="00C201A8" w:rsidRDefault="007C557B" w:rsidP="008A52E2">
      <w:pPr>
        <w:spacing w:before="60" w:after="60"/>
        <w:rPr>
          <w:rFonts w:ascii="Times New Roman" w:hAnsi="Times New Roman"/>
          <w:sz w:val="20"/>
          <w:szCs w:val="20"/>
        </w:rPr>
      </w:pPr>
      <w:r w:rsidRPr="00C201A8">
        <w:rPr>
          <w:rStyle w:val="FootnoteReference"/>
          <w:rFonts w:ascii="Times New Roman" w:hAnsi="Times New Roman"/>
          <w:sz w:val="20"/>
          <w:szCs w:val="20"/>
        </w:rPr>
        <w:footnoteRef/>
      </w:r>
      <w:r w:rsidRPr="00C201A8">
        <w:rPr>
          <w:rFonts w:ascii="Times New Roman" w:hAnsi="Times New Roman"/>
          <w:sz w:val="20"/>
          <w:szCs w:val="20"/>
        </w:rPr>
        <w:t xml:space="preserve"> In 2015, 164 </w:t>
      </w:r>
      <w:proofErr w:type="spellStart"/>
      <w:r w:rsidRPr="00C201A8">
        <w:rPr>
          <w:rFonts w:ascii="Times New Roman" w:hAnsi="Times New Roman"/>
          <w:sz w:val="20"/>
          <w:szCs w:val="20"/>
        </w:rPr>
        <w:t>days</w:t>
      </w:r>
      <w:proofErr w:type="spellEnd"/>
      <w:r w:rsidRPr="00C201A8">
        <w:rPr>
          <w:rFonts w:ascii="Times New Roman" w:hAnsi="Times New Roman"/>
          <w:sz w:val="20"/>
          <w:szCs w:val="20"/>
        </w:rPr>
        <w:t xml:space="preserve"> are </w:t>
      </w:r>
      <w:proofErr w:type="spellStart"/>
      <w:r w:rsidRPr="00C201A8">
        <w:rPr>
          <w:rFonts w:ascii="Times New Roman" w:hAnsi="Times New Roman"/>
          <w:sz w:val="20"/>
          <w:szCs w:val="20"/>
        </w:rPr>
        <w:t>applied</w:t>
      </w:r>
      <w:proofErr w:type="spellEnd"/>
      <w:r w:rsidRPr="00C201A8">
        <w:rPr>
          <w:rFonts w:ascii="Times New Roman" w:hAnsi="Times New Roman"/>
          <w:sz w:val="20"/>
          <w:szCs w:val="20"/>
        </w:rPr>
        <w:t xml:space="preserve"> for </w:t>
      </w:r>
      <w:proofErr w:type="spellStart"/>
      <w:r w:rsidRPr="00C201A8">
        <w:rPr>
          <w:rFonts w:ascii="Times New Roman" w:hAnsi="Times New Roman"/>
          <w:sz w:val="20"/>
          <w:szCs w:val="20"/>
        </w:rPr>
        <w:t>child</w:t>
      </w:r>
      <w:proofErr w:type="spellEnd"/>
      <w:r w:rsidRPr="00C201A8">
        <w:rPr>
          <w:rFonts w:ascii="Times New Roman" w:hAnsi="Times New Roman"/>
          <w:sz w:val="20"/>
          <w:szCs w:val="20"/>
        </w:rPr>
        <w:t xml:space="preserve"> and </w:t>
      </w:r>
      <w:proofErr w:type="spellStart"/>
      <w:r w:rsidRPr="00C201A8">
        <w:rPr>
          <w:rFonts w:ascii="Times New Roman" w:hAnsi="Times New Roman"/>
          <w:sz w:val="20"/>
          <w:szCs w:val="20"/>
        </w:rPr>
        <w:t>rising</w:t>
      </w:r>
      <w:proofErr w:type="spellEnd"/>
      <w:r w:rsidRPr="00C201A8">
        <w:rPr>
          <w:rFonts w:ascii="Times New Roman" w:hAnsi="Times New Roman"/>
          <w:sz w:val="20"/>
          <w:szCs w:val="20"/>
        </w:rPr>
        <w:t xml:space="preserve"> </w:t>
      </w:r>
      <w:proofErr w:type="spellStart"/>
      <w:r w:rsidRPr="00C201A8">
        <w:rPr>
          <w:rFonts w:ascii="Times New Roman" w:hAnsi="Times New Roman"/>
          <w:sz w:val="20"/>
          <w:szCs w:val="20"/>
        </w:rPr>
        <w:t>progressively</w:t>
      </w:r>
      <w:proofErr w:type="spellEnd"/>
      <w:r w:rsidRPr="00C201A8">
        <w:rPr>
          <w:rFonts w:ascii="Times New Roman" w:hAnsi="Times New Roman"/>
          <w:sz w:val="20"/>
          <w:szCs w:val="20"/>
        </w:rPr>
        <w:t xml:space="preserve"> to 270 </w:t>
      </w:r>
      <w:proofErr w:type="spellStart"/>
      <w:r w:rsidRPr="00C201A8">
        <w:rPr>
          <w:rFonts w:ascii="Times New Roman" w:hAnsi="Times New Roman"/>
          <w:sz w:val="20"/>
          <w:szCs w:val="20"/>
        </w:rPr>
        <w:t>days</w:t>
      </w:r>
      <w:proofErr w:type="spellEnd"/>
      <w:r w:rsidRPr="00C201A8">
        <w:rPr>
          <w:rFonts w:ascii="Times New Roman" w:hAnsi="Times New Roman"/>
          <w:sz w:val="20"/>
          <w:szCs w:val="20"/>
        </w:rPr>
        <w:t xml:space="preserve"> in 2019. </w:t>
      </w:r>
    </w:p>
  </w:footnote>
  <w:footnote w:id="6">
    <w:p w:rsidR="007C557B" w:rsidRPr="00C201A8" w:rsidRDefault="007C557B" w:rsidP="008A52E2">
      <w:pPr>
        <w:spacing w:before="60" w:after="60"/>
        <w:rPr>
          <w:rFonts w:ascii="Times New Roman" w:hAnsi="Times New Roman"/>
          <w:sz w:val="20"/>
          <w:szCs w:val="20"/>
        </w:rPr>
      </w:pPr>
      <w:r w:rsidRPr="00C201A8">
        <w:rPr>
          <w:rFonts w:ascii="Times New Roman" w:hAnsi="Times New Roman"/>
          <w:sz w:val="20"/>
          <w:szCs w:val="20"/>
          <w:vertAlign w:val="superscript"/>
        </w:rPr>
        <w:footnoteRef/>
      </w:r>
      <w:r w:rsidRPr="00C201A8">
        <w:rPr>
          <w:rFonts w:ascii="Times New Roman" w:hAnsi="Times New Roman"/>
          <w:sz w:val="20"/>
          <w:szCs w:val="20"/>
          <w:vertAlign w:val="superscript"/>
        </w:rPr>
        <w:t xml:space="preserve"> </w:t>
      </w:r>
      <w:proofErr w:type="spellStart"/>
      <w:r w:rsidRPr="00C201A8">
        <w:rPr>
          <w:rFonts w:ascii="Times New Roman" w:hAnsi="Times New Roman"/>
          <w:sz w:val="20"/>
          <w:szCs w:val="20"/>
        </w:rPr>
        <w:t>Act</w:t>
      </w:r>
      <w:proofErr w:type="spellEnd"/>
      <w:r w:rsidRPr="00C201A8">
        <w:rPr>
          <w:rFonts w:ascii="Times New Roman" w:hAnsi="Times New Roman"/>
          <w:sz w:val="20"/>
          <w:szCs w:val="20"/>
        </w:rPr>
        <w:t xml:space="preserve"> 27/2011 and RDL 5/</w:t>
      </w:r>
      <w:r w:rsidRPr="00C201A8">
        <w:rPr>
          <w:rFonts w:ascii="Times New Roman" w:hAnsi="Times New Roman"/>
          <w:sz w:val="20"/>
          <w:szCs w:val="20"/>
          <w:lang w:eastAsia="en-GB" w:bidi="en-GB"/>
        </w:rPr>
        <w:t>2013</w:t>
      </w:r>
    </w:p>
  </w:footnote>
  <w:footnote w:id="7">
    <w:p w:rsidR="007C557B" w:rsidRPr="00B931E5" w:rsidRDefault="007C557B" w:rsidP="008A52E2">
      <w:pPr>
        <w:pStyle w:val="FootnoteText"/>
        <w:spacing w:before="60" w:after="60"/>
        <w:rPr>
          <w:rFonts w:ascii="Times New Roman" w:hAnsi="Times New Roman"/>
          <w:sz w:val="20"/>
          <w:szCs w:val="20"/>
        </w:rPr>
      </w:pPr>
      <w:r w:rsidRPr="00C201A8">
        <w:rPr>
          <w:rStyle w:val="FootnoteReference"/>
          <w:rFonts w:ascii="Times New Roman" w:hAnsi="Times New Roman"/>
        </w:rPr>
        <w:footnoteRef/>
      </w:r>
      <w:r w:rsidRPr="00C201A8">
        <w:rPr>
          <w:rFonts w:ascii="Times New Roman" w:hAnsi="Times New Roman"/>
        </w:rPr>
        <w:t xml:space="preserve"> </w:t>
      </w:r>
      <w:proofErr w:type="spellStart"/>
      <w:r w:rsidRPr="00B931E5">
        <w:rPr>
          <w:rFonts w:ascii="Times New Roman" w:hAnsi="Times New Roman"/>
          <w:sz w:val="20"/>
          <w:szCs w:val="20"/>
          <w:lang w:eastAsia="en-GB" w:bidi="en-GB"/>
        </w:rPr>
        <w:t>Act</w:t>
      </w:r>
      <w:proofErr w:type="spellEnd"/>
      <w:r w:rsidRPr="00B931E5">
        <w:rPr>
          <w:rFonts w:ascii="Times New Roman" w:hAnsi="Times New Roman"/>
          <w:sz w:val="20"/>
          <w:szCs w:val="20"/>
          <w:lang w:eastAsia="en-GB" w:bidi="en-GB"/>
        </w:rPr>
        <w:t xml:space="preserve"> 27/2011 an </w:t>
      </w:r>
      <w:proofErr w:type="spellStart"/>
      <w:r w:rsidRPr="00B931E5">
        <w:rPr>
          <w:rFonts w:ascii="Times New Roman" w:hAnsi="Times New Roman"/>
          <w:sz w:val="20"/>
          <w:szCs w:val="20"/>
          <w:lang w:eastAsia="en-GB" w:bidi="en-GB"/>
        </w:rPr>
        <w:t>Act</w:t>
      </w:r>
      <w:proofErr w:type="spellEnd"/>
      <w:r w:rsidRPr="00B931E5">
        <w:rPr>
          <w:rFonts w:ascii="Times New Roman" w:hAnsi="Times New Roman"/>
          <w:sz w:val="20"/>
          <w:szCs w:val="20"/>
          <w:lang w:eastAsia="en-GB" w:bidi="en-GB"/>
        </w:rPr>
        <w:t xml:space="preserve"> 23/2013</w:t>
      </w:r>
    </w:p>
  </w:footnote>
  <w:footnote w:id="8">
    <w:p w:rsidR="007C557B" w:rsidRPr="00B931E5" w:rsidRDefault="007C557B" w:rsidP="008A52E2">
      <w:pPr>
        <w:pStyle w:val="FootnoteText"/>
        <w:spacing w:before="60" w:after="60"/>
        <w:rPr>
          <w:rFonts w:ascii="Times New Roman" w:hAnsi="Times New Roman"/>
          <w:sz w:val="20"/>
          <w:szCs w:val="20"/>
        </w:rPr>
      </w:pPr>
      <w:r w:rsidRPr="00B931E5">
        <w:rPr>
          <w:rStyle w:val="FootnoteReference"/>
          <w:rFonts w:ascii="Times New Roman" w:hAnsi="Times New Roman"/>
          <w:sz w:val="20"/>
          <w:szCs w:val="20"/>
        </w:rPr>
        <w:footnoteRef/>
      </w:r>
      <w:r w:rsidRPr="00B931E5">
        <w:rPr>
          <w:rFonts w:ascii="Times New Roman" w:hAnsi="Times New Roman"/>
          <w:sz w:val="20"/>
          <w:szCs w:val="20"/>
        </w:rPr>
        <w:t xml:space="preserve"> </w:t>
      </w:r>
      <w:r w:rsidRPr="00B931E5">
        <w:rPr>
          <w:rFonts w:ascii="Times New Roman" w:hAnsi="Times New Roman"/>
          <w:sz w:val="20"/>
          <w:szCs w:val="20"/>
          <w:lang w:eastAsia="en-GB" w:bidi="en-GB"/>
        </w:rPr>
        <w:t>RDL 5/2013</w:t>
      </w:r>
    </w:p>
  </w:footnote>
  <w:footnote w:id="9">
    <w:p w:rsidR="007C557B" w:rsidRPr="00B931E5" w:rsidRDefault="007C557B" w:rsidP="008A52E2">
      <w:pPr>
        <w:pStyle w:val="FootnoteText"/>
        <w:spacing w:before="60" w:after="60"/>
        <w:rPr>
          <w:rFonts w:ascii="Verdana" w:hAnsi="Verdana"/>
          <w:sz w:val="20"/>
          <w:szCs w:val="20"/>
        </w:rPr>
      </w:pPr>
      <w:r w:rsidRPr="00B931E5">
        <w:rPr>
          <w:rStyle w:val="FootnoteReference"/>
          <w:rFonts w:ascii="Times New Roman" w:hAnsi="Times New Roman"/>
          <w:sz w:val="20"/>
          <w:szCs w:val="20"/>
        </w:rPr>
        <w:footnoteRef/>
      </w:r>
      <w:r w:rsidRPr="00B931E5">
        <w:rPr>
          <w:rFonts w:ascii="Times New Roman" w:hAnsi="Times New Roman"/>
          <w:sz w:val="20"/>
          <w:szCs w:val="20"/>
        </w:rPr>
        <w:t xml:space="preserve"> In 2014, the national minimum </w:t>
      </w:r>
      <w:proofErr w:type="spellStart"/>
      <w:r w:rsidRPr="00B931E5">
        <w:rPr>
          <w:rFonts w:ascii="Times New Roman" w:hAnsi="Times New Roman"/>
          <w:sz w:val="20"/>
          <w:szCs w:val="20"/>
        </w:rPr>
        <w:t>wage</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is</w:t>
      </w:r>
      <w:proofErr w:type="spellEnd"/>
      <w:r w:rsidRPr="00B931E5">
        <w:rPr>
          <w:rFonts w:ascii="Times New Roman" w:hAnsi="Times New Roman"/>
          <w:sz w:val="20"/>
          <w:szCs w:val="20"/>
        </w:rPr>
        <w:t xml:space="preserve"> 9,034.20 euros (752.85 euros per </w:t>
      </w:r>
      <w:proofErr w:type="spellStart"/>
      <w:r w:rsidRPr="00B931E5">
        <w:rPr>
          <w:rFonts w:ascii="Times New Roman" w:hAnsi="Times New Roman"/>
          <w:sz w:val="20"/>
          <w:szCs w:val="20"/>
        </w:rPr>
        <w:t>month</w:t>
      </w:r>
      <w:proofErr w:type="spellEnd"/>
      <w:r w:rsidRPr="00B931E5">
        <w:rPr>
          <w:rFonts w:ascii="Times New Roman" w:hAnsi="Times New Roman"/>
          <w:sz w:val="20"/>
          <w:szCs w:val="20"/>
        </w:rPr>
        <w:t>).</w:t>
      </w:r>
      <w:r w:rsidRPr="00B931E5">
        <w:rPr>
          <w:rFonts w:ascii="Verdana" w:hAnsi="Verdana"/>
          <w:sz w:val="20"/>
          <w:szCs w:val="20"/>
        </w:rPr>
        <w:t xml:space="preserve"> </w:t>
      </w:r>
    </w:p>
  </w:footnote>
  <w:footnote w:id="10">
    <w:p w:rsidR="007C557B" w:rsidRPr="0086645A" w:rsidRDefault="007C557B" w:rsidP="008A52E2">
      <w:pPr>
        <w:pStyle w:val="FootnoteText"/>
        <w:spacing w:before="60" w:after="60"/>
        <w:rPr>
          <w:rFonts w:ascii="Times New Roman" w:hAnsi="Times New Roman"/>
        </w:rPr>
      </w:pPr>
      <w:r w:rsidRPr="00B931E5">
        <w:rPr>
          <w:rStyle w:val="FootnoteReference"/>
          <w:rFonts w:ascii="Times New Roman" w:hAnsi="Times New Roman"/>
          <w:sz w:val="20"/>
          <w:szCs w:val="20"/>
        </w:rPr>
        <w:footnoteRef/>
      </w:r>
      <w:r w:rsidRPr="00B931E5">
        <w:rPr>
          <w:rFonts w:ascii="Times New Roman" w:hAnsi="Times New Roman"/>
          <w:sz w:val="20"/>
          <w:szCs w:val="20"/>
        </w:rPr>
        <w:t xml:space="preserve"> </w:t>
      </w:r>
      <w:proofErr w:type="spellStart"/>
      <w:r w:rsidRPr="00B931E5">
        <w:rPr>
          <w:rFonts w:ascii="Times New Roman" w:hAnsi="Times New Roman"/>
          <w:sz w:val="20"/>
          <w:szCs w:val="20"/>
        </w:rPr>
        <w:t>Act</w:t>
      </w:r>
      <w:proofErr w:type="spellEnd"/>
      <w:r w:rsidRPr="00B931E5">
        <w:rPr>
          <w:rFonts w:ascii="Times New Roman" w:hAnsi="Times New Roman"/>
          <w:sz w:val="20"/>
          <w:szCs w:val="20"/>
        </w:rPr>
        <w:t xml:space="preserve"> 26/2014, of 27 </w:t>
      </w:r>
      <w:proofErr w:type="spellStart"/>
      <w:r w:rsidRPr="00B931E5">
        <w:rPr>
          <w:rFonts w:ascii="Times New Roman" w:hAnsi="Times New Roman"/>
          <w:sz w:val="20"/>
          <w:szCs w:val="20"/>
        </w:rPr>
        <w:t>November</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amending</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Act</w:t>
      </w:r>
      <w:proofErr w:type="spellEnd"/>
      <w:r w:rsidRPr="00B931E5">
        <w:rPr>
          <w:rFonts w:ascii="Times New Roman" w:hAnsi="Times New Roman"/>
          <w:sz w:val="20"/>
          <w:szCs w:val="20"/>
        </w:rPr>
        <w:t xml:space="preserve"> 35/2006 of 28 </w:t>
      </w:r>
      <w:proofErr w:type="spellStart"/>
      <w:r w:rsidRPr="00B931E5">
        <w:rPr>
          <w:rFonts w:ascii="Times New Roman" w:hAnsi="Times New Roman"/>
          <w:sz w:val="20"/>
          <w:szCs w:val="20"/>
        </w:rPr>
        <w:t>November</w:t>
      </w:r>
      <w:proofErr w:type="spellEnd"/>
      <w:r w:rsidRPr="00B931E5">
        <w:rPr>
          <w:rFonts w:ascii="Times New Roman" w:hAnsi="Times New Roman"/>
          <w:sz w:val="20"/>
          <w:szCs w:val="20"/>
        </w:rPr>
        <w:t xml:space="preserve"> on </w:t>
      </w:r>
      <w:proofErr w:type="spellStart"/>
      <w:r w:rsidRPr="00B931E5">
        <w:rPr>
          <w:rFonts w:ascii="Times New Roman" w:hAnsi="Times New Roman"/>
          <w:sz w:val="20"/>
          <w:szCs w:val="20"/>
        </w:rPr>
        <w:t>Personal</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Income</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Tax</w:t>
      </w:r>
      <w:proofErr w:type="spellEnd"/>
      <w:r w:rsidRPr="00B931E5">
        <w:rPr>
          <w:rFonts w:ascii="Times New Roman" w:hAnsi="Times New Roman"/>
          <w:sz w:val="20"/>
          <w:szCs w:val="20"/>
        </w:rPr>
        <w:t xml:space="preserve"> and </w:t>
      </w:r>
      <w:proofErr w:type="spellStart"/>
      <w:r w:rsidRPr="00B931E5">
        <w:rPr>
          <w:rFonts w:ascii="Times New Roman" w:hAnsi="Times New Roman"/>
          <w:sz w:val="20"/>
          <w:szCs w:val="20"/>
        </w:rPr>
        <w:t>other</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tax</w:t>
      </w:r>
      <w:proofErr w:type="spellEnd"/>
      <w:r w:rsidRPr="00B931E5">
        <w:rPr>
          <w:rFonts w:ascii="Times New Roman" w:hAnsi="Times New Roman"/>
          <w:sz w:val="20"/>
          <w:szCs w:val="20"/>
        </w:rPr>
        <w:t xml:space="preserve"> </w:t>
      </w:r>
      <w:proofErr w:type="spellStart"/>
      <w:r w:rsidRPr="00B931E5">
        <w:rPr>
          <w:rFonts w:ascii="Times New Roman" w:hAnsi="Times New Roman"/>
          <w:sz w:val="20"/>
          <w:szCs w:val="20"/>
        </w:rPr>
        <w:t>rules</w:t>
      </w:r>
      <w:proofErr w:type="spellEnd"/>
      <w:r w:rsidRPr="0086645A">
        <w:rPr>
          <w:rFonts w:ascii="Times New Roman" w:hAnsi="Times New Roman"/>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BF3117"/>
    <w:multiLevelType w:val="hybridMultilevel"/>
    <w:tmpl w:val="FCC84920"/>
    <w:lvl w:ilvl="0" w:tplc="B198B45E">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C161EB"/>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68237F"/>
    <w:multiLevelType w:val="hybridMultilevel"/>
    <w:tmpl w:val="2F568630"/>
    <w:lvl w:ilvl="0" w:tplc="202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609AA"/>
    <w:multiLevelType w:val="hybridMultilevel"/>
    <w:tmpl w:val="19FC3E04"/>
    <w:lvl w:ilvl="0" w:tplc="4BA67E84">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1E041B"/>
    <w:multiLevelType w:val="hybridMultilevel"/>
    <w:tmpl w:val="50649B1A"/>
    <w:lvl w:ilvl="0" w:tplc="A2DC74A8">
      <w:numFmt w:val="bullet"/>
      <w:lvlText w:val="–"/>
      <w:lvlJc w:val="left"/>
      <w:pPr>
        <w:ind w:left="720" w:hanging="360"/>
      </w:pPr>
      <w:rPr>
        <w:rFonts w:ascii="Calibri" w:eastAsia="SimSun" w:hAnsi="Calibri"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D3E6808"/>
    <w:multiLevelType w:val="multilevel"/>
    <w:tmpl w:val="2F568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DBD6E2C"/>
    <w:multiLevelType w:val="hybridMultilevel"/>
    <w:tmpl w:val="C8D6414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4147106B"/>
    <w:multiLevelType w:val="hybridMultilevel"/>
    <w:tmpl w:val="0450B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07608E2"/>
    <w:multiLevelType w:val="hybridMultilevel"/>
    <w:tmpl w:val="0450B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A83128F"/>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B494682"/>
    <w:multiLevelType w:val="hybridMultilevel"/>
    <w:tmpl w:val="7F6A8D72"/>
    <w:lvl w:ilvl="0" w:tplc="AA40F8AC">
      <w:start w:val="1"/>
      <w:numFmt w:val="decimal"/>
      <w:lvlText w:val="(%1)"/>
      <w:lvlJc w:val="left"/>
      <w:pPr>
        <w:ind w:left="525" w:hanging="465"/>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4">
    <w:nsid w:val="62232AC1"/>
    <w:multiLevelType w:val="hybridMultilevel"/>
    <w:tmpl w:val="BC4656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6DE0E84"/>
    <w:multiLevelType w:val="hybridMultilevel"/>
    <w:tmpl w:val="FB8A748C"/>
    <w:lvl w:ilvl="0" w:tplc="87E287FA">
      <w:start w:val="1"/>
      <w:numFmt w:val="decimal"/>
      <w:lvlText w:val="%1."/>
      <w:lvlJc w:val="left"/>
      <w:pPr>
        <w:ind w:left="720" w:hanging="360"/>
      </w:pPr>
      <w:rPr>
        <w:rFonts w:ascii="Arial" w:hAnsi="Arial" w:cs="Arial" w:hint="default"/>
        <w:color w:val="1D314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DF92FC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FB63B9"/>
    <w:multiLevelType w:val="hybridMultilevel"/>
    <w:tmpl w:val="0276B1FE"/>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18">
    <w:nsid w:val="7BB5179C"/>
    <w:multiLevelType w:val="hybridMultilevel"/>
    <w:tmpl w:val="8444B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6"/>
  </w:num>
  <w:num w:numId="4">
    <w:abstractNumId w:val="0"/>
  </w:num>
  <w:num w:numId="5">
    <w:abstractNumId w:val="1"/>
  </w:num>
  <w:num w:numId="6">
    <w:abstractNumId w:val="2"/>
  </w:num>
  <w:num w:numId="7">
    <w:abstractNumId w:val="5"/>
  </w:num>
  <w:num w:numId="8">
    <w:abstractNumId w:val="8"/>
  </w:num>
  <w:num w:numId="9">
    <w:abstractNumId w:val="16"/>
  </w:num>
  <w:num w:numId="10">
    <w:abstractNumId w:val="7"/>
  </w:num>
  <w:num w:numId="11">
    <w:abstractNumId w:val="12"/>
  </w:num>
  <w:num w:numId="12">
    <w:abstractNumId w:val="17"/>
  </w:num>
  <w:num w:numId="13">
    <w:abstractNumId w:val="13"/>
  </w:num>
  <w:num w:numId="14">
    <w:abstractNumId w:val="15"/>
  </w:num>
  <w:num w:numId="15">
    <w:abstractNumId w:val="9"/>
  </w:num>
  <w:num w:numId="16">
    <w:abstractNumId w:val="3"/>
  </w:num>
  <w:num w:numId="17">
    <w:abstractNumId w:val="11"/>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1F"/>
    <w:rsid w:val="00017109"/>
    <w:rsid w:val="00031FDD"/>
    <w:rsid w:val="00047843"/>
    <w:rsid w:val="001377BC"/>
    <w:rsid w:val="00153141"/>
    <w:rsid w:val="00174A28"/>
    <w:rsid w:val="001778B3"/>
    <w:rsid w:val="0018641D"/>
    <w:rsid w:val="001D47A6"/>
    <w:rsid w:val="001E0FBD"/>
    <w:rsid w:val="00202E15"/>
    <w:rsid w:val="00224FA5"/>
    <w:rsid w:val="00240EDD"/>
    <w:rsid w:val="002B3A08"/>
    <w:rsid w:val="002B59B7"/>
    <w:rsid w:val="002B5DD2"/>
    <w:rsid w:val="002C2607"/>
    <w:rsid w:val="002C7A7A"/>
    <w:rsid w:val="002F5299"/>
    <w:rsid w:val="00325E38"/>
    <w:rsid w:val="0034264B"/>
    <w:rsid w:val="003670DC"/>
    <w:rsid w:val="00397A16"/>
    <w:rsid w:val="003A7224"/>
    <w:rsid w:val="003B7C04"/>
    <w:rsid w:val="003D0C87"/>
    <w:rsid w:val="003D0E34"/>
    <w:rsid w:val="003E3104"/>
    <w:rsid w:val="004027E2"/>
    <w:rsid w:val="00414ADD"/>
    <w:rsid w:val="00434BD7"/>
    <w:rsid w:val="0045280C"/>
    <w:rsid w:val="004538AB"/>
    <w:rsid w:val="00454617"/>
    <w:rsid w:val="00466884"/>
    <w:rsid w:val="00481DC2"/>
    <w:rsid w:val="004E0112"/>
    <w:rsid w:val="004E6DFE"/>
    <w:rsid w:val="0052593D"/>
    <w:rsid w:val="00534563"/>
    <w:rsid w:val="00571B02"/>
    <w:rsid w:val="00586F8A"/>
    <w:rsid w:val="00595350"/>
    <w:rsid w:val="005964C4"/>
    <w:rsid w:val="005A525A"/>
    <w:rsid w:val="005B1378"/>
    <w:rsid w:val="00621468"/>
    <w:rsid w:val="00644731"/>
    <w:rsid w:val="0068411B"/>
    <w:rsid w:val="00695B14"/>
    <w:rsid w:val="006B0759"/>
    <w:rsid w:val="006E5D34"/>
    <w:rsid w:val="006F2169"/>
    <w:rsid w:val="00700906"/>
    <w:rsid w:val="00741E30"/>
    <w:rsid w:val="007A777D"/>
    <w:rsid w:val="007B745C"/>
    <w:rsid w:val="007C557B"/>
    <w:rsid w:val="007E29EA"/>
    <w:rsid w:val="007F22D9"/>
    <w:rsid w:val="008811F7"/>
    <w:rsid w:val="008A52E2"/>
    <w:rsid w:val="008B306E"/>
    <w:rsid w:val="008C0C1F"/>
    <w:rsid w:val="008D59F2"/>
    <w:rsid w:val="00913A69"/>
    <w:rsid w:val="009207D2"/>
    <w:rsid w:val="009573CE"/>
    <w:rsid w:val="009678D2"/>
    <w:rsid w:val="009808B6"/>
    <w:rsid w:val="009927AE"/>
    <w:rsid w:val="009A2A34"/>
    <w:rsid w:val="009D4965"/>
    <w:rsid w:val="009F489E"/>
    <w:rsid w:val="00A106E7"/>
    <w:rsid w:val="00A22C38"/>
    <w:rsid w:val="00A5307F"/>
    <w:rsid w:val="00A62BEB"/>
    <w:rsid w:val="00A66371"/>
    <w:rsid w:val="00A74659"/>
    <w:rsid w:val="00AB0334"/>
    <w:rsid w:val="00AB2D6D"/>
    <w:rsid w:val="00AB4BB6"/>
    <w:rsid w:val="00AC08E8"/>
    <w:rsid w:val="00AC2B6D"/>
    <w:rsid w:val="00B17732"/>
    <w:rsid w:val="00B40017"/>
    <w:rsid w:val="00B65BC7"/>
    <w:rsid w:val="00B83874"/>
    <w:rsid w:val="00B931E5"/>
    <w:rsid w:val="00BA1B8C"/>
    <w:rsid w:val="00BA5B0A"/>
    <w:rsid w:val="00BE0C06"/>
    <w:rsid w:val="00C01469"/>
    <w:rsid w:val="00C52627"/>
    <w:rsid w:val="00C544CB"/>
    <w:rsid w:val="00CB4577"/>
    <w:rsid w:val="00CD4680"/>
    <w:rsid w:val="00CE24AE"/>
    <w:rsid w:val="00D12DFE"/>
    <w:rsid w:val="00DB42BF"/>
    <w:rsid w:val="00DB584A"/>
    <w:rsid w:val="00DC5902"/>
    <w:rsid w:val="00DD7CFC"/>
    <w:rsid w:val="00E12496"/>
    <w:rsid w:val="00E3007C"/>
    <w:rsid w:val="00E32282"/>
    <w:rsid w:val="00E827EA"/>
    <w:rsid w:val="00E86CE7"/>
    <w:rsid w:val="00EA52D3"/>
    <w:rsid w:val="00EF77B3"/>
    <w:rsid w:val="00F02FD4"/>
    <w:rsid w:val="00F03A69"/>
    <w:rsid w:val="00F8681C"/>
    <w:rsid w:val="00F91AFF"/>
    <w:rsid w:val="00FC161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n,FOOTNOTES,Fußnotentext Char,Footnote Text Char2 Char,Footnote Text Char1 Char Char,Footnote Text Char2 Char Char Char,Footnote Text Char1 Char Char Char Char,Char,Footnote Text Char Char,Footnote Text Char1,footnote,Char1"/>
    <w:basedOn w:val="Normal"/>
    <w:link w:val="FootnoteTextChar"/>
    <w:uiPriority w:val="99"/>
    <w:unhideWhenUsed/>
    <w:qFormat/>
    <w:rsid w:val="003E3104"/>
  </w:style>
  <w:style w:type="character" w:customStyle="1" w:styleId="FootnoteTextChar">
    <w:name w:val="Footnote Text Char"/>
    <w:aliases w:val="single space Char,fn Char,FOOTNOTES Char,Fußnotentext Char Char,Footnote Text Char2 Char Char,Footnote Text Char1 Char Char Char,Footnote Text Char2 Char Char Char Char,Footnote Text Char1 Char Char Char Char Char,Char Char,Char1 Char"/>
    <w:basedOn w:val="DefaultParagraphFont"/>
    <w:link w:val="FootnoteText"/>
    <w:uiPriority w:val="99"/>
    <w:rsid w:val="003E3104"/>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
    <w:basedOn w:val="DefaultParagraphFont"/>
    <w:link w:val="CarCharCarCharCarCharCharCharCharCharCharChar"/>
    <w:uiPriority w:val="99"/>
    <w:unhideWhenUsed/>
    <w:qFormat/>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paragraph" w:customStyle="1" w:styleId="Default">
    <w:name w:val="Default"/>
    <w:rsid w:val="003A7224"/>
    <w:pPr>
      <w:autoSpaceDE w:val="0"/>
      <w:autoSpaceDN w:val="0"/>
      <w:adjustRightInd w:val="0"/>
    </w:pPr>
    <w:rPr>
      <w:rFonts w:ascii="Arial" w:hAnsi="Arial" w:cs="Arial"/>
      <w:color w:val="000000"/>
      <w:lang w:val="es-ES"/>
    </w:rPr>
  </w:style>
  <w:style w:type="paragraph" w:customStyle="1" w:styleId="CarCharCarCharCarCharCharCharCharCharCharChar">
    <w:name w:val="Car Char Car Char Car Char Char Char Char Char Char Char"/>
    <w:aliases w:val="Footnote Refernece Char,Footnote Refernece Char Char Char Char"/>
    <w:basedOn w:val="Normal"/>
    <w:link w:val="FootnoteReference"/>
    <w:uiPriority w:val="99"/>
    <w:rsid w:val="008A52E2"/>
    <w:pPr>
      <w:autoSpaceDE w:val="0"/>
      <w:autoSpaceDN w:val="0"/>
      <w:spacing w:after="160" w:line="240" w:lineRule="exact"/>
      <w:jc w:val="both"/>
    </w:pPr>
    <w:rPr>
      <w:vertAlign w:val="superscript"/>
    </w:rPr>
  </w:style>
  <w:style w:type="character" w:customStyle="1" w:styleId="shorttext">
    <w:name w:val="short_text"/>
    <w:basedOn w:val="DefaultParagraphFont"/>
    <w:rsid w:val="009927A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n,FOOTNOTES,Fußnotentext Char,Footnote Text Char2 Char,Footnote Text Char1 Char Char,Footnote Text Char2 Char Char Char,Footnote Text Char1 Char Char Char Char,Char,Footnote Text Char Char,Footnote Text Char1,footnote,Char1"/>
    <w:basedOn w:val="Normal"/>
    <w:link w:val="FootnoteTextChar"/>
    <w:uiPriority w:val="99"/>
    <w:unhideWhenUsed/>
    <w:qFormat/>
    <w:rsid w:val="003E3104"/>
  </w:style>
  <w:style w:type="character" w:customStyle="1" w:styleId="FootnoteTextChar">
    <w:name w:val="Footnote Text Char"/>
    <w:aliases w:val="single space Char,fn Char,FOOTNOTES Char,Fußnotentext Char Char,Footnote Text Char2 Char Char,Footnote Text Char1 Char Char Char,Footnote Text Char2 Char Char Char Char,Footnote Text Char1 Char Char Char Char Char,Char Char,Char1 Char"/>
    <w:basedOn w:val="DefaultParagraphFont"/>
    <w:link w:val="FootnoteText"/>
    <w:uiPriority w:val="99"/>
    <w:rsid w:val="003E3104"/>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
    <w:basedOn w:val="DefaultParagraphFont"/>
    <w:link w:val="CarCharCarCharCarCharCharCharCharCharCharChar"/>
    <w:uiPriority w:val="99"/>
    <w:unhideWhenUsed/>
    <w:qFormat/>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paragraph" w:customStyle="1" w:styleId="Default">
    <w:name w:val="Default"/>
    <w:rsid w:val="003A7224"/>
    <w:pPr>
      <w:autoSpaceDE w:val="0"/>
      <w:autoSpaceDN w:val="0"/>
      <w:adjustRightInd w:val="0"/>
    </w:pPr>
    <w:rPr>
      <w:rFonts w:ascii="Arial" w:hAnsi="Arial" w:cs="Arial"/>
      <w:color w:val="000000"/>
      <w:lang w:val="es-ES"/>
    </w:rPr>
  </w:style>
  <w:style w:type="paragraph" w:customStyle="1" w:styleId="CarCharCarCharCarCharCharCharCharCharCharChar">
    <w:name w:val="Car Char Car Char Car Char Char Char Char Char Char Char"/>
    <w:aliases w:val="Footnote Refernece Char,Footnote Refernece Char Char Char Char"/>
    <w:basedOn w:val="Normal"/>
    <w:link w:val="FootnoteReference"/>
    <w:uiPriority w:val="99"/>
    <w:rsid w:val="008A52E2"/>
    <w:pPr>
      <w:autoSpaceDE w:val="0"/>
      <w:autoSpaceDN w:val="0"/>
      <w:spacing w:after="160" w:line="240" w:lineRule="exact"/>
      <w:jc w:val="both"/>
    </w:pPr>
    <w:rPr>
      <w:vertAlign w:val="superscript"/>
    </w:rPr>
  </w:style>
  <w:style w:type="character" w:customStyle="1" w:styleId="shorttext">
    <w:name w:val="short_text"/>
    <w:basedOn w:val="DefaultParagraphFont"/>
    <w:rsid w:val="00992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1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00">
          <w:marLeft w:val="0"/>
          <w:marRight w:val="0"/>
          <w:marTop w:val="0"/>
          <w:marBottom w:val="0"/>
          <w:divBdr>
            <w:top w:val="none" w:sz="0" w:space="0" w:color="auto"/>
            <w:left w:val="none" w:sz="0" w:space="0" w:color="auto"/>
            <w:bottom w:val="none" w:sz="0" w:space="0" w:color="auto"/>
            <w:right w:val="none" w:sz="0" w:space="0" w:color="auto"/>
          </w:divBdr>
          <w:divsChild>
            <w:div w:id="398788614">
              <w:marLeft w:val="0"/>
              <w:marRight w:val="0"/>
              <w:marTop w:val="0"/>
              <w:marBottom w:val="0"/>
              <w:divBdr>
                <w:top w:val="none" w:sz="0" w:space="0" w:color="auto"/>
                <w:left w:val="none" w:sz="0" w:space="0" w:color="auto"/>
                <w:bottom w:val="none" w:sz="0" w:space="0" w:color="auto"/>
                <w:right w:val="none" w:sz="0" w:space="0" w:color="auto"/>
              </w:divBdr>
              <w:divsChild>
                <w:div w:id="118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4781">
      <w:bodyDiv w:val="1"/>
      <w:marLeft w:val="0"/>
      <w:marRight w:val="0"/>
      <w:marTop w:val="0"/>
      <w:marBottom w:val="0"/>
      <w:divBdr>
        <w:top w:val="none" w:sz="0" w:space="0" w:color="auto"/>
        <w:left w:val="none" w:sz="0" w:space="0" w:color="auto"/>
        <w:bottom w:val="none" w:sz="0" w:space="0" w:color="auto"/>
        <w:right w:val="none" w:sz="0" w:space="0" w:color="auto"/>
      </w:divBdr>
    </w:div>
    <w:div w:id="350226587">
      <w:bodyDiv w:val="1"/>
      <w:marLeft w:val="0"/>
      <w:marRight w:val="0"/>
      <w:marTop w:val="0"/>
      <w:marBottom w:val="0"/>
      <w:divBdr>
        <w:top w:val="none" w:sz="0" w:space="0" w:color="auto"/>
        <w:left w:val="none" w:sz="0" w:space="0" w:color="auto"/>
        <w:bottom w:val="none" w:sz="0" w:space="0" w:color="auto"/>
        <w:right w:val="none" w:sz="0" w:space="0" w:color="auto"/>
      </w:divBdr>
      <w:divsChild>
        <w:div w:id="1239290261">
          <w:marLeft w:val="0"/>
          <w:marRight w:val="0"/>
          <w:marTop w:val="0"/>
          <w:marBottom w:val="0"/>
          <w:divBdr>
            <w:top w:val="none" w:sz="0" w:space="0" w:color="auto"/>
            <w:left w:val="none" w:sz="0" w:space="0" w:color="auto"/>
            <w:bottom w:val="none" w:sz="0" w:space="0" w:color="auto"/>
            <w:right w:val="none" w:sz="0" w:space="0" w:color="auto"/>
          </w:divBdr>
          <w:divsChild>
            <w:div w:id="659120896">
              <w:marLeft w:val="0"/>
              <w:marRight w:val="0"/>
              <w:marTop w:val="0"/>
              <w:marBottom w:val="0"/>
              <w:divBdr>
                <w:top w:val="none" w:sz="0" w:space="0" w:color="auto"/>
                <w:left w:val="none" w:sz="0" w:space="0" w:color="auto"/>
                <w:bottom w:val="none" w:sz="0" w:space="0" w:color="auto"/>
                <w:right w:val="none" w:sz="0" w:space="0" w:color="auto"/>
              </w:divBdr>
              <w:divsChild>
                <w:div w:id="796335117">
                  <w:marLeft w:val="0"/>
                  <w:marRight w:val="0"/>
                  <w:marTop w:val="0"/>
                  <w:marBottom w:val="0"/>
                  <w:divBdr>
                    <w:top w:val="none" w:sz="0" w:space="0" w:color="auto"/>
                    <w:left w:val="none" w:sz="0" w:space="0" w:color="auto"/>
                    <w:bottom w:val="none" w:sz="0" w:space="0" w:color="auto"/>
                    <w:right w:val="none" w:sz="0" w:space="0" w:color="auto"/>
                  </w:divBdr>
                </w:div>
              </w:divsChild>
            </w:div>
            <w:div w:id="1873374956">
              <w:marLeft w:val="0"/>
              <w:marRight w:val="0"/>
              <w:marTop w:val="0"/>
              <w:marBottom w:val="0"/>
              <w:divBdr>
                <w:top w:val="none" w:sz="0" w:space="0" w:color="auto"/>
                <w:left w:val="none" w:sz="0" w:space="0" w:color="auto"/>
                <w:bottom w:val="none" w:sz="0" w:space="0" w:color="auto"/>
                <w:right w:val="none" w:sz="0" w:space="0" w:color="auto"/>
              </w:divBdr>
              <w:divsChild>
                <w:div w:id="704870645">
                  <w:marLeft w:val="0"/>
                  <w:marRight w:val="0"/>
                  <w:marTop w:val="0"/>
                  <w:marBottom w:val="0"/>
                  <w:divBdr>
                    <w:top w:val="none" w:sz="0" w:space="0" w:color="auto"/>
                    <w:left w:val="none" w:sz="0" w:space="0" w:color="auto"/>
                    <w:bottom w:val="none" w:sz="0" w:space="0" w:color="auto"/>
                    <w:right w:val="none" w:sz="0" w:space="0" w:color="auto"/>
                  </w:divBdr>
                </w:div>
              </w:divsChild>
            </w:div>
            <w:div w:id="722214783">
              <w:marLeft w:val="0"/>
              <w:marRight w:val="0"/>
              <w:marTop w:val="0"/>
              <w:marBottom w:val="0"/>
              <w:divBdr>
                <w:top w:val="none" w:sz="0" w:space="0" w:color="auto"/>
                <w:left w:val="none" w:sz="0" w:space="0" w:color="auto"/>
                <w:bottom w:val="none" w:sz="0" w:space="0" w:color="auto"/>
                <w:right w:val="none" w:sz="0" w:space="0" w:color="auto"/>
              </w:divBdr>
              <w:divsChild>
                <w:div w:id="194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211">
      <w:bodyDiv w:val="1"/>
      <w:marLeft w:val="0"/>
      <w:marRight w:val="0"/>
      <w:marTop w:val="0"/>
      <w:marBottom w:val="0"/>
      <w:divBdr>
        <w:top w:val="none" w:sz="0" w:space="0" w:color="auto"/>
        <w:left w:val="none" w:sz="0" w:space="0" w:color="auto"/>
        <w:bottom w:val="none" w:sz="0" w:space="0" w:color="auto"/>
        <w:right w:val="none" w:sz="0" w:space="0" w:color="auto"/>
      </w:divBdr>
      <w:divsChild>
        <w:div w:id="940381152">
          <w:marLeft w:val="0"/>
          <w:marRight w:val="0"/>
          <w:marTop w:val="0"/>
          <w:marBottom w:val="0"/>
          <w:divBdr>
            <w:top w:val="none" w:sz="0" w:space="0" w:color="auto"/>
            <w:left w:val="none" w:sz="0" w:space="0" w:color="auto"/>
            <w:bottom w:val="none" w:sz="0" w:space="0" w:color="auto"/>
            <w:right w:val="none" w:sz="0" w:space="0" w:color="auto"/>
          </w:divBdr>
          <w:divsChild>
            <w:div w:id="151868917">
              <w:marLeft w:val="0"/>
              <w:marRight w:val="0"/>
              <w:marTop w:val="0"/>
              <w:marBottom w:val="0"/>
              <w:divBdr>
                <w:top w:val="none" w:sz="0" w:space="0" w:color="auto"/>
                <w:left w:val="none" w:sz="0" w:space="0" w:color="auto"/>
                <w:bottom w:val="none" w:sz="0" w:space="0" w:color="auto"/>
                <w:right w:val="none" w:sz="0" w:space="0" w:color="auto"/>
              </w:divBdr>
              <w:divsChild>
                <w:div w:id="1342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1870">
      <w:bodyDiv w:val="1"/>
      <w:marLeft w:val="0"/>
      <w:marRight w:val="0"/>
      <w:marTop w:val="0"/>
      <w:marBottom w:val="0"/>
      <w:divBdr>
        <w:top w:val="none" w:sz="0" w:space="0" w:color="auto"/>
        <w:left w:val="none" w:sz="0" w:space="0" w:color="auto"/>
        <w:bottom w:val="none" w:sz="0" w:space="0" w:color="auto"/>
        <w:right w:val="none" w:sz="0" w:space="0" w:color="auto"/>
      </w:divBdr>
      <w:divsChild>
        <w:div w:id="1310743829">
          <w:marLeft w:val="0"/>
          <w:marRight w:val="0"/>
          <w:marTop w:val="0"/>
          <w:marBottom w:val="0"/>
          <w:divBdr>
            <w:top w:val="none" w:sz="0" w:space="0" w:color="auto"/>
            <w:left w:val="none" w:sz="0" w:space="0" w:color="auto"/>
            <w:bottom w:val="none" w:sz="0" w:space="0" w:color="auto"/>
            <w:right w:val="none" w:sz="0" w:space="0" w:color="auto"/>
          </w:divBdr>
          <w:divsChild>
            <w:div w:id="1270313560">
              <w:marLeft w:val="0"/>
              <w:marRight w:val="0"/>
              <w:marTop w:val="0"/>
              <w:marBottom w:val="0"/>
              <w:divBdr>
                <w:top w:val="none" w:sz="0" w:space="0" w:color="auto"/>
                <w:left w:val="none" w:sz="0" w:space="0" w:color="auto"/>
                <w:bottom w:val="none" w:sz="0" w:space="0" w:color="auto"/>
                <w:right w:val="none" w:sz="0" w:space="0" w:color="auto"/>
              </w:divBdr>
              <w:divsChild>
                <w:div w:id="19973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090">
      <w:bodyDiv w:val="1"/>
      <w:marLeft w:val="0"/>
      <w:marRight w:val="0"/>
      <w:marTop w:val="0"/>
      <w:marBottom w:val="0"/>
      <w:divBdr>
        <w:top w:val="none" w:sz="0" w:space="0" w:color="auto"/>
        <w:left w:val="none" w:sz="0" w:space="0" w:color="auto"/>
        <w:bottom w:val="none" w:sz="0" w:space="0" w:color="auto"/>
        <w:right w:val="none" w:sz="0" w:space="0" w:color="auto"/>
      </w:divBdr>
      <w:divsChild>
        <w:div w:id="1857621254">
          <w:marLeft w:val="0"/>
          <w:marRight w:val="0"/>
          <w:marTop w:val="0"/>
          <w:marBottom w:val="0"/>
          <w:divBdr>
            <w:top w:val="none" w:sz="0" w:space="0" w:color="auto"/>
            <w:left w:val="none" w:sz="0" w:space="0" w:color="auto"/>
            <w:bottom w:val="none" w:sz="0" w:space="0" w:color="auto"/>
            <w:right w:val="none" w:sz="0" w:space="0" w:color="auto"/>
          </w:divBdr>
          <w:divsChild>
            <w:div w:id="694693067">
              <w:marLeft w:val="0"/>
              <w:marRight w:val="0"/>
              <w:marTop w:val="0"/>
              <w:marBottom w:val="0"/>
              <w:divBdr>
                <w:top w:val="none" w:sz="0" w:space="0" w:color="auto"/>
                <w:left w:val="none" w:sz="0" w:space="0" w:color="auto"/>
                <w:bottom w:val="none" w:sz="0" w:space="0" w:color="auto"/>
                <w:right w:val="none" w:sz="0" w:space="0" w:color="auto"/>
              </w:divBdr>
              <w:divsChild>
                <w:div w:id="5904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6164">
      <w:bodyDiv w:val="1"/>
      <w:marLeft w:val="0"/>
      <w:marRight w:val="0"/>
      <w:marTop w:val="0"/>
      <w:marBottom w:val="0"/>
      <w:divBdr>
        <w:top w:val="none" w:sz="0" w:space="0" w:color="auto"/>
        <w:left w:val="none" w:sz="0" w:space="0" w:color="auto"/>
        <w:bottom w:val="none" w:sz="0" w:space="0" w:color="auto"/>
        <w:right w:val="none" w:sz="0" w:space="0" w:color="auto"/>
      </w:divBdr>
      <w:divsChild>
        <w:div w:id="136530133">
          <w:marLeft w:val="0"/>
          <w:marRight w:val="0"/>
          <w:marTop w:val="0"/>
          <w:marBottom w:val="0"/>
          <w:divBdr>
            <w:top w:val="none" w:sz="0" w:space="0" w:color="auto"/>
            <w:left w:val="none" w:sz="0" w:space="0" w:color="auto"/>
            <w:bottom w:val="none" w:sz="0" w:space="0" w:color="auto"/>
            <w:right w:val="none" w:sz="0" w:space="0" w:color="auto"/>
          </w:divBdr>
          <w:divsChild>
            <w:div w:id="1516920699">
              <w:marLeft w:val="0"/>
              <w:marRight w:val="0"/>
              <w:marTop w:val="0"/>
              <w:marBottom w:val="0"/>
              <w:divBdr>
                <w:top w:val="none" w:sz="0" w:space="0" w:color="auto"/>
                <w:left w:val="none" w:sz="0" w:space="0" w:color="auto"/>
                <w:bottom w:val="none" w:sz="0" w:space="0" w:color="auto"/>
                <w:right w:val="none" w:sz="0" w:space="0" w:color="auto"/>
              </w:divBdr>
              <w:divsChild>
                <w:div w:id="2018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341">
      <w:bodyDiv w:val="1"/>
      <w:marLeft w:val="0"/>
      <w:marRight w:val="0"/>
      <w:marTop w:val="0"/>
      <w:marBottom w:val="0"/>
      <w:divBdr>
        <w:top w:val="none" w:sz="0" w:space="0" w:color="auto"/>
        <w:left w:val="none" w:sz="0" w:space="0" w:color="auto"/>
        <w:bottom w:val="none" w:sz="0" w:space="0" w:color="auto"/>
        <w:right w:val="none" w:sz="0" w:space="0" w:color="auto"/>
      </w:divBdr>
      <w:divsChild>
        <w:div w:id="1531406738">
          <w:marLeft w:val="0"/>
          <w:marRight w:val="0"/>
          <w:marTop w:val="0"/>
          <w:marBottom w:val="0"/>
          <w:divBdr>
            <w:top w:val="none" w:sz="0" w:space="0" w:color="auto"/>
            <w:left w:val="none" w:sz="0" w:space="0" w:color="auto"/>
            <w:bottom w:val="none" w:sz="0" w:space="0" w:color="auto"/>
            <w:right w:val="none" w:sz="0" w:space="0" w:color="auto"/>
          </w:divBdr>
          <w:divsChild>
            <w:div w:id="444038993">
              <w:marLeft w:val="0"/>
              <w:marRight w:val="0"/>
              <w:marTop w:val="0"/>
              <w:marBottom w:val="0"/>
              <w:divBdr>
                <w:top w:val="none" w:sz="0" w:space="0" w:color="auto"/>
                <w:left w:val="none" w:sz="0" w:space="0" w:color="auto"/>
                <w:bottom w:val="none" w:sz="0" w:space="0" w:color="auto"/>
                <w:right w:val="none" w:sz="0" w:space="0" w:color="auto"/>
              </w:divBdr>
              <w:divsChild>
                <w:div w:id="408355507">
                  <w:marLeft w:val="0"/>
                  <w:marRight w:val="0"/>
                  <w:marTop w:val="0"/>
                  <w:marBottom w:val="0"/>
                  <w:divBdr>
                    <w:top w:val="none" w:sz="0" w:space="0" w:color="auto"/>
                    <w:left w:val="none" w:sz="0" w:space="0" w:color="auto"/>
                    <w:bottom w:val="none" w:sz="0" w:space="0" w:color="auto"/>
                    <w:right w:val="none" w:sz="0" w:space="0" w:color="auto"/>
                  </w:divBdr>
                </w:div>
              </w:divsChild>
            </w:div>
            <w:div w:id="1558937031">
              <w:marLeft w:val="0"/>
              <w:marRight w:val="0"/>
              <w:marTop w:val="0"/>
              <w:marBottom w:val="0"/>
              <w:divBdr>
                <w:top w:val="none" w:sz="0" w:space="0" w:color="auto"/>
                <w:left w:val="none" w:sz="0" w:space="0" w:color="auto"/>
                <w:bottom w:val="none" w:sz="0" w:space="0" w:color="auto"/>
                <w:right w:val="none" w:sz="0" w:space="0" w:color="auto"/>
              </w:divBdr>
              <w:divsChild>
                <w:div w:id="16515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63">
          <w:marLeft w:val="0"/>
          <w:marRight w:val="0"/>
          <w:marTop w:val="0"/>
          <w:marBottom w:val="0"/>
          <w:divBdr>
            <w:top w:val="none" w:sz="0" w:space="0" w:color="auto"/>
            <w:left w:val="none" w:sz="0" w:space="0" w:color="auto"/>
            <w:bottom w:val="none" w:sz="0" w:space="0" w:color="auto"/>
            <w:right w:val="none" w:sz="0" w:space="0" w:color="auto"/>
          </w:divBdr>
          <w:divsChild>
            <w:div w:id="306788132">
              <w:marLeft w:val="0"/>
              <w:marRight w:val="0"/>
              <w:marTop w:val="0"/>
              <w:marBottom w:val="0"/>
              <w:divBdr>
                <w:top w:val="none" w:sz="0" w:space="0" w:color="auto"/>
                <w:left w:val="none" w:sz="0" w:space="0" w:color="auto"/>
                <w:bottom w:val="none" w:sz="0" w:space="0" w:color="auto"/>
                <w:right w:val="none" w:sz="0" w:space="0" w:color="auto"/>
              </w:divBdr>
              <w:divsChild>
                <w:div w:id="753552670">
                  <w:marLeft w:val="0"/>
                  <w:marRight w:val="0"/>
                  <w:marTop w:val="0"/>
                  <w:marBottom w:val="0"/>
                  <w:divBdr>
                    <w:top w:val="none" w:sz="0" w:space="0" w:color="auto"/>
                    <w:left w:val="none" w:sz="0" w:space="0" w:color="auto"/>
                    <w:bottom w:val="none" w:sz="0" w:space="0" w:color="auto"/>
                    <w:right w:val="none" w:sz="0" w:space="0" w:color="auto"/>
                  </w:divBdr>
                </w:div>
              </w:divsChild>
            </w:div>
            <w:div w:id="914323143">
              <w:marLeft w:val="0"/>
              <w:marRight w:val="0"/>
              <w:marTop w:val="0"/>
              <w:marBottom w:val="0"/>
              <w:divBdr>
                <w:top w:val="none" w:sz="0" w:space="0" w:color="auto"/>
                <w:left w:val="none" w:sz="0" w:space="0" w:color="auto"/>
                <w:bottom w:val="none" w:sz="0" w:space="0" w:color="auto"/>
                <w:right w:val="none" w:sz="0" w:space="0" w:color="auto"/>
              </w:divBdr>
              <w:divsChild>
                <w:div w:id="1999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2186">
      <w:bodyDiv w:val="1"/>
      <w:marLeft w:val="0"/>
      <w:marRight w:val="0"/>
      <w:marTop w:val="0"/>
      <w:marBottom w:val="0"/>
      <w:divBdr>
        <w:top w:val="none" w:sz="0" w:space="0" w:color="auto"/>
        <w:left w:val="none" w:sz="0" w:space="0" w:color="auto"/>
        <w:bottom w:val="none" w:sz="0" w:space="0" w:color="auto"/>
        <w:right w:val="none" w:sz="0" w:space="0" w:color="auto"/>
      </w:divBdr>
      <w:divsChild>
        <w:div w:id="664555233">
          <w:marLeft w:val="0"/>
          <w:marRight w:val="0"/>
          <w:marTop w:val="0"/>
          <w:marBottom w:val="0"/>
          <w:divBdr>
            <w:top w:val="none" w:sz="0" w:space="0" w:color="auto"/>
            <w:left w:val="none" w:sz="0" w:space="0" w:color="auto"/>
            <w:bottom w:val="none" w:sz="0" w:space="0" w:color="auto"/>
            <w:right w:val="none" w:sz="0" w:space="0" w:color="auto"/>
          </w:divBdr>
          <w:divsChild>
            <w:div w:id="1321155155">
              <w:marLeft w:val="0"/>
              <w:marRight w:val="0"/>
              <w:marTop w:val="0"/>
              <w:marBottom w:val="0"/>
              <w:divBdr>
                <w:top w:val="none" w:sz="0" w:space="0" w:color="auto"/>
                <w:left w:val="none" w:sz="0" w:space="0" w:color="auto"/>
                <w:bottom w:val="none" w:sz="0" w:space="0" w:color="auto"/>
                <w:right w:val="none" w:sz="0" w:space="0" w:color="auto"/>
              </w:divBdr>
              <w:divsChild>
                <w:div w:id="1557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3010">
      <w:bodyDiv w:val="1"/>
      <w:marLeft w:val="0"/>
      <w:marRight w:val="0"/>
      <w:marTop w:val="0"/>
      <w:marBottom w:val="0"/>
      <w:divBdr>
        <w:top w:val="none" w:sz="0" w:space="0" w:color="auto"/>
        <w:left w:val="none" w:sz="0" w:space="0" w:color="auto"/>
        <w:bottom w:val="none" w:sz="0" w:space="0" w:color="auto"/>
        <w:right w:val="none" w:sz="0" w:space="0" w:color="auto"/>
      </w:divBdr>
      <w:divsChild>
        <w:div w:id="675041784">
          <w:marLeft w:val="0"/>
          <w:marRight w:val="0"/>
          <w:marTop w:val="0"/>
          <w:marBottom w:val="0"/>
          <w:divBdr>
            <w:top w:val="none" w:sz="0" w:space="0" w:color="auto"/>
            <w:left w:val="none" w:sz="0" w:space="0" w:color="auto"/>
            <w:bottom w:val="none" w:sz="0" w:space="0" w:color="auto"/>
            <w:right w:val="none" w:sz="0" w:space="0" w:color="auto"/>
          </w:divBdr>
          <w:divsChild>
            <w:div w:id="545291794">
              <w:marLeft w:val="0"/>
              <w:marRight w:val="0"/>
              <w:marTop w:val="0"/>
              <w:marBottom w:val="0"/>
              <w:divBdr>
                <w:top w:val="none" w:sz="0" w:space="0" w:color="auto"/>
                <w:left w:val="none" w:sz="0" w:space="0" w:color="auto"/>
                <w:bottom w:val="none" w:sz="0" w:space="0" w:color="auto"/>
                <w:right w:val="none" w:sz="0" w:space="0" w:color="auto"/>
              </w:divBdr>
              <w:divsChild>
                <w:div w:id="10801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8830">
      <w:bodyDiv w:val="1"/>
      <w:marLeft w:val="0"/>
      <w:marRight w:val="0"/>
      <w:marTop w:val="0"/>
      <w:marBottom w:val="0"/>
      <w:divBdr>
        <w:top w:val="none" w:sz="0" w:space="0" w:color="auto"/>
        <w:left w:val="none" w:sz="0" w:space="0" w:color="auto"/>
        <w:bottom w:val="none" w:sz="0" w:space="0" w:color="auto"/>
        <w:right w:val="none" w:sz="0" w:space="0" w:color="auto"/>
      </w:divBdr>
      <w:divsChild>
        <w:div w:id="369957365">
          <w:marLeft w:val="0"/>
          <w:marRight w:val="0"/>
          <w:marTop w:val="0"/>
          <w:marBottom w:val="0"/>
          <w:divBdr>
            <w:top w:val="none" w:sz="0" w:space="0" w:color="auto"/>
            <w:left w:val="none" w:sz="0" w:space="0" w:color="auto"/>
            <w:bottom w:val="none" w:sz="0" w:space="0" w:color="auto"/>
            <w:right w:val="none" w:sz="0" w:space="0" w:color="auto"/>
          </w:divBdr>
          <w:divsChild>
            <w:div w:id="1968192613">
              <w:marLeft w:val="0"/>
              <w:marRight w:val="0"/>
              <w:marTop w:val="0"/>
              <w:marBottom w:val="0"/>
              <w:divBdr>
                <w:top w:val="none" w:sz="0" w:space="0" w:color="auto"/>
                <w:left w:val="none" w:sz="0" w:space="0" w:color="auto"/>
                <w:bottom w:val="none" w:sz="0" w:space="0" w:color="auto"/>
                <w:right w:val="none" w:sz="0" w:space="0" w:color="auto"/>
              </w:divBdr>
              <w:divsChild>
                <w:div w:id="151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19940">
      <w:bodyDiv w:val="1"/>
      <w:marLeft w:val="0"/>
      <w:marRight w:val="0"/>
      <w:marTop w:val="0"/>
      <w:marBottom w:val="0"/>
      <w:divBdr>
        <w:top w:val="none" w:sz="0" w:space="0" w:color="auto"/>
        <w:left w:val="none" w:sz="0" w:space="0" w:color="auto"/>
        <w:bottom w:val="none" w:sz="0" w:space="0" w:color="auto"/>
        <w:right w:val="none" w:sz="0" w:space="0" w:color="auto"/>
      </w:divBdr>
      <w:divsChild>
        <w:div w:id="1297031579">
          <w:marLeft w:val="0"/>
          <w:marRight w:val="0"/>
          <w:marTop w:val="0"/>
          <w:marBottom w:val="0"/>
          <w:divBdr>
            <w:top w:val="none" w:sz="0" w:space="0" w:color="auto"/>
            <w:left w:val="none" w:sz="0" w:space="0" w:color="auto"/>
            <w:bottom w:val="none" w:sz="0" w:space="0" w:color="auto"/>
            <w:right w:val="none" w:sz="0" w:space="0" w:color="auto"/>
          </w:divBdr>
          <w:divsChild>
            <w:div w:id="1529836798">
              <w:marLeft w:val="0"/>
              <w:marRight w:val="0"/>
              <w:marTop w:val="0"/>
              <w:marBottom w:val="0"/>
              <w:divBdr>
                <w:top w:val="none" w:sz="0" w:space="0" w:color="auto"/>
                <w:left w:val="none" w:sz="0" w:space="0" w:color="auto"/>
                <w:bottom w:val="none" w:sz="0" w:space="0" w:color="auto"/>
                <w:right w:val="none" w:sz="0" w:space="0" w:color="auto"/>
              </w:divBdr>
              <w:divsChild>
                <w:div w:id="1334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873">
      <w:bodyDiv w:val="1"/>
      <w:marLeft w:val="0"/>
      <w:marRight w:val="0"/>
      <w:marTop w:val="0"/>
      <w:marBottom w:val="0"/>
      <w:divBdr>
        <w:top w:val="none" w:sz="0" w:space="0" w:color="auto"/>
        <w:left w:val="none" w:sz="0" w:space="0" w:color="auto"/>
        <w:bottom w:val="none" w:sz="0" w:space="0" w:color="auto"/>
        <w:right w:val="none" w:sz="0" w:space="0" w:color="auto"/>
      </w:divBdr>
      <w:divsChild>
        <w:div w:id="227619015">
          <w:marLeft w:val="0"/>
          <w:marRight w:val="0"/>
          <w:marTop w:val="0"/>
          <w:marBottom w:val="0"/>
          <w:divBdr>
            <w:top w:val="none" w:sz="0" w:space="0" w:color="auto"/>
            <w:left w:val="none" w:sz="0" w:space="0" w:color="auto"/>
            <w:bottom w:val="none" w:sz="0" w:space="0" w:color="auto"/>
            <w:right w:val="none" w:sz="0" w:space="0" w:color="auto"/>
          </w:divBdr>
          <w:divsChild>
            <w:div w:id="1020854539">
              <w:marLeft w:val="0"/>
              <w:marRight w:val="0"/>
              <w:marTop w:val="0"/>
              <w:marBottom w:val="0"/>
              <w:divBdr>
                <w:top w:val="none" w:sz="0" w:space="0" w:color="auto"/>
                <w:left w:val="none" w:sz="0" w:space="0" w:color="auto"/>
                <w:bottom w:val="none" w:sz="0" w:space="0" w:color="auto"/>
                <w:right w:val="none" w:sz="0" w:space="0" w:color="auto"/>
              </w:divBdr>
              <w:divsChild>
                <w:div w:id="7667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96">
      <w:bodyDiv w:val="1"/>
      <w:marLeft w:val="0"/>
      <w:marRight w:val="0"/>
      <w:marTop w:val="0"/>
      <w:marBottom w:val="0"/>
      <w:divBdr>
        <w:top w:val="none" w:sz="0" w:space="0" w:color="auto"/>
        <w:left w:val="none" w:sz="0" w:space="0" w:color="auto"/>
        <w:bottom w:val="none" w:sz="0" w:space="0" w:color="auto"/>
        <w:right w:val="none" w:sz="0" w:space="0" w:color="auto"/>
      </w:divBdr>
      <w:divsChild>
        <w:div w:id="262032909">
          <w:marLeft w:val="0"/>
          <w:marRight w:val="0"/>
          <w:marTop w:val="0"/>
          <w:marBottom w:val="0"/>
          <w:divBdr>
            <w:top w:val="none" w:sz="0" w:space="0" w:color="auto"/>
            <w:left w:val="none" w:sz="0" w:space="0" w:color="auto"/>
            <w:bottom w:val="none" w:sz="0" w:space="0" w:color="auto"/>
            <w:right w:val="none" w:sz="0" w:space="0" w:color="auto"/>
          </w:divBdr>
          <w:divsChild>
            <w:div w:id="1930190968">
              <w:marLeft w:val="0"/>
              <w:marRight w:val="0"/>
              <w:marTop w:val="0"/>
              <w:marBottom w:val="0"/>
              <w:divBdr>
                <w:top w:val="none" w:sz="0" w:space="0" w:color="auto"/>
                <w:left w:val="none" w:sz="0" w:space="0" w:color="auto"/>
                <w:bottom w:val="none" w:sz="0" w:space="0" w:color="auto"/>
                <w:right w:val="none" w:sz="0" w:space="0" w:color="auto"/>
              </w:divBdr>
              <w:divsChild>
                <w:div w:id="19686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751">
      <w:bodyDiv w:val="1"/>
      <w:marLeft w:val="0"/>
      <w:marRight w:val="0"/>
      <w:marTop w:val="0"/>
      <w:marBottom w:val="0"/>
      <w:divBdr>
        <w:top w:val="none" w:sz="0" w:space="0" w:color="auto"/>
        <w:left w:val="none" w:sz="0" w:space="0" w:color="auto"/>
        <w:bottom w:val="none" w:sz="0" w:space="0" w:color="auto"/>
        <w:right w:val="none" w:sz="0" w:space="0" w:color="auto"/>
      </w:divBdr>
      <w:divsChild>
        <w:div w:id="819466054">
          <w:marLeft w:val="0"/>
          <w:marRight w:val="0"/>
          <w:marTop w:val="0"/>
          <w:marBottom w:val="0"/>
          <w:divBdr>
            <w:top w:val="none" w:sz="0" w:space="0" w:color="auto"/>
            <w:left w:val="none" w:sz="0" w:space="0" w:color="auto"/>
            <w:bottom w:val="none" w:sz="0" w:space="0" w:color="auto"/>
            <w:right w:val="none" w:sz="0" w:space="0" w:color="auto"/>
          </w:divBdr>
          <w:divsChild>
            <w:div w:id="1036852954">
              <w:marLeft w:val="0"/>
              <w:marRight w:val="0"/>
              <w:marTop w:val="0"/>
              <w:marBottom w:val="0"/>
              <w:divBdr>
                <w:top w:val="none" w:sz="0" w:space="0" w:color="auto"/>
                <w:left w:val="none" w:sz="0" w:space="0" w:color="auto"/>
                <w:bottom w:val="none" w:sz="0" w:space="0" w:color="auto"/>
                <w:right w:val="none" w:sz="0" w:space="0" w:color="auto"/>
              </w:divBdr>
              <w:divsChild>
                <w:div w:id="1521045498">
                  <w:marLeft w:val="0"/>
                  <w:marRight w:val="0"/>
                  <w:marTop w:val="0"/>
                  <w:marBottom w:val="0"/>
                  <w:divBdr>
                    <w:top w:val="none" w:sz="0" w:space="0" w:color="auto"/>
                    <w:left w:val="none" w:sz="0" w:space="0" w:color="auto"/>
                    <w:bottom w:val="none" w:sz="0" w:space="0" w:color="auto"/>
                    <w:right w:val="none" w:sz="0" w:space="0" w:color="auto"/>
                  </w:divBdr>
                  <w:divsChild>
                    <w:div w:id="937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3682">
      <w:bodyDiv w:val="1"/>
      <w:marLeft w:val="0"/>
      <w:marRight w:val="0"/>
      <w:marTop w:val="0"/>
      <w:marBottom w:val="0"/>
      <w:divBdr>
        <w:top w:val="none" w:sz="0" w:space="0" w:color="auto"/>
        <w:left w:val="none" w:sz="0" w:space="0" w:color="auto"/>
        <w:bottom w:val="none" w:sz="0" w:space="0" w:color="auto"/>
        <w:right w:val="none" w:sz="0" w:space="0" w:color="auto"/>
      </w:divBdr>
      <w:divsChild>
        <w:div w:id="813792394">
          <w:marLeft w:val="0"/>
          <w:marRight w:val="0"/>
          <w:marTop w:val="0"/>
          <w:marBottom w:val="0"/>
          <w:divBdr>
            <w:top w:val="none" w:sz="0" w:space="0" w:color="auto"/>
            <w:left w:val="none" w:sz="0" w:space="0" w:color="auto"/>
            <w:bottom w:val="none" w:sz="0" w:space="0" w:color="auto"/>
            <w:right w:val="none" w:sz="0" w:space="0" w:color="auto"/>
          </w:divBdr>
          <w:divsChild>
            <w:div w:id="2102290927">
              <w:marLeft w:val="0"/>
              <w:marRight w:val="0"/>
              <w:marTop w:val="0"/>
              <w:marBottom w:val="0"/>
              <w:divBdr>
                <w:top w:val="none" w:sz="0" w:space="0" w:color="auto"/>
                <w:left w:val="none" w:sz="0" w:space="0" w:color="auto"/>
                <w:bottom w:val="none" w:sz="0" w:space="0" w:color="auto"/>
                <w:right w:val="none" w:sz="0" w:space="0" w:color="auto"/>
              </w:divBdr>
              <w:divsChild>
                <w:div w:id="1326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854">
      <w:bodyDiv w:val="1"/>
      <w:marLeft w:val="0"/>
      <w:marRight w:val="0"/>
      <w:marTop w:val="0"/>
      <w:marBottom w:val="0"/>
      <w:divBdr>
        <w:top w:val="none" w:sz="0" w:space="0" w:color="auto"/>
        <w:left w:val="none" w:sz="0" w:space="0" w:color="auto"/>
        <w:bottom w:val="none" w:sz="0" w:space="0" w:color="auto"/>
        <w:right w:val="none" w:sz="0" w:space="0" w:color="auto"/>
      </w:divBdr>
      <w:divsChild>
        <w:div w:id="780026471">
          <w:marLeft w:val="0"/>
          <w:marRight w:val="0"/>
          <w:marTop w:val="0"/>
          <w:marBottom w:val="0"/>
          <w:divBdr>
            <w:top w:val="none" w:sz="0" w:space="0" w:color="auto"/>
            <w:left w:val="none" w:sz="0" w:space="0" w:color="auto"/>
            <w:bottom w:val="none" w:sz="0" w:space="0" w:color="auto"/>
            <w:right w:val="none" w:sz="0" w:space="0" w:color="auto"/>
          </w:divBdr>
          <w:divsChild>
            <w:div w:id="507057828">
              <w:marLeft w:val="0"/>
              <w:marRight w:val="0"/>
              <w:marTop w:val="0"/>
              <w:marBottom w:val="0"/>
              <w:divBdr>
                <w:top w:val="none" w:sz="0" w:space="0" w:color="auto"/>
                <w:left w:val="none" w:sz="0" w:space="0" w:color="auto"/>
                <w:bottom w:val="none" w:sz="0" w:space="0" w:color="auto"/>
                <w:right w:val="none" w:sz="0" w:space="0" w:color="auto"/>
              </w:divBdr>
              <w:divsChild>
                <w:div w:id="128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1336">
      <w:bodyDiv w:val="1"/>
      <w:marLeft w:val="0"/>
      <w:marRight w:val="0"/>
      <w:marTop w:val="0"/>
      <w:marBottom w:val="0"/>
      <w:divBdr>
        <w:top w:val="none" w:sz="0" w:space="0" w:color="auto"/>
        <w:left w:val="none" w:sz="0" w:space="0" w:color="auto"/>
        <w:bottom w:val="none" w:sz="0" w:space="0" w:color="auto"/>
        <w:right w:val="none" w:sz="0" w:space="0" w:color="auto"/>
      </w:divBdr>
      <w:divsChild>
        <w:div w:id="1869560402">
          <w:marLeft w:val="0"/>
          <w:marRight w:val="0"/>
          <w:marTop w:val="0"/>
          <w:marBottom w:val="0"/>
          <w:divBdr>
            <w:top w:val="none" w:sz="0" w:space="0" w:color="auto"/>
            <w:left w:val="none" w:sz="0" w:space="0" w:color="auto"/>
            <w:bottom w:val="none" w:sz="0" w:space="0" w:color="auto"/>
            <w:right w:val="none" w:sz="0" w:space="0" w:color="auto"/>
          </w:divBdr>
          <w:divsChild>
            <w:div w:id="225410363">
              <w:marLeft w:val="0"/>
              <w:marRight w:val="0"/>
              <w:marTop w:val="0"/>
              <w:marBottom w:val="0"/>
              <w:divBdr>
                <w:top w:val="none" w:sz="0" w:space="0" w:color="auto"/>
                <w:left w:val="none" w:sz="0" w:space="0" w:color="auto"/>
                <w:bottom w:val="none" w:sz="0" w:space="0" w:color="auto"/>
                <w:right w:val="none" w:sz="0" w:space="0" w:color="auto"/>
              </w:divBdr>
              <w:divsChild>
                <w:div w:id="1223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61">
      <w:bodyDiv w:val="1"/>
      <w:marLeft w:val="0"/>
      <w:marRight w:val="0"/>
      <w:marTop w:val="0"/>
      <w:marBottom w:val="0"/>
      <w:divBdr>
        <w:top w:val="none" w:sz="0" w:space="0" w:color="auto"/>
        <w:left w:val="none" w:sz="0" w:space="0" w:color="auto"/>
        <w:bottom w:val="none" w:sz="0" w:space="0" w:color="auto"/>
        <w:right w:val="none" w:sz="0" w:space="0" w:color="auto"/>
      </w:divBdr>
      <w:divsChild>
        <w:div w:id="26419496">
          <w:marLeft w:val="0"/>
          <w:marRight w:val="0"/>
          <w:marTop w:val="0"/>
          <w:marBottom w:val="0"/>
          <w:divBdr>
            <w:top w:val="none" w:sz="0" w:space="0" w:color="auto"/>
            <w:left w:val="none" w:sz="0" w:space="0" w:color="auto"/>
            <w:bottom w:val="none" w:sz="0" w:space="0" w:color="auto"/>
            <w:right w:val="none" w:sz="0" w:space="0" w:color="auto"/>
          </w:divBdr>
          <w:divsChild>
            <w:div w:id="2028361247">
              <w:marLeft w:val="0"/>
              <w:marRight w:val="0"/>
              <w:marTop w:val="0"/>
              <w:marBottom w:val="0"/>
              <w:divBdr>
                <w:top w:val="none" w:sz="0" w:space="0" w:color="auto"/>
                <w:left w:val="none" w:sz="0" w:space="0" w:color="auto"/>
                <w:bottom w:val="none" w:sz="0" w:space="0" w:color="auto"/>
                <w:right w:val="none" w:sz="0" w:space="0" w:color="auto"/>
              </w:divBdr>
              <w:divsChild>
                <w:div w:id="10136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6268</Words>
  <Characters>35732</Characters>
  <Application>Microsoft Macintosh Word</Application>
  <DocSecurity>0</DocSecurity>
  <Lines>297</Lines>
  <Paragraphs>83</Paragraphs>
  <ScaleCrop>false</ScaleCrop>
  <HeadingPairs>
    <vt:vector size="2" baseType="variant">
      <vt:variant>
        <vt:lpstr>Título</vt:lpstr>
      </vt:variant>
      <vt:variant>
        <vt:i4>1</vt:i4>
      </vt:variant>
    </vt:vector>
  </HeadingPairs>
  <TitlesOfParts>
    <vt:vector size="1" baseType="lpstr">
      <vt:lpstr/>
    </vt:vector>
  </TitlesOfParts>
  <Company>Gerencia Informatica de la SS</Company>
  <LinksUpToDate>false</LinksUpToDate>
  <CharactersWithSpaces>41917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JVG</dc:creator>
  <cp:lastModifiedBy>JVG</cp:lastModifiedBy>
  <cp:revision>2</cp:revision>
  <dcterms:created xsi:type="dcterms:W3CDTF">2016-09-01T23:47:00Z</dcterms:created>
  <dcterms:modified xsi:type="dcterms:W3CDTF">2016-09-01T23:47:00Z</dcterms:modified>
</cp:coreProperties>
</file>