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68E" w:rsidRDefault="008E068E" w:rsidP="00D237F4">
      <w:pPr>
        <w:spacing w:after="0"/>
        <w:jc w:val="center"/>
        <w:rPr>
          <w:b/>
          <w:lang w:val="en-GB"/>
        </w:rPr>
      </w:pPr>
      <w:r>
        <w:rPr>
          <w:b/>
          <w:noProof/>
          <w:lang w:val="fr-FR" w:eastAsia="zh-CN"/>
        </w:rPr>
        <w:drawing>
          <wp:inline distT="0" distB="0" distL="0" distR="0" wp14:anchorId="0F0F80A3">
            <wp:extent cx="1889760" cy="156083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9760" cy="1560830"/>
                    </a:xfrm>
                    <a:prstGeom prst="rect">
                      <a:avLst/>
                    </a:prstGeom>
                    <a:noFill/>
                  </pic:spPr>
                </pic:pic>
              </a:graphicData>
            </a:graphic>
          </wp:inline>
        </w:drawing>
      </w:r>
    </w:p>
    <w:p w:rsidR="008E068E" w:rsidRPr="008E068E" w:rsidRDefault="008E068E" w:rsidP="008E068E">
      <w:pPr>
        <w:spacing w:after="0"/>
        <w:jc w:val="center"/>
        <w:rPr>
          <w:b/>
          <w:lang w:val="en-GB"/>
        </w:rPr>
      </w:pPr>
      <w:r w:rsidRPr="008E068E">
        <w:rPr>
          <w:b/>
          <w:lang w:val="en-GB"/>
        </w:rPr>
        <w:t>COMPONENT ONE</w:t>
      </w:r>
    </w:p>
    <w:p w:rsidR="008E068E" w:rsidRDefault="008E068E" w:rsidP="00D237F4">
      <w:pPr>
        <w:spacing w:after="0"/>
        <w:jc w:val="center"/>
        <w:rPr>
          <w:b/>
          <w:lang w:val="en-GB"/>
        </w:rPr>
      </w:pPr>
    </w:p>
    <w:p w:rsidR="008E068E" w:rsidRDefault="008E068E" w:rsidP="00D237F4">
      <w:pPr>
        <w:spacing w:after="0"/>
        <w:jc w:val="center"/>
        <w:rPr>
          <w:b/>
          <w:lang w:val="en-GB"/>
        </w:rPr>
      </w:pPr>
    </w:p>
    <w:p w:rsidR="008E068E" w:rsidRDefault="008E068E" w:rsidP="00D237F4">
      <w:pPr>
        <w:spacing w:after="0"/>
        <w:jc w:val="center"/>
        <w:rPr>
          <w:b/>
          <w:lang w:val="en-GB"/>
        </w:rPr>
      </w:pPr>
    </w:p>
    <w:p w:rsidR="008E068E" w:rsidRDefault="008E068E" w:rsidP="00D237F4">
      <w:pPr>
        <w:spacing w:after="0"/>
        <w:jc w:val="center"/>
        <w:rPr>
          <w:b/>
          <w:lang w:val="en-GB"/>
        </w:rPr>
      </w:pPr>
    </w:p>
    <w:p w:rsidR="008E068E" w:rsidRDefault="008E068E" w:rsidP="00D237F4">
      <w:pPr>
        <w:spacing w:after="0"/>
        <w:jc w:val="center"/>
        <w:rPr>
          <w:b/>
          <w:sz w:val="36"/>
          <w:szCs w:val="36"/>
          <w:lang w:val="en-GB"/>
        </w:rPr>
      </w:pPr>
      <w:r w:rsidRPr="008E068E">
        <w:rPr>
          <w:b/>
          <w:sz w:val="36"/>
          <w:szCs w:val="36"/>
          <w:lang w:val="en-GB"/>
        </w:rPr>
        <w:t xml:space="preserve">Vocational Training, Labour Market </w:t>
      </w:r>
    </w:p>
    <w:p w:rsidR="008E068E" w:rsidRDefault="008E068E" w:rsidP="00D237F4">
      <w:pPr>
        <w:spacing w:after="0"/>
        <w:jc w:val="center"/>
        <w:rPr>
          <w:b/>
          <w:sz w:val="36"/>
          <w:szCs w:val="36"/>
          <w:lang w:val="en-GB"/>
        </w:rPr>
      </w:pPr>
      <w:r w:rsidRPr="008E068E">
        <w:rPr>
          <w:b/>
          <w:sz w:val="36"/>
          <w:szCs w:val="36"/>
          <w:lang w:val="en-GB"/>
        </w:rPr>
        <w:t xml:space="preserve">and Population Mobility: </w:t>
      </w:r>
    </w:p>
    <w:p w:rsidR="008E068E" w:rsidRDefault="008E068E" w:rsidP="00D237F4">
      <w:pPr>
        <w:spacing w:after="0"/>
        <w:jc w:val="center"/>
        <w:rPr>
          <w:b/>
          <w:sz w:val="36"/>
          <w:szCs w:val="36"/>
          <w:lang w:val="en-GB"/>
        </w:rPr>
      </w:pPr>
      <w:r w:rsidRPr="008E068E">
        <w:rPr>
          <w:b/>
          <w:sz w:val="36"/>
          <w:szCs w:val="36"/>
          <w:lang w:val="en-GB"/>
        </w:rPr>
        <w:t>some hints on the Italian Case</w:t>
      </w:r>
    </w:p>
    <w:p w:rsidR="008E068E" w:rsidRDefault="008E068E" w:rsidP="00D237F4">
      <w:pPr>
        <w:spacing w:after="0"/>
        <w:jc w:val="center"/>
        <w:rPr>
          <w:b/>
          <w:sz w:val="36"/>
          <w:szCs w:val="36"/>
          <w:lang w:val="en-GB"/>
        </w:rPr>
      </w:pPr>
    </w:p>
    <w:p w:rsidR="008E068E" w:rsidRDefault="008E068E" w:rsidP="00D237F4">
      <w:pPr>
        <w:spacing w:after="0"/>
        <w:jc w:val="center"/>
        <w:rPr>
          <w:b/>
          <w:sz w:val="36"/>
          <w:szCs w:val="36"/>
          <w:lang w:val="en-GB"/>
        </w:rPr>
      </w:pPr>
    </w:p>
    <w:p w:rsidR="008E068E" w:rsidRDefault="008E068E" w:rsidP="00D237F4">
      <w:pPr>
        <w:spacing w:after="0"/>
        <w:jc w:val="center"/>
        <w:rPr>
          <w:b/>
          <w:sz w:val="36"/>
          <w:szCs w:val="36"/>
          <w:lang w:val="en-GB"/>
        </w:rPr>
      </w:pPr>
    </w:p>
    <w:p w:rsidR="008E068E" w:rsidRDefault="008E068E" w:rsidP="00D237F4">
      <w:pPr>
        <w:spacing w:after="0"/>
        <w:jc w:val="center"/>
        <w:rPr>
          <w:b/>
          <w:sz w:val="36"/>
          <w:szCs w:val="36"/>
          <w:lang w:val="en-GB"/>
        </w:rPr>
      </w:pPr>
    </w:p>
    <w:p w:rsidR="008E068E" w:rsidRDefault="008E068E" w:rsidP="00D237F4">
      <w:pPr>
        <w:spacing w:after="0"/>
        <w:jc w:val="center"/>
        <w:rPr>
          <w:b/>
          <w:sz w:val="36"/>
          <w:szCs w:val="36"/>
          <w:lang w:val="en-GB"/>
        </w:rPr>
      </w:pPr>
    </w:p>
    <w:p w:rsidR="008E068E" w:rsidRDefault="008E068E" w:rsidP="00D237F4">
      <w:pPr>
        <w:spacing w:after="0"/>
        <w:jc w:val="center"/>
        <w:rPr>
          <w:b/>
          <w:sz w:val="36"/>
          <w:szCs w:val="36"/>
          <w:lang w:val="en-GB"/>
        </w:rPr>
      </w:pPr>
    </w:p>
    <w:p w:rsidR="008E068E" w:rsidRDefault="008E068E" w:rsidP="00D237F4">
      <w:pPr>
        <w:spacing w:after="0"/>
        <w:jc w:val="center"/>
        <w:rPr>
          <w:b/>
          <w:sz w:val="36"/>
          <w:szCs w:val="36"/>
          <w:lang w:val="en-GB"/>
        </w:rPr>
      </w:pPr>
      <w:r w:rsidRPr="008E068E">
        <w:rPr>
          <w:b/>
          <w:sz w:val="36"/>
          <w:szCs w:val="36"/>
          <w:lang w:val="en-GB"/>
        </w:rPr>
        <w:t xml:space="preserve">  Alberto </w:t>
      </w:r>
      <w:proofErr w:type="spellStart"/>
      <w:r w:rsidRPr="008E068E">
        <w:rPr>
          <w:b/>
          <w:sz w:val="36"/>
          <w:szCs w:val="36"/>
          <w:lang w:val="en-GB"/>
        </w:rPr>
        <w:t>Vergani</w:t>
      </w:r>
      <w:proofErr w:type="spellEnd"/>
      <w:r>
        <w:rPr>
          <w:b/>
          <w:sz w:val="36"/>
          <w:szCs w:val="36"/>
          <w:lang w:val="en-GB"/>
        </w:rPr>
        <w:t>,</w:t>
      </w:r>
    </w:p>
    <w:p w:rsidR="008E068E" w:rsidRPr="008E068E" w:rsidRDefault="008E068E" w:rsidP="00D237F4">
      <w:pPr>
        <w:spacing w:after="0"/>
        <w:jc w:val="center"/>
        <w:rPr>
          <w:b/>
          <w:sz w:val="28"/>
          <w:szCs w:val="28"/>
          <w:lang w:val="en-GB"/>
        </w:rPr>
      </w:pPr>
      <w:r w:rsidRPr="008E068E">
        <w:rPr>
          <w:b/>
          <w:sz w:val="28"/>
          <w:szCs w:val="28"/>
          <w:lang w:val="en-GB"/>
        </w:rPr>
        <w:t>Catholic University</w:t>
      </w:r>
    </w:p>
    <w:p w:rsidR="008E068E" w:rsidRPr="008E068E" w:rsidRDefault="008E068E" w:rsidP="00D237F4">
      <w:pPr>
        <w:spacing w:after="0"/>
        <w:jc w:val="center"/>
        <w:rPr>
          <w:b/>
          <w:sz w:val="28"/>
          <w:szCs w:val="28"/>
          <w:lang w:val="en-GB"/>
        </w:rPr>
      </w:pPr>
      <w:r w:rsidRPr="008E068E">
        <w:rPr>
          <w:b/>
          <w:sz w:val="28"/>
          <w:szCs w:val="28"/>
          <w:lang w:val="en-GB"/>
        </w:rPr>
        <w:t>Milan</w:t>
      </w:r>
    </w:p>
    <w:p w:rsidR="008E068E" w:rsidRDefault="008E068E" w:rsidP="00D237F4">
      <w:pPr>
        <w:spacing w:after="0"/>
        <w:jc w:val="center"/>
        <w:rPr>
          <w:b/>
          <w:sz w:val="36"/>
          <w:szCs w:val="36"/>
          <w:lang w:val="en-GB"/>
        </w:rPr>
      </w:pPr>
    </w:p>
    <w:p w:rsidR="008E068E" w:rsidRDefault="008E068E" w:rsidP="00D237F4">
      <w:pPr>
        <w:spacing w:after="0"/>
        <w:jc w:val="center"/>
        <w:rPr>
          <w:b/>
          <w:sz w:val="36"/>
          <w:szCs w:val="36"/>
          <w:lang w:val="en-GB"/>
        </w:rPr>
      </w:pPr>
    </w:p>
    <w:p w:rsidR="008E068E" w:rsidRDefault="008E068E" w:rsidP="00D237F4">
      <w:pPr>
        <w:spacing w:after="0"/>
        <w:jc w:val="center"/>
        <w:rPr>
          <w:b/>
          <w:sz w:val="36"/>
          <w:szCs w:val="36"/>
          <w:lang w:val="en-GB"/>
        </w:rPr>
      </w:pPr>
    </w:p>
    <w:p w:rsidR="008E068E" w:rsidRPr="008E068E" w:rsidRDefault="008E068E" w:rsidP="008E068E">
      <w:pPr>
        <w:spacing w:after="0"/>
        <w:jc w:val="right"/>
        <w:rPr>
          <w:b/>
          <w:sz w:val="24"/>
          <w:szCs w:val="24"/>
          <w:lang w:val="en-GB"/>
        </w:rPr>
      </w:pPr>
      <w:r w:rsidRPr="008E068E">
        <w:rPr>
          <w:b/>
          <w:sz w:val="24"/>
          <w:szCs w:val="24"/>
          <w:lang w:val="en-GB"/>
        </w:rPr>
        <w:t>September 2018</w:t>
      </w:r>
    </w:p>
    <w:p w:rsidR="008E068E" w:rsidRDefault="008E068E" w:rsidP="00D237F4">
      <w:pPr>
        <w:spacing w:after="0"/>
        <w:jc w:val="center"/>
        <w:rPr>
          <w:b/>
          <w:sz w:val="36"/>
          <w:szCs w:val="36"/>
          <w:lang w:val="en-GB"/>
        </w:rPr>
      </w:pPr>
    </w:p>
    <w:p w:rsidR="008E068E" w:rsidRDefault="008E068E" w:rsidP="00D237F4">
      <w:pPr>
        <w:spacing w:after="0"/>
        <w:jc w:val="center"/>
        <w:rPr>
          <w:b/>
          <w:sz w:val="36"/>
          <w:szCs w:val="36"/>
          <w:lang w:val="en-GB"/>
        </w:rPr>
      </w:pPr>
    </w:p>
    <w:p w:rsidR="008E068E" w:rsidRDefault="008E068E" w:rsidP="00D237F4">
      <w:pPr>
        <w:spacing w:after="0"/>
        <w:jc w:val="center"/>
        <w:rPr>
          <w:b/>
          <w:sz w:val="36"/>
          <w:szCs w:val="36"/>
          <w:lang w:val="en-GB"/>
        </w:rPr>
      </w:pPr>
    </w:p>
    <w:p w:rsidR="008E068E" w:rsidRDefault="008E068E" w:rsidP="00D237F4">
      <w:pPr>
        <w:spacing w:after="0"/>
        <w:jc w:val="center"/>
        <w:rPr>
          <w:b/>
          <w:lang w:val="en-GB"/>
        </w:rPr>
      </w:pPr>
    </w:p>
    <w:p w:rsidR="00B329C3" w:rsidRDefault="00AA7EC1" w:rsidP="00D237F4">
      <w:pPr>
        <w:spacing w:after="0"/>
        <w:jc w:val="center"/>
        <w:rPr>
          <w:b/>
          <w:lang w:val="en-GB"/>
        </w:rPr>
      </w:pPr>
      <w:r>
        <w:rPr>
          <w:b/>
          <w:lang w:val="en-GB"/>
        </w:rPr>
        <w:t xml:space="preserve">Italy </w:t>
      </w:r>
      <w:r w:rsidR="007534BD" w:rsidRPr="007534BD">
        <w:rPr>
          <w:b/>
          <w:lang w:val="en-GB"/>
        </w:rPr>
        <w:t xml:space="preserve">Country </w:t>
      </w:r>
      <w:r w:rsidR="002774E6">
        <w:rPr>
          <w:b/>
          <w:lang w:val="en-GB"/>
        </w:rPr>
        <w:t xml:space="preserve">Brief </w:t>
      </w:r>
    </w:p>
    <w:p w:rsidR="00DE6FB7" w:rsidRDefault="00DE6FB7" w:rsidP="00D237F4">
      <w:pPr>
        <w:pStyle w:val="Standard"/>
        <w:spacing w:line="276" w:lineRule="auto"/>
        <w:jc w:val="center"/>
        <w:rPr>
          <w:rFonts w:asciiTheme="minorHAnsi" w:hAnsiTheme="minorHAnsi" w:cstheme="minorHAnsi"/>
          <w:i/>
          <w:color w:val="000000"/>
          <w:sz w:val="22"/>
          <w:szCs w:val="22"/>
          <w:lang w:val="en-US"/>
        </w:rPr>
      </w:pPr>
    </w:p>
    <w:p w:rsidR="00D237F4" w:rsidRPr="002774E6" w:rsidRDefault="00B9125F" w:rsidP="00D237F4">
      <w:pPr>
        <w:pStyle w:val="Standard"/>
        <w:spacing w:line="276" w:lineRule="auto"/>
        <w:jc w:val="center"/>
        <w:rPr>
          <w:rFonts w:asciiTheme="minorHAnsi" w:hAnsiTheme="minorHAnsi" w:cstheme="minorHAnsi"/>
          <w:b/>
          <w:i/>
          <w:color w:val="000000"/>
          <w:sz w:val="22"/>
          <w:szCs w:val="22"/>
          <w:lang w:val="en-US"/>
        </w:rPr>
      </w:pPr>
      <w:r w:rsidRPr="000936D0">
        <w:rPr>
          <w:rFonts w:asciiTheme="minorHAnsi" w:hAnsiTheme="minorHAnsi" w:cstheme="minorHAnsi"/>
          <w:b/>
          <w:i/>
          <w:color w:val="000000"/>
          <w:sz w:val="22"/>
          <w:szCs w:val="22"/>
          <w:lang w:val="en-US"/>
        </w:rPr>
        <w:t xml:space="preserve">Vocational Training, </w:t>
      </w:r>
      <w:r w:rsidRPr="000936D0">
        <w:rPr>
          <w:rFonts w:asciiTheme="minorHAnsi" w:hAnsiTheme="minorHAnsi" w:cstheme="minorHAnsi"/>
          <w:b/>
          <w:i/>
          <w:color w:val="000000"/>
          <w:sz w:val="22"/>
          <w:szCs w:val="22"/>
          <w:lang w:val="en-GB"/>
        </w:rPr>
        <w:t>Labour</w:t>
      </w:r>
      <w:r w:rsidRPr="000936D0">
        <w:rPr>
          <w:rFonts w:asciiTheme="minorHAnsi" w:hAnsiTheme="minorHAnsi" w:cstheme="minorHAnsi"/>
          <w:b/>
          <w:i/>
          <w:color w:val="000000"/>
          <w:sz w:val="22"/>
          <w:szCs w:val="22"/>
          <w:lang w:val="en-US"/>
        </w:rPr>
        <w:t xml:space="preserve"> Market and Population Mobility: </w:t>
      </w:r>
      <w:r w:rsidR="004E0700">
        <w:rPr>
          <w:rFonts w:asciiTheme="minorHAnsi" w:hAnsiTheme="minorHAnsi" w:cstheme="minorHAnsi"/>
          <w:b/>
          <w:i/>
          <w:color w:val="000000"/>
          <w:sz w:val="22"/>
          <w:szCs w:val="22"/>
          <w:lang w:val="en-US"/>
        </w:rPr>
        <w:t xml:space="preserve">some hints </w:t>
      </w:r>
      <w:r w:rsidR="002774E6" w:rsidRPr="000936D0">
        <w:rPr>
          <w:rFonts w:asciiTheme="minorHAnsi" w:hAnsiTheme="minorHAnsi" w:cstheme="minorHAnsi"/>
          <w:b/>
          <w:i/>
          <w:color w:val="000000"/>
          <w:sz w:val="22"/>
          <w:szCs w:val="22"/>
          <w:lang w:val="en-US"/>
        </w:rPr>
        <w:t>o</w:t>
      </w:r>
      <w:r w:rsidR="004E0700">
        <w:rPr>
          <w:rFonts w:asciiTheme="minorHAnsi" w:hAnsiTheme="minorHAnsi" w:cstheme="minorHAnsi"/>
          <w:b/>
          <w:i/>
          <w:color w:val="000000"/>
          <w:sz w:val="22"/>
          <w:szCs w:val="22"/>
          <w:lang w:val="en-US"/>
        </w:rPr>
        <w:t>n</w:t>
      </w:r>
      <w:r w:rsidR="002774E6" w:rsidRPr="000936D0">
        <w:rPr>
          <w:rFonts w:asciiTheme="minorHAnsi" w:hAnsiTheme="minorHAnsi" w:cstheme="minorHAnsi"/>
          <w:b/>
          <w:i/>
          <w:color w:val="000000"/>
          <w:sz w:val="22"/>
          <w:szCs w:val="22"/>
          <w:lang w:val="en-US"/>
        </w:rPr>
        <w:t xml:space="preserve"> </w:t>
      </w:r>
      <w:r w:rsidRPr="000936D0">
        <w:rPr>
          <w:rFonts w:asciiTheme="minorHAnsi" w:hAnsiTheme="minorHAnsi" w:cstheme="minorHAnsi"/>
          <w:b/>
          <w:i/>
          <w:color w:val="000000"/>
          <w:sz w:val="22"/>
          <w:szCs w:val="22"/>
          <w:lang w:val="en-US"/>
        </w:rPr>
        <w:t>the Italian Case</w:t>
      </w:r>
      <w:r w:rsidRPr="000936D0">
        <w:rPr>
          <w:rStyle w:val="Appelnotedebasdep"/>
          <w:rFonts w:asciiTheme="minorHAnsi" w:hAnsiTheme="minorHAnsi" w:cstheme="minorHAnsi"/>
          <w:b/>
          <w:i/>
          <w:color w:val="000000"/>
          <w:sz w:val="22"/>
          <w:szCs w:val="22"/>
          <w:lang w:val="en-US"/>
        </w:rPr>
        <w:footnoteReference w:id="1"/>
      </w:r>
    </w:p>
    <w:p w:rsidR="00327F8E" w:rsidRPr="00327F8E" w:rsidRDefault="00327F8E" w:rsidP="00327F8E">
      <w:pPr>
        <w:spacing w:after="0"/>
        <w:jc w:val="center"/>
        <w:rPr>
          <w:rFonts w:eastAsia="Times New Roman" w:cstheme="minorHAnsi"/>
          <w:b/>
          <w:sz w:val="32"/>
          <w:szCs w:val="32"/>
          <w:lang w:val="en-GB"/>
        </w:rPr>
      </w:pPr>
    </w:p>
    <w:p w:rsidR="00D237F4" w:rsidRPr="00D237F4" w:rsidRDefault="00972EE0" w:rsidP="00D237F4">
      <w:pPr>
        <w:spacing w:after="0"/>
        <w:rPr>
          <w:rFonts w:eastAsia="Times New Roman" w:cstheme="minorHAnsi"/>
          <w:b/>
          <w:lang w:val="en-GB"/>
        </w:rPr>
      </w:pPr>
      <w:r>
        <w:rPr>
          <w:rFonts w:eastAsia="Times New Roman" w:cstheme="minorHAnsi"/>
          <w:b/>
          <w:lang w:val="en-GB"/>
        </w:rPr>
        <w:t>0.</w:t>
      </w:r>
      <w:r w:rsidR="00D237F4" w:rsidRPr="00D237F4">
        <w:rPr>
          <w:rFonts w:eastAsia="Times New Roman" w:cstheme="minorHAnsi"/>
          <w:b/>
          <w:lang w:val="en-GB"/>
        </w:rPr>
        <w:t xml:space="preserve">The structure </w:t>
      </w:r>
      <w:r w:rsidR="00D237F4">
        <w:rPr>
          <w:rFonts w:eastAsia="Times New Roman" w:cstheme="minorHAnsi"/>
          <w:b/>
          <w:lang w:val="en-GB"/>
        </w:rPr>
        <w:t>and contents</w:t>
      </w:r>
      <w:r w:rsidR="000936D0">
        <w:rPr>
          <w:rFonts w:eastAsia="Times New Roman" w:cstheme="minorHAnsi"/>
          <w:b/>
          <w:lang w:val="en-GB"/>
        </w:rPr>
        <w:t xml:space="preserve"> </w:t>
      </w:r>
      <w:r w:rsidR="00D237F4" w:rsidRPr="00D237F4">
        <w:rPr>
          <w:rFonts w:eastAsia="Times New Roman" w:cstheme="minorHAnsi"/>
          <w:b/>
          <w:lang w:val="en-GB"/>
        </w:rPr>
        <w:t xml:space="preserve">of the </w:t>
      </w:r>
      <w:r w:rsidR="000936D0">
        <w:rPr>
          <w:rFonts w:eastAsia="Times New Roman" w:cstheme="minorHAnsi"/>
          <w:b/>
          <w:lang w:val="en-GB"/>
        </w:rPr>
        <w:t xml:space="preserve">document </w:t>
      </w:r>
    </w:p>
    <w:p w:rsidR="007100C6" w:rsidRPr="007534BD" w:rsidRDefault="00D237F4" w:rsidP="00D237F4">
      <w:pPr>
        <w:spacing w:after="0"/>
        <w:jc w:val="both"/>
        <w:rPr>
          <w:lang w:val="en-GB"/>
        </w:rPr>
      </w:pPr>
      <w:r>
        <w:rPr>
          <w:rFonts w:eastAsia="Times New Roman" w:cstheme="minorHAnsi"/>
          <w:lang w:val="en-GB"/>
        </w:rPr>
        <w:t xml:space="preserve"> </w:t>
      </w:r>
      <w:r w:rsidR="006A260E">
        <w:rPr>
          <w:lang w:val="en-GB"/>
        </w:rPr>
        <w:t xml:space="preserve">The </w:t>
      </w:r>
      <w:r>
        <w:rPr>
          <w:lang w:val="en-GB"/>
        </w:rPr>
        <w:t>structure and contents of th</w:t>
      </w:r>
      <w:r w:rsidR="00C0489E">
        <w:rPr>
          <w:lang w:val="en-GB"/>
        </w:rPr>
        <w:t>is</w:t>
      </w:r>
      <w:r>
        <w:rPr>
          <w:lang w:val="en-GB"/>
        </w:rPr>
        <w:t xml:space="preserve"> </w:t>
      </w:r>
      <w:r w:rsidR="006A260E" w:rsidRPr="006A260E">
        <w:rPr>
          <w:i/>
          <w:lang w:val="en-GB"/>
        </w:rPr>
        <w:t>I</w:t>
      </w:r>
      <w:r>
        <w:rPr>
          <w:i/>
          <w:lang w:val="en-GB"/>
        </w:rPr>
        <w:t xml:space="preserve">taly </w:t>
      </w:r>
      <w:r w:rsidR="006A260E" w:rsidRPr="006A260E">
        <w:rPr>
          <w:i/>
          <w:lang w:val="en-GB"/>
        </w:rPr>
        <w:t>Country Brief</w:t>
      </w:r>
      <w:r w:rsidR="006A260E">
        <w:rPr>
          <w:lang w:val="en-GB"/>
        </w:rPr>
        <w:t xml:space="preserve"> </w:t>
      </w:r>
      <w:r>
        <w:rPr>
          <w:lang w:val="en-GB"/>
        </w:rPr>
        <w:t>(ICB) are the following:</w:t>
      </w:r>
      <w:r w:rsidR="006A260E">
        <w:rPr>
          <w:lang w:val="en-GB"/>
        </w:rPr>
        <w:t xml:space="preserve">  </w:t>
      </w:r>
    </w:p>
    <w:p w:rsidR="007534BD" w:rsidRDefault="004F2254" w:rsidP="00D237F4">
      <w:pPr>
        <w:pStyle w:val="Paragraphedeliste"/>
        <w:numPr>
          <w:ilvl w:val="0"/>
          <w:numId w:val="1"/>
        </w:numPr>
        <w:spacing w:after="0"/>
        <w:jc w:val="both"/>
        <w:rPr>
          <w:lang w:val="en-GB"/>
        </w:rPr>
      </w:pPr>
      <w:r>
        <w:rPr>
          <w:lang w:val="en-GB"/>
        </w:rPr>
        <w:t xml:space="preserve">The </w:t>
      </w:r>
      <w:r w:rsidR="00972EE0">
        <w:rPr>
          <w:lang w:val="en-GB"/>
        </w:rPr>
        <w:t>first paragraph will present the recent (a</w:t>
      </w:r>
      <w:r w:rsidR="007862FF">
        <w:rPr>
          <w:lang w:val="en-GB"/>
        </w:rPr>
        <w:t>pproximately</w:t>
      </w:r>
      <w:r w:rsidR="00972EE0">
        <w:rPr>
          <w:lang w:val="en-GB"/>
        </w:rPr>
        <w:t xml:space="preserve"> last </w:t>
      </w:r>
      <w:r w:rsidR="007862FF">
        <w:rPr>
          <w:lang w:val="en-GB"/>
        </w:rPr>
        <w:t>1</w:t>
      </w:r>
      <w:r w:rsidR="00BF7379">
        <w:rPr>
          <w:lang w:val="en-GB"/>
        </w:rPr>
        <w:t>0 years</w:t>
      </w:r>
      <w:r w:rsidR="00972EE0">
        <w:rPr>
          <w:lang w:val="en-GB"/>
        </w:rPr>
        <w:t>)</w:t>
      </w:r>
      <w:r w:rsidR="00BF7379">
        <w:rPr>
          <w:lang w:val="en-GB"/>
        </w:rPr>
        <w:t xml:space="preserve"> main population mobility trends </w:t>
      </w:r>
      <w:r w:rsidR="0083792D">
        <w:rPr>
          <w:lang w:val="en-GB"/>
        </w:rPr>
        <w:t>with reference to “mobility for work”</w:t>
      </w:r>
      <w:r>
        <w:rPr>
          <w:lang w:val="en-GB"/>
        </w:rPr>
        <w:t>;</w:t>
      </w:r>
    </w:p>
    <w:p w:rsidR="004F2254" w:rsidRDefault="004F2254" w:rsidP="00D237F4">
      <w:pPr>
        <w:pStyle w:val="Paragraphedeliste"/>
        <w:numPr>
          <w:ilvl w:val="0"/>
          <w:numId w:val="1"/>
        </w:numPr>
        <w:spacing w:after="0"/>
        <w:jc w:val="both"/>
        <w:rPr>
          <w:lang w:val="en-GB"/>
        </w:rPr>
      </w:pPr>
      <w:r>
        <w:rPr>
          <w:lang w:val="en-GB"/>
        </w:rPr>
        <w:t xml:space="preserve">The </w:t>
      </w:r>
      <w:r w:rsidR="00972EE0">
        <w:rPr>
          <w:lang w:val="en-GB"/>
        </w:rPr>
        <w:t>second paragraph will summarize the</w:t>
      </w:r>
      <w:r w:rsidR="007862FF" w:rsidRPr="001D30D3">
        <w:rPr>
          <w:lang w:val="en-GB"/>
        </w:rPr>
        <w:t xml:space="preserve"> last 10</w:t>
      </w:r>
      <w:r w:rsidR="00C0489E">
        <w:rPr>
          <w:lang w:val="en-GB"/>
        </w:rPr>
        <w:t>-15</w:t>
      </w:r>
      <w:r w:rsidR="007862FF" w:rsidRPr="001D30D3">
        <w:rPr>
          <w:lang w:val="en-GB"/>
        </w:rPr>
        <w:t xml:space="preserve"> years </w:t>
      </w:r>
      <w:r w:rsidR="00C0489E">
        <w:rPr>
          <w:lang w:val="en-GB"/>
        </w:rPr>
        <w:t xml:space="preserve">dynamics </w:t>
      </w:r>
      <w:r w:rsidR="00724FC0" w:rsidRPr="001D30D3">
        <w:rPr>
          <w:lang w:val="en-GB"/>
        </w:rPr>
        <w:t xml:space="preserve">in </w:t>
      </w:r>
      <w:r w:rsidR="002F74C0">
        <w:rPr>
          <w:lang w:val="en-GB"/>
        </w:rPr>
        <w:t xml:space="preserve">labour market </w:t>
      </w:r>
      <w:r>
        <w:rPr>
          <w:lang w:val="en-GB"/>
        </w:rPr>
        <w:t>development;</w:t>
      </w:r>
    </w:p>
    <w:p w:rsidR="002774E6" w:rsidRDefault="004F2254" w:rsidP="00D237F4">
      <w:pPr>
        <w:pStyle w:val="Paragraphedeliste"/>
        <w:numPr>
          <w:ilvl w:val="0"/>
          <w:numId w:val="1"/>
        </w:numPr>
        <w:spacing w:after="0"/>
        <w:jc w:val="both"/>
        <w:rPr>
          <w:lang w:val="en-GB"/>
        </w:rPr>
      </w:pPr>
      <w:r>
        <w:rPr>
          <w:lang w:val="en-GB"/>
        </w:rPr>
        <w:t xml:space="preserve">The </w:t>
      </w:r>
      <w:r w:rsidR="00972EE0" w:rsidRPr="004F2254">
        <w:rPr>
          <w:lang w:val="en-GB"/>
        </w:rPr>
        <w:t>third paragraph will describe the a</w:t>
      </w:r>
      <w:r w:rsidR="0083792D" w:rsidRPr="004F2254">
        <w:rPr>
          <w:lang w:val="en-GB"/>
        </w:rPr>
        <w:t>ctual s</w:t>
      </w:r>
      <w:r w:rsidR="00DC2EE5" w:rsidRPr="004F2254">
        <w:rPr>
          <w:lang w:val="en-GB"/>
        </w:rPr>
        <w:t xml:space="preserve">tructure, dimension and </w:t>
      </w:r>
      <w:r>
        <w:rPr>
          <w:lang w:val="en-GB"/>
        </w:rPr>
        <w:t xml:space="preserve">main </w:t>
      </w:r>
      <w:r w:rsidR="004F5EED" w:rsidRPr="004F2254">
        <w:rPr>
          <w:lang w:val="en-GB"/>
        </w:rPr>
        <w:t xml:space="preserve">challenges </w:t>
      </w:r>
      <w:r w:rsidR="00DC2EE5" w:rsidRPr="004F2254">
        <w:rPr>
          <w:lang w:val="en-GB"/>
        </w:rPr>
        <w:t>of Vocational Training System</w:t>
      </w:r>
      <w:r w:rsidR="001B3C8B">
        <w:rPr>
          <w:lang w:val="en-GB"/>
        </w:rPr>
        <w:t xml:space="preserve"> (VT)</w:t>
      </w:r>
      <w:r w:rsidR="002774E6">
        <w:rPr>
          <w:lang w:val="en-GB"/>
        </w:rPr>
        <w:t>;</w:t>
      </w:r>
    </w:p>
    <w:p w:rsidR="002774E6" w:rsidRDefault="00972EE0" w:rsidP="00D237F4">
      <w:pPr>
        <w:pStyle w:val="Paragraphedeliste"/>
        <w:numPr>
          <w:ilvl w:val="0"/>
          <w:numId w:val="1"/>
        </w:numPr>
        <w:spacing w:after="0"/>
        <w:jc w:val="both"/>
        <w:rPr>
          <w:lang w:val="en-GB"/>
        </w:rPr>
      </w:pPr>
      <w:r>
        <w:rPr>
          <w:lang w:val="en-GB"/>
        </w:rPr>
        <w:t>Finally, in the last paragraph, the r</w:t>
      </w:r>
      <w:r w:rsidR="00A057AF">
        <w:rPr>
          <w:lang w:val="en-GB"/>
        </w:rPr>
        <w:t xml:space="preserve">ole of Vocational Training System </w:t>
      </w:r>
      <w:r w:rsidR="005203CA">
        <w:rPr>
          <w:lang w:val="en-GB"/>
        </w:rPr>
        <w:t xml:space="preserve">with regard </w:t>
      </w:r>
      <w:proofErr w:type="gramStart"/>
      <w:r w:rsidR="005203CA">
        <w:rPr>
          <w:lang w:val="en-GB"/>
        </w:rPr>
        <w:t xml:space="preserve">to </w:t>
      </w:r>
      <w:r w:rsidR="0083792D">
        <w:rPr>
          <w:lang w:val="en-GB"/>
        </w:rPr>
        <w:t xml:space="preserve"> population</w:t>
      </w:r>
      <w:proofErr w:type="gramEnd"/>
      <w:r w:rsidR="0083792D">
        <w:rPr>
          <w:lang w:val="en-GB"/>
        </w:rPr>
        <w:t xml:space="preserve"> </w:t>
      </w:r>
      <w:r w:rsidR="00C0489E">
        <w:rPr>
          <w:lang w:val="en-GB"/>
        </w:rPr>
        <w:t>“</w:t>
      </w:r>
      <w:r w:rsidR="0083792D">
        <w:rPr>
          <w:lang w:val="en-GB"/>
        </w:rPr>
        <w:t>mobility for work</w:t>
      </w:r>
      <w:r w:rsidR="00C0489E">
        <w:rPr>
          <w:lang w:val="en-GB"/>
        </w:rPr>
        <w:t>”</w:t>
      </w:r>
      <w:r w:rsidR="0083792D">
        <w:rPr>
          <w:lang w:val="en-GB"/>
        </w:rPr>
        <w:t xml:space="preserve"> </w:t>
      </w:r>
      <w:r>
        <w:rPr>
          <w:lang w:val="en-GB"/>
        </w:rPr>
        <w:t xml:space="preserve">will be described and </w:t>
      </w:r>
      <w:r w:rsidR="00C0489E">
        <w:rPr>
          <w:lang w:val="en-GB"/>
        </w:rPr>
        <w:t xml:space="preserve">briefly </w:t>
      </w:r>
      <w:r>
        <w:rPr>
          <w:lang w:val="en-GB"/>
        </w:rPr>
        <w:t>discussed</w:t>
      </w:r>
      <w:r w:rsidR="002774E6">
        <w:rPr>
          <w:lang w:val="en-GB"/>
        </w:rPr>
        <w:t>.</w:t>
      </w:r>
    </w:p>
    <w:p w:rsidR="009D7EF4" w:rsidRDefault="009D7EF4" w:rsidP="00D237F4">
      <w:pPr>
        <w:spacing w:after="0"/>
        <w:jc w:val="both"/>
        <w:rPr>
          <w:lang w:val="en-GB"/>
        </w:rPr>
      </w:pPr>
    </w:p>
    <w:p w:rsidR="00972EE0" w:rsidRPr="002615AF" w:rsidRDefault="002615AF" w:rsidP="00D237F4">
      <w:pPr>
        <w:spacing w:after="0"/>
        <w:jc w:val="both"/>
        <w:rPr>
          <w:b/>
          <w:lang w:val="en-GB"/>
        </w:rPr>
      </w:pPr>
      <w:r w:rsidRPr="002615AF">
        <w:rPr>
          <w:b/>
          <w:lang w:val="en-GB"/>
        </w:rPr>
        <w:t xml:space="preserve">1.Population recent </w:t>
      </w:r>
      <w:r w:rsidR="00AD1F95">
        <w:rPr>
          <w:b/>
          <w:lang w:val="en-GB"/>
        </w:rPr>
        <w:t xml:space="preserve">(internal) </w:t>
      </w:r>
      <w:r w:rsidRPr="002615AF">
        <w:rPr>
          <w:b/>
          <w:lang w:val="en-GB"/>
        </w:rPr>
        <w:t xml:space="preserve">mobility trends in Italy </w:t>
      </w:r>
    </w:p>
    <w:p w:rsidR="009C7AA9" w:rsidRDefault="00813907" w:rsidP="00D237F4">
      <w:pPr>
        <w:spacing w:after="0"/>
        <w:jc w:val="both"/>
        <w:rPr>
          <w:lang w:val="en-GB"/>
        </w:rPr>
      </w:pPr>
      <w:r>
        <w:rPr>
          <w:lang w:val="en-GB"/>
        </w:rPr>
        <w:t xml:space="preserve">Only population mobility trends </w:t>
      </w:r>
      <w:r w:rsidRPr="00813907">
        <w:rPr>
          <w:i/>
          <w:lang w:val="en-GB"/>
        </w:rPr>
        <w:t>internal</w:t>
      </w:r>
      <w:r>
        <w:rPr>
          <w:lang w:val="en-GB"/>
        </w:rPr>
        <w:t xml:space="preserve"> to Italy will be </w:t>
      </w:r>
      <w:r w:rsidR="00A4789D">
        <w:rPr>
          <w:lang w:val="en-GB"/>
        </w:rPr>
        <w:t>considered in this paragraph</w:t>
      </w:r>
      <w:r w:rsidR="00304717">
        <w:rPr>
          <w:rStyle w:val="Appelnotedebasdep"/>
          <w:lang w:val="en-GB"/>
        </w:rPr>
        <w:footnoteReference w:id="2"/>
      </w:r>
      <w:r w:rsidR="00304717">
        <w:rPr>
          <w:lang w:val="en-GB"/>
        </w:rPr>
        <w:t xml:space="preserve"> and, more specifically, the focus will be on labour mobility.</w:t>
      </w:r>
    </w:p>
    <w:p w:rsidR="000C259A" w:rsidRDefault="000C259A" w:rsidP="00D237F4">
      <w:pPr>
        <w:spacing w:after="0"/>
        <w:jc w:val="both"/>
        <w:rPr>
          <w:lang w:val="en-GB"/>
        </w:rPr>
      </w:pPr>
    </w:p>
    <w:p w:rsidR="005A7E61" w:rsidRDefault="00215072" w:rsidP="00D237F4">
      <w:pPr>
        <w:spacing w:after="0"/>
        <w:jc w:val="both"/>
        <w:rPr>
          <w:lang w:val="en-GB"/>
        </w:rPr>
      </w:pPr>
      <w:r>
        <w:rPr>
          <w:lang w:val="en-GB"/>
        </w:rPr>
        <w:t xml:space="preserve">Internal migrations in Italy became quantitatively relevant during the Fascist Regime (1925-1945): the main reason for these migrations </w:t>
      </w:r>
      <w:r w:rsidR="00F00D7B">
        <w:rPr>
          <w:lang w:val="en-GB"/>
        </w:rPr>
        <w:t xml:space="preserve">(from rural to urban areas) </w:t>
      </w:r>
      <w:r>
        <w:rPr>
          <w:lang w:val="en-GB"/>
        </w:rPr>
        <w:t xml:space="preserve">was the </w:t>
      </w:r>
      <w:r w:rsidR="00F00D7B">
        <w:rPr>
          <w:lang w:val="en-GB"/>
        </w:rPr>
        <w:t xml:space="preserve">existence of </w:t>
      </w:r>
      <w:r w:rsidR="00F00D7B" w:rsidRPr="000936D0">
        <w:rPr>
          <w:lang w:val="en-GB"/>
        </w:rPr>
        <w:t xml:space="preserve">important economic territorial differentials within Italy (Dan and </w:t>
      </w:r>
      <w:proofErr w:type="spellStart"/>
      <w:r w:rsidR="00F00D7B" w:rsidRPr="000936D0">
        <w:rPr>
          <w:lang w:val="en-GB"/>
        </w:rPr>
        <w:t>Fornasin</w:t>
      </w:r>
      <w:proofErr w:type="spellEnd"/>
      <w:r w:rsidR="00F00D7B" w:rsidRPr="000936D0">
        <w:rPr>
          <w:lang w:val="en-GB"/>
        </w:rPr>
        <w:t xml:space="preserve">, 2013). </w:t>
      </w:r>
      <w:r w:rsidR="00983823" w:rsidRPr="000936D0">
        <w:rPr>
          <w:lang w:val="en-GB"/>
        </w:rPr>
        <w:t>After the end</w:t>
      </w:r>
      <w:r w:rsidR="00983823">
        <w:rPr>
          <w:lang w:val="en-GB"/>
        </w:rPr>
        <w:t xml:space="preserve"> of the Second World War, internal migrations increased especially involving the rural population of Southern Italy and Veneto Region (</w:t>
      </w:r>
      <w:r w:rsidR="00734671">
        <w:rPr>
          <w:lang w:val="en-GB"/>
        </w:rPr>
        <w:t xml:space="preserve">a region in </w:t>
      </w:r>
      <w:r w:rsidR="003D05CD">
        <w:rPr>
          <w:lang w:val="en-GB"/>
        </w:rPr>
        <w:t>N</w:t>
      </w:r>
      <w:r w:rsidR="00983823">
        <w:rPr>
          <w:lang w:val="en-GB"/>
        </w:rPr>
        <w:t>orth</w:t>
      </w:r>
      <w:r w:rsidR="003D05CD">
        <w:rPr>
          <w:lang w:val="en-GB"/>
        </w:rPr>
        <w:t xml:space="preserve">-east </w:t>
      </w:r>
      <w:r w:rsidR="00983823">
        <w:rPr>
          <w:lang w:val="en-GB"/>
        </w:rPr>
        <w:t>Italy)</w:t>
      </w:r>
      <w:r w:rsidR="00734671">
        <w:rPr>
          <w:lang w:val="en-GB"/>
        </w:rPr>
        <w:t>. T</w:t>
      </w:r>
      <w:r w:rsidR="00983823">
        <w:rPr>
          <w:lang w:val="en-GB"/>
        </w:rPr>
        <w:t>h</w:t>
      </w:r>
      <w:r w:rsidR="00734671">
        <w:rPr>
          <w:lang w:val="en-GB"/>
        </w:rPr>
        <w:t xml:space="preserve">is </w:t>
      </w:r>
      <w:r w:rsidR="00983823">
        <w:rPr>
          <w:lang w:val="en-GB"/>
        </w:rPr>
        <w:t xml:space="preserve">population was attracted by the industrial cities of </w:t>
      </w:r>
      <w:r w:rsidR="003D05CD">
        <w:rPr>
          <w:lang w:val="en-GB"/>
        </w:rPr>
        <w:t>North-</w:t>
      </w:r>
      <w:r w:rsidR="007B4A15">
        <w:rPr>
          <w:lang w:val="en-GB"/>
        </w:rPr>
        <w:t>W</w:t>
      </w:r>
      <w:r w:rsidR="003D05CD">
        <w:rPr>
          <w:lang w:val="en-GB"/>
        </w:rPr>
        <w:t>est Italy (e.g. Milan, Turin, Genoa) but also Rome and the big cities of Southern Italy were typical destinations.</w:t>
      </w:r>
      <w:r w:rsidR="00A537AC">
        <w:rPr>
          <w:lang w:val="en-GB"/>
        </w:rPr>
        <w:t xml:space="preserve"> Internal migrations reached their peak in Mid-60</w:t>
      </w:r>
      <w:r w:rsidR="00640926">
        <w:rPr>
          <w:lang w:val="en-GB"/>
        </w:rPr>
        <w:t>s</w:t>
      </w:r>
      <w:r w:rsidR="00A537AC">
        <w:rPr>
          <w:lang w:val="en-GB"/>
        </w:rPr>
        <w:t>’: at the end of 60</w:t>
      </w:r>
      <w:r w:rsidR="00640926">
        <w:rPr>
          <w:lang w:val="en-GB"/>
        </w:rPr>
        <w:t>s</w:t>
      </w:r>
      <w:r w:rsidR="00A537AC">
        <w:rPr>
          <w:lang w:val="en-GB"/>
        </w:rPr>
        <w:t xml:space="preserve">’, migrations from Veneto Region ended while those from Southern Italy and the main </w:t>
      </w:r>
      <w:r w:rsidR="00734671">
        <w:rPr>
          <w:lang w:val="en-GB"/>
        </w:rPr>
        <w:t>i</w:t>
      </w:r>
      <w:r w:rsidR="00A537AC">
        <w:rPr>
          <w:lang w:val="en-GB"/>
        </w:rPr>
        <w:t>sland</w:t>
      </w:r>
      <w:r w:rsidR="00734671">
        <w:rPr>
          <w:lang w:val="en-GB"/>
        </w:rPr>
        <w:t>s</w:t>
      </w:r>
      <w:r w:rsidR="00A537AC">
        <w:rPr>
          <w:lang w:val="en-GB"/>
        </w:rPr>
        <w:t xml:space="preserve"> (Sicily and Sardinia) continued but with a lesser intensity. </w:t>
      </w:r>
      <w:r w:rsidR="008F4251">
        <w:rPr>
          <w:lang w:val="en-GB"/>
        </w:rPr>
        <w:t>During the so-called 1973-1974 Oil-Crisis</w:t>
      </w:r>
      <w:r w:rsidR="00734671">
        <w:rPr>
          <w:lang w:val="en-GB"/>
        </w:rPr>
        <w:t>,</w:t>
      </w:r>
      <w:r w:rsidR="008F4251">
        <w:rPr>
          <w:lang w:val="en-GB"/>
        </w:rPr>
        <w:t xml:space="preserve"> </w:t>
      </w:r>
      <w:r w:rsidR="00480E64">
        <w:rPr>
          <w:lang w:val="en-GB"/>
        </w:rPr>
        <w:t>migrations reduced and returning mobility developed</w:t>
      </w:r>
      <w:r w:rsidR="00640926">
        <w:rPr>
          <w:lang w:val="en-GB"/>
        </w:rPr>
        <w:t xml:space="preserve">; at the same time, in the 80s’, </w:t>
      </w:r>
      <w:r w:rsidR="00317A97">
        <w:rPr>
          <w:lang w:val="en-GB"/>
        </w:rPr>
        <w:t xml:space="preserve">also small-medium size cities became destinations for internal </w:t>
      </w:r>
      <w:r w:rsidR="00640926">
        <w:rPr>
          <w:lang w:val="en-GB"/>
        </w:rPr>
        <w:t>migrations</w:t>
      </w:r>
      <w:r w:rsidR="0057420D">
        <w:rPr>
          <w:lang w:val="en-GB"/>
        </w:rPr>
        <w:t xml:space="preserve">. </w:t>
      </w:r>
      <w:r w:rsidR="005A7E61">
        <w:rPr>
          <w:lang w:val="en-GB"/>
        </w:rPr>
        <w:t xml:space="preserve">In all those years, “regional migrations and urbanisation processes have gone together with migrations between minor cities and countryside as well as between </w:t>
      </w:r>
      <w:r w:rsidR="005A7E61">
        <w:rPr>
          <w:lang w:val="en-GB"/>
        </w:rPr>
        <w:lastRenderedPageBreak/>
        <w:t xml:space="preserve">mountains and plain territories. ….. </w:t>
      </w:r>
      <w:proofErr w:type="gramStart"/>
      <w:r w:rsidR="005A7E61">
        <w:rPr>
          <w:lang w:val="en-GB"/>
        </w:rPr>
        <w:t>Long and short range</w:t>
      </w:r>
      <w:proofErr w:type="gramEnd"/>
      <w:r w:rsidR="005A7E61">
        <w:rPr>
          <w:lang w:val="en-GB"/>
        </w:rPr>
        <w:t xml:space="preserve"> movements called for a distinction between migrations (long range) and mobility (short range). M</w:t>
      </w:r>
      <w:r w:rsidR="001E51BA">
        <w:rPr>
          <w:lang w:val="en-GB"/>
        </w:rPr>
        <w:t xml:space="preserve">ovements </w:t>
      </w:r>
      <w:r w:rsidR="005A7E61">
        <w:rPr>
          <w:lang w:val="en-GB"/>
        </w:rPr>
        <w:t>depended on many</w:t>
      </w:r>
      <w:r w:rsidR="001E51BA">
        <w:rPr>
          <w:lang w:val="en-GB"/>
        </w:rPr>
        <w:t xml:space="preserve"> </w:t>
      </w:r>
      <w:proofErr w:type="gramStart"/>
      <w:r w:rsidR="001E51BA">
        <w:rPr>
          <w:lang w:val="en-GB"/>
        </w:rPr>
        <w:t>causes</w:t>
      </w:r>
      <w:proofErr w:type="gramEnd"/>
      <w:r w:rsidR="001E51BA">
        <w:rPr>
          <w:lang w:val="en-GB"/>
        </w:rPr>
        <w:t xml:space="preserve"> but they were mostly related to labour market or to the ‘marriage market’” (cit., p</w:t>
      </w:r>
      <w:r w:rsidR="007B4A15">
        <w:rPr>
          <w:lang w:val="en-GB"/>
        </w:rPr>
        <w:t>p</w:t>
      </w:r>
      <w:r w:rsidR="001E51BA">
        <w:rPr>
          <w:lang w:val="en-GB"/>
        </w:rPr>
        <w:t xml:space="preserve">. 3-4). </w:t>
      </w:r>
      <w:r w:rsidR="005A7E61">
        <w:rPr>
          <w:lang w:val="en-GB"/>
        </w:rPr>
        <w:t xml:space="preserve"> </w:t>
      </w:r>
    </w:p>
    <w:p w:rsidR="005A7E61" w:rsidRDefault="005A7E61" w:rsidP="00D237F4">
      <w:pPr>
        <w:spacing w:after="0"/>
        <w:jc w:val="both"/>
        <w:rPr>
          <w:lang w:val="en-GB"/>
        </w:rPr>
      </w:pPr>
    </w:p>
    <w:p w:rsidR="00E37304" w:rsidRPr="000936D0" w:rsidRDefault="0057420D" w:rsidP="007B4A15">
      <w:pPr>
        <w:spacing w:after="0"/>
        <w:jc w:val="both"/>
        <w:rPr>
          <w:rFonts w:cstheme="minorHAnsi"/>
          <w:lang w:val="en-GB"/>
        </w:rPr>
      </w:pPr>
      <w:r>
        <w:rPr>
          <w:lang w:val="en-GB"/>
        </w:rPr>
        <w:t>In the 90s’, South</w:t>
      </w:r>
      <w:r w:rsidR="007B4A15">
        <w:rPr>
          <w:lang w:val="en-GB"/>
        </w:rPr>
        <w:t xml:space="preserve"> to N</w:t>
      </w:r>
      <w:r>
        <w:rPr>
          <w:lang w:val="en-GB"/>
        </w:rPr>
        <w:t xml:space="preserve">orth migration </w:t>
      </w:r>
      <w:r w:rsidR="00AC6E65">
        <w:rPr>
          <w:lang w:val="en-GB"/>
        </w:rPr>
        <w:t xml:space="preserve">increased again </w:t>
      </w:r>
      <w:r w:rsidR="0010168B">
        <w:rPr>
          <w:lang w:val="en-GB"/>
        </w:rPr>
        <w:t xml:space="preserve">becoming quantitatively relevant </w:t>
      </w:r>
      <w:r w:rsidR="00AC6E65">
        <w:rPr>
          <w:lang w:val="en-GB"/>
        </w:rPr>
        <w:t>but without reaching the levels of the previous decades</w:t>
      </w:r>
      <w:r w:rsidR="0010168B">
        <w:rPr>
          <w:rStyle w:val="Appelnotedebasdep"/>
          <w:lang w:val="en-GB"/>
        </w:rPr>
        <w:footnoteReference w:id="3"/>
      </w:r>
      <w:r w:rsidR="00AC6E65">
        <w:rPr>
          <w:lang w:val="en-GB"/>
        </w:rPr>
        <w:t xml:space="preserve"> (</w:t>
      </w:r>
      <w:r w:rsidR="00AC6E65" w:rsidRPr="00AC6E65">
        <w:rPr>
          <w:i/>
          <w:lang w:val="en-GB"/>
        </w:rPr>
        <w:t>Ibid</w:t>
      </w:r>
      <w:r w:rsidR="00327F8E">
        <w:rPr>
          <w:i/>
          <w:lang w:val="en-GB"/>
        </w:rPr>
        <w:t>.)</w:t>
      </w:r>
      <w:r w:rsidR="00AC6E65">
        <w:rPr>
          <w:lang w:val="en-GB"/>
        </w:rPr>
        <w:t xml:space="preserve">. </w:t>
      </w:r>
      <w:r w:rsidR="004714BF">
        <w:rPr>
          <w:lang w:val="en-GB"/>
        </w:rPr>
        <w:t xml:space="preserve">The dominant destinations </w:t>
      </w:r>
      <w:r w:rsidR="007B4A15">
        <w:rPr>
          <w:lang w:val="en-GB"/>
        </w:rPr>
        <w:t xml:space="preserve">were </w:t>
      </w:r>
      <w:r w:rsidR="004714BF">
        <w:rPr>
          <w:lang w:val="en-GB"/>
        </w:rPr>
        <w:t>North-</w:t>
      </w:r>
      <w:r w:rsidR="007B4A15">
        <w:rPr>
          <w:lang w:val="en-GB"/>
        </w:rPr>
        <w:t>E</w:t>
      </w:r>
      <w:r w:rsidR="004714BF">
        <w:rPr>
          <w:lang w:val="en-GB"/>
        </w:rPr>
        <w:t xml:space="preserve">ast and Central Italy whit a prominent role of Lombardy, Veneto, Emilia-Romagna, Tuscany and Umbria Regions. </w:t>
      </w:r>
      <w:r w:rsidR="000C259A">
        <w:rPr>
          <w:lang w:val="en-GB"/>
        </w:rPr>
        <w:t>In general, recent internal migrations</w:t>
      </w:r>
      <w:r w:rsidR="007B4A15">
        <w:rPr>
          <w:lang w:val="en-GB"/>
        </w:rPr>
        <w:t>,</w:t>
      </w:r>
      <w:r w:rsidR="000C259A">
        <w:rPr>
          <w:lang w:val="en-GB"/>
        </w:rPr>
        <w:t xml:space="preserve"> “because of the relevant social and economic changes occurred in Italy, progressively became shorter in terms of both distances and durations” (cit., p. 4). </w:t>
      </w:r>
      <w:r w:rsidR="00921A21">
        <w:rPr>
          <w:lang w:val="en-GB"/>
        </w:rPr>
        <w:t>Nevertheless, South-</w:t>
      </w:r>
      <w:r w:rsidR="007B4A15">
        <w:rPr>
          <w:lang w:val="en-GB"/>
        </w:rPr>
        <w:t>N</w:t>
      </w:r>
      <w:r w:rsidR="00921A21">
        <w:rPr>
          <w:lang w:val="en-GB"/>
        </w:rPr>
        <w:t xml:space="preserve">orth flow is </w:t>
      </w:r>
      <w:r w:rsidR="006073C9">
        <w:rPr>
          <w:lang w:val="en-GB"/>
        </w:rPr>
        <w:t xml:space="preserve">absolutely </w:t>
      </w:r>
      <w:r w:rsidR="00921A21">
        <w:rPr>
          <w:lang w:val="en-GB"/>
        </w:rPr>
        <w:t xml:space="preserve">the distinguishing feature of recent internal migration in Italy. </w:t>
      </w:r>
      <w:r w:rsidR="00921A21" w:rsidRPr="005763ED">
        <w:rPr>
          <w:lang w:val="en-GB"/>
        </w:rPr>
        <w:t xml:space="preserve">In fact, “between </w:t>
      </w:r>
      <w:r w:rsidR="00FA559F" w:rsidRPr="005763ED">
        <w:rPr>
          <w:lang w:val="en-GB"/>
        </w:rPr>
        <w:t>1990 an</w:t>
      </w:r>
      <w:r w:rsidR="00921A21" w:rsidRPr="005763ED">
        <w:rPr>
          <w:lang w:val="en-GB"/>
        </w:rPr>
        <w:t xml:space="preserve">d </w:t>
      </w:r>
      <w:r w:rsidR="00FA559F" w:rsidRPr="005763ED">
        <w:rPr>
          <w:lang w:val="en-GB"/>
        </w:rPr>
        <w:t>2009</w:t>
      </w:r>
      <w:r w:rsidR="00AF308F" w:rsidRPr="005763ED">
        <w:rPr>
          <w:lang w:val="en-GB"/>
        </w:rPr>
        <w:t xml:space="preserve">, about 2,385,000 individuals </w:t>
      </w:r>
      <w:r w:rsidR="005763ED" w:rsidRPr="005763ED">
        <w:rPr>
          <w:lang w:val="en-GB"/>
        </w:rPr>
        <w:t xml:space="preserve">from the South have </w:t>
      </w:r>
      <w:r w:rsidR="005763ED" w:rsidRPr="005763ED">
        <w:rPr>
          <w:rFonts w:cstheme="minorHAnsi"/>
          <w:lang w:val="en-GB"/>
        </w:rPr>
        <w:t>migrated in the North of Italy. Italy is a country where there has been a long history of</w:t>
      </w:r>
      <w:r w:rsidR="005763ED">
        <w:rPr>
          <w:rFonts w:cstheme="minorHAnsi"/>
          <w:lang w:val="en-GB"/>
        </w:rPr>
        <w:t xml:space="preserve"> </w:t>
      </w:r>
      <w:r w:rsidR="005763ED" w:rsidRPr="005763ED">
        <w:rPr>
          <w:rFonts w:cstheme="minorHAnsi"/>
          <w:lang w:val="en-GB"/>
        </w:rPr>
        <w:t>immigration; but in recent years there has been a considerable influx of high skilled migrants from the South</w:t>
      </w:r>
      <w:r w:rsidR="005763ED">
        <w:rPr>
          <w:rFonts w:cstheme="minorHAnsi"/>
          <w:lang w:val="en-GB"/>
        </w:rPr>
        <w:t xml:space="preserve"> </w:t>
      </w:r>
      <w:r w:rsidR="005763ED" w:rsidRPr="005763ED">
        <w:rPr>
          <w:rFonts w:cstheme="minorHAnsi"/>
          <w:lang w:val="en-GB"/>
        </w:rPr>
        <w:t xml:space="preserve">to the North of Italy. According to </w:t>
      </w:r>
      <w:proofErr w:type="spellStart"/>
      <w:r w:rsidR="005763ED" w:rsidRPr="005763ED">
        <w:rPr>
          <w:rFonts w:cstheme="minorHAnsi"/>
          <w:lang w:val="en-GB"/>
        </w:rPr>
        <w:t>Mocetti</w:t>
      </w:r>
      <w:proofErr w:type="spellEnd"/>
      <w:r w:rsidR="005763ED" w:rsidRPr="005763ED">
        <w:rPr>
          <w:rFonts w:cstheme="minorHAnsi"/>
          <w:lang w:val="en-GB"/>
        </w:rPr>
        <w:t xml:space="preserve"> and </w:t>
      </w:r>
      <w:proofErr w:type="spellStart"/>
      <w:r w:rsidR="005763ED" w:rsidRPr="005763ED">
        <w:rPr>
          <w:rFonts w:cstheme="minorHAnsi"/>
          <w:lang w:val="en-GB"/>
        </w:rPr>
        <w:t>Porello</w:t>
      </w:r>
      <w:proofErr w:type="spellEnd"/>
      <w:r w:rsidR="005763ED" w:rsidRPr="005763ED">
        <w:rPr>
          <w:rFonts w:cstheme="minorHAnsi"/>
          <w:lang w:val="en-GB"/>
        </w:rPr>
        <w:t xml:space="preserve"> (2010a), between 2000 and 2005 the net loss of</w:t>
      </w:r>
      <w:r w:rsidR="005763ED">
        <w:rPr>
          <w:rFonts w:cstheme="minorHAnsi"/>
          <w:lang w:val="en-GB"/>
        </w:rPr>
        <w:t xml:space="preserve"> </w:t>
      </w:r>
      <w:r w:rsidR="005763ED" w:rsidRPr="000936D0">
        <w:rPr>
          <w:rFonts w:cstheme="minorHAnsi"/>
          <w:lang w:val="en-GB"/>
        </w:rPr>
        <w:t>graduates in the Southern regions, in terms of transfers to the North-Centre, amounted to 50,000 units against 20,000 units for the entire period of the 1990s” (</w:t>
      </w:r>
      <w:proofErr w:type="spellStart"/>
      <w:r w:rsidR="005763ED" w:rsidRPr="000936D0">
        <w:rPr>
          <w:rFonts w:cstheme="minorHAnsi"/>
          <w:lang w:val="en-GB"/>
        </w:rPr>
        <w:t>Celi</w:t>
      </w:r>
      <w:proofErr w:type="spellEnd"/>
      <w:r w:rsidR="005763ED" w:rsidRPr="000936D0">
        <w:rPr>
          <w:rFonts w:cstheme="minorHAnsi"/>
          <w:lang w:val="en-GB"/>
        </w:rPr>
        <w:t xml:space="preserve"> and Testa, 2016a).</w:t>
      </w:r>
      <w:r w:rsidR="002E7D4D" w:rsidRPr="000936D0">
        <w:rPr>
          <w:rFonts w:cstheme="minorHAnsi"/>
          <w:lang w:val="en-GB"/>
        </w:rPr>
        <w:t xml:space="preserve"> The analysis of this trend on the basis of the relationship</w:t>
      </w:r>
      <w:r w:rsidR="0064377D" w:rsidRPr="000936D0">
        <w:rPr>
          <w:rFonts w:cstheme="minorHAnsi"/>
          <w:lang w:val="en-GB"/>
        </w:rPr>
        <w:t xml:space="preserve"> between “how the upgrading effect of international trade on skill composition of the employed labour force works in Italy and how this process affects internal mobility …. </w:t>
      </w:r>
      <w:r w:rsidR="00E37304" w:rsidRPr="000936D0">
        <w:rPr>
          <w:rFonts w:cstheme="minorHAnsi"/>
          <w:lang w:val="en-GB"/>
        </w:rPr>
        <w:t>suggests that while the decision of migrating for old people is significantly affected by personal and family safety, the decision of emigration for young people is affected by more dynamic and productive context</w:t>
      </w:r>
      <w:r w:rsidR="00E94568" w:rsidRPr="000936D0">
        <w:rPr>
          <w:rFonts w:cstheme="minorHAnsi"/>
          <w:lang w:val="en-GB"/>
        </w:rPr>
        <w:t xml:space="preserve">. </w:t>
      </w:r>
      <w:r w:rsidR="00E37304" w:rsidRPr="000936D0">
        <w:rPr>
          <w:rFonts w:cstheme="minorHAnsi"/>
          <w:lang w:val="en-GB"/>
        </w:rPr>
        <w:t>Furthermore, the estimates</w:t>
      </w:r>
      <w:r w:rsidR="007B4A15">
        <w:rPr>
          <w:rFonts w:cstheme="minorHAnsi"/>
          <w:lang w:val="en-GB"/>
        </w:rPr>
        <w:t xml:space="preserve"> </w:t>
      </w:r>
      <w:r w:rsidR="00E37304" w:rsidRPr="000936D0">
        <w:rPr>
          <w:rFonts w:cstheme="minorHAnsi"/>
          <w:lang w:val="en-GB"/>
        </w:rPr>
        <w:t>show that export capacity and unemployment rate differential affect significantly the decision of migrating</w:t>
      </w:r>
      <w:r w:rsidR="00E94568" w:rsidRPr="000936D0">
        <w:rPr>
          <w:rFonts w:cstheme="minorHAnsi"/>
          <w:lang w:val="en-GB"/>
        </w:rPr>
        <w:t xml:space="preserve"> </w:t>
      </w:r>
      <w:r w:rsidR="00E37304" w:rsidRPr="000936D0">
        <w:rPr>
          <w:rFonts w:cstheme="minorHAnsi"/>
          <w:lang w:val="en-GB"/>
        </w:rPr>
        <w:t>of graduate people, suggesting that graduate people move in search for higher productive and dynamic</w:t>
      </w:r>
      <w:r w:rsidR="00E94568" w:rsidRPr="000936D0">
        <w:rPr>
          <w:rFonts w:cstheme="minorHAnsi"/>
          <w:lang w:val="en-GB"/>
        </w:rPr>
        <w:t xml:space="preserve"> </w:t>
      </w:r>
      <w:r w:rsidR="00E37304" w:rsidRPr="000936D0">
        <w:rPr>
          <w:rFonts w:cstheme="minorHAnsi"/>
          <w:lang w:val="en-GB"/>
        </w:rPr>
        <w:t>context</w:t>
      </w:r>
      <w:r w:rsidR="00E94568" w:rsidRPr="000936D0">
        <w:rPr>
          <w:rFonts w:cstheme="minorHAnsi"/>
          <w:lang w:val="en-GB"/>
        </w:rPr>
        <w:t>”</w:t>
      </w:r>
      <w:r w:rsidR="007B4A15">
        <w:rPr>
          <w:rFonts w:cstheme="minorHAnsi"/>
          <w:lang w:val="en-GB"/>
        </w:rPr>
        <w:t xml:space="preserve"> (</w:t>
      </w:r>
      <w:r w:rsidR="007B4A15" w:rsidRPr="007B4A15">
        <w:rPr>
          <w:rFonts w:cstheme="minorHAnsi"/>
          <w:i/>
          <w:lang w:val="en-GB"/>
        </w:rPr>
        <w:t>Ibid.</w:t>
      </w:r>
      <w:r w:rsidR="007B4A15">
        <w:rPr>
          <w:rFonts w:cstheme="minorHAnsi"/>
          <w:lang w:val="en-GB"/>
        </w:rPr>
        <w:t>)</w:t>
      </w:r>
      <w:r w:rsidR="00E37304" w:rsidRPr="000936D0">
        <w:rPr>
          <w:rFonts w:cstheme="minorHAnsi"/>
          <w:lang w:val="en-GB"/>
        </w:rPr>
        <w:t>.</w:t>
      </w:r>
    </w:p>
    <w:p w:rsidR="00E94568" w:rsidRPr="000936D0" w:rsidRDefault="00E94568" w:rsidP="00E94568">
      <w:pPr>
        <w:autoSpaceDE w:val="0"/>
        <w:autoSpaceDN w:val="0"/>
        <w:adjustRightInd w:val="0"/>
        <w:spacing w:after="0"/>
        <w:jc w:val="both"/>
        <w:rPr>
          <w:rFonts w:cstheme="minorHAnsi"/>
          <w:lang w:val="en-GB"/>
        </w:rPr>
      </w:pPr>
    </w:p>
    <w:p w:rsidR="00A359F8" w:rsidRDefault="00F75EDF" w:rsidP="00906D4D">
      <w:pPr>
        <w:spacing w:after="0"/>
        <w:jc w:val="both"/>
        <w:rPr>
          <w:rFonts w:cstheme="minorHAnsi"/>
          <w:lang w:val="en-GB"/>
        </w:rPr>
      </w:pPr>
      <w:r w:rsidRPr="000936D0">
        <w:rPr>
          <w:lang w:val="en-GB"/>
        </w:rPr>
        <w:t>Therefore</w:t>
      </w:r>
      <w:r w:rsidR="00E83D81" w:rsidRPr="000936D0">
        <w:rPr>
          <w:lang w:val="en-GB"/>
        </w:rPr>
        <w:t xml:space="preserve"> (</w:t>
      </w:r>
      <w:proofErr w:type="spellStart"/>
      <w:r w:rsidRPr="000936D0">
        <w:rPr>
          <w:lang w:val="en-GB"/>
        </w:rPr>
        <w:t>Mocetti</w:t>
      </w:r>
      <w:proofErr w:type="spellEnd"/>
      <w:r w:rsidRPr="000936D0">
        <w:rPr>
          <w:lang w:val="en-GB"/>
        </w:rPr>
        <w:t xml:space="preserve"> and </w:t>
      </w:r>
      <w:proofErr w:type="spellStart"/>
      <w:r w:rsidRPr="000936D0">
        <w:rPr>
          <w:lang w:val="en-GB"/>
        </w:rPr>
        <w:t>Porello</w:t>
      </w:r>
      <w:proofErr w:type="spellEnd"/>
      <w:r w:rsidR="000C3CF0" w:rsidRPr="000936D0">
        <w:rPr>
          <w:lang w:val="en-GB"/>
        </w:rPr>
        <w:t xml:space="preserve">, </w:t>
      </w:r>
      <w:r w:rsidRPr="000936D0">
        <w:rPr>
          <w:lang w:val="en-GB"/>
        </w:rPr>
        <w:t>2010</w:t>
      </w:r>
      <w:r w:rsidR="000C3CF0" w:rsidRPr="000936D0">
        <w:rPr>
          <w:lang w:val="en-GB"/>
        </w:rPr>
        <w:t>, p. 1</w:t>
      </w:r>
      <w:r w:rsidRPr="000936D0">
        <w:rPr>
          <w:lang w:val="en-GB"/>
        </w:rPr>
        <w:t xml:space="preserve">), </w:t>
      </w:r>
      <w:r w:rsidR="009E767E" w:rsidRPr="000936D0">
        <w:rPr>
          <w:lang w:val="en-GB"/>
        </w:rPr>
        <w:t>with reference to the recent South to North</w:t>
      </w:r>
      <w:r w:rsidR="009E767E">
        <w:rPr>
          <w:lang w:val="en-GB"/>
        </w:rPr>
        <w:t xml:space="preserve"> </w:t>
      </w:r>
      <w:r w:rsidR="00E83D81">
        <w:rPr>
          <w:lang w:val="en-GB"/>
        </w:rPr>
        <w:t>internal migration</w:t>
      </w:r>
      <w:r w:rsidR="007B4A15">
        <w:rPr>
          <w:lang w:val="en-GB"/>
        </w:rPr>
        <w:t>s</w:t>
      </w:r>
      <w:r w:rsidR="00E83D81">
        <w:rPr>
          <w:lang w:val="en-GB"/>
        </w:rPr>
        <w:t xml:space="preserve">, “the distinguishing element in the last decade is the increase of </w:t>
      </w:r>
      <w:r w:rsidR="000C3CF0">
        <w:rPr>
          <w:lang w:val="en-GB"/>
        </w:rPr>
        <w:t xml:space="preserve">Southern Italy </w:t>
      </w:r>
      <w:r w:rsidR="00E83D81">
        <w:rPr>
          <w:lang w:val="en-GB"/>
        </w:rPr>
        <w:t xml:space="preserve">migrants with </w:t>
      </w:r>
      <w:r w:rsidR="000C3CF0">
        <w:rPr>
          <w:lang w:val="en-GB"/>
        </w:rPr>
        <w:t xml:space="preserve">high level of formal (educational) qualification”. In general, as partially already underlined, “migration from Southern regions is </w:t>
      </w:r>
      <w:r w:rsidR="00262724">
        <w:rPr>
          <w:lang w:val="en-GB"/>
        </w:rPr>
        <w:t>pulled by the better employment chances existing in Northern regions. This is a clear effect of the persistent difficulties, lack of employment opportunities and delay in development of this area</w:t>
      </w:r>
      <w:r w:rsidR="00E25DF4">
        <w:rPr>
          <w:lang w:val="en-GB"/>
        </w:rPr>
        <w:t xml:space="preserve"> in comparison to the others. </w:t>
      </w:r>
      <w:r w:rsidR="0016669B">
        <w:rPr>
          <w:lang w:val="en-GB"/>
        </w:rPr>
        <w:t xml:space="preserve">In addition, the </w:t>
      </w:r>
      <w:r w:rsidR="0016669B">
        <w:rPr>
          <w:rFonts w:cstheme="minorHAnsi"/>
          <w:lang w:val="en-GB"/>
        </w:rPr>
        <w:t>[</w:t>
      </w:r>
      <w:r w:rsidR="0016669B">
        <w:rPr>
          <w:lang w:val="en-GB"/>
        </w:rPr>
        <w:t>South-North</w:t>
      </w:r>
      <w:r w:rsidR="0016669B">
        <w:rPr>
          <w:rFonts w:cstheme="minorHAnsi"/>
          <w:lang w:val="en-GB"/>
        </w:rPr>
        <w:t>]</w:t>
      </w:r>
      <w:r w:rsidR="0016669B">
        <w:rPr>
          <w:lang w:val="en-GB"/>
        </w:rPr>
        <w:t xml:space="preserve"> migration upswing of the late 90s’ might be due to the diminution of employment in the public sector together with the reduction of houses’ prices between the two areas of Italy. In the first decade of 2000, on the opposite, the relevant increase of houses’ prices in North and Central Italy counted for about 1/3 of migration</w:t>
      </w:r>
      <w:r w:rsidR="001E2F54">
        <w:rPr>
          <w:lang w:val="en-GB"/>
        </w:rPr>
        <w:t>s’ slowdown” (cit., p. 33). I</w:t>
      </w:r>
      <w:r w:rsidR="00E92189">
        <w:rPr>
          <w:lang w:val="en-GB"/>
        </w:rPr>
        <w:t xml:space="preserve">n addition, in the recent years, </w:t>
      </w:r>
      <w:r w:rsidR="00231FA8">
        <w:rPr>
          <w:lang w:val="en-GB"/>
        </w:rPr>
        <w:t xml:space="preserve">“the diffusion of fixed-term contracts, mostly involving young entering labour markets for the first time, dissuaded </w:t>
      </w:r>
      <w:r w:rsidR="00543369">
        <w:rPr>
          <w:lang w:val="en-GB"/>
        </w:rPr>
        <w:t xml:space="preserve">- </w:t>
      </w:r>
      <w:r w:rsidR="00231FA8">
        <w:rPr>
          <w:lang w:val="en-GB"/>
        </w:rPr>
        <w:t xml:space="preserve">at least in the short period </w:t>
      </w:r>
      <w:r w:rsidR="00543369">
        <w:rPr>
          <w:lang w:val="en-GB"/>
        </w:rPr>
        <w:t xml:space="preserve">– permanent </w:t>
      </w:r>
      <w:r w:rsidR="00891DFF">
        <w:rPr>
          <w:lang w:val="en-GB"/>
        </w:rPr>
        <w:t xml:space="preserve">transfers in favour of temporary ones (…). </w:t>
      </w:r>
      <w:proofErr w:type="gramStart"/>
      <w:r w:rsidR="00891DFF">
        <w:rPr>
          <w:lang w:val="en-GB"/>
        </w:rPr>
        <w:t>Also</w:t>
      </w:r>
      <w:proofErr w:type="gramEnd"/>
      <w:r w:rsidR="00891DFF">
        <w:rPr>
          <w:lang w:val="en-GB"/>
        </w:rPr>
        <w:t xml:space="preserve"> </w:t>
      </w:r>
      <w:r w:rsidR="007C3ED6">
        <w:rPr>
          <w:lang w:val="en-GB"/>
        </w:rPr>
        <w:t xml:space="preserve">immigration </w:t>
      </w:r>
      <w:r w:rsidR="00D93689">
        <w:rPr>
          <w:rFonts w:cstheme="minorHAnsi"/>
          <w:lang w:val="en-GB"/>
        </w:rPr>
        <w:t>[</w:t>
      </w:r>
      <w:r w:rsidR="00D93689">
        <w:rPr>
          <w:lang w:val="en-GB"/>
        </w:rPr>
        <w:t xml:space="preserve">from </w:t>
      </w:r>
      <w:r w:rsidR="00D93689">
        <w:rPr>
          <w:lang w:val="en-GB"/>
        </w:rPr>
        <w:lastRenderedPageBreak/>
        <w:t>abroad</w:t>
      </w:r>
      <w:r w:rsidR="00D93689">
        <w:rPr>
          <w:rFonts w:cstheme="minorHAnsi"/>
          <w:lang w:val="en-GB"/>
        </w:rPr>
        <w:t>]</w:t>
      </w:r>
      <w:r w:rsidR="00D93689">
        <w:rPr>
          <w:lang w:val="en-GB"/>
        </w:rPr>
        <w:t xml:space="preserve"> had an impact on Italians’ migration choices: in fact, it had a positive influence on universities’ graduates moving while had a negative influence on less qualified people” (cit., p. 33). </w:t>
      </w:r>
      <w:r w:rsidR="003E5D30">
        <w:rPr>
          <w:lang w:val="en-GB"/>
        </w:rPr>
        <w:t>I</w:t>
      </w:r>
      <w:r w:rsidR="00AF1EF4">
        <w:rPr>
          <w:lang w:val="en-GB"/>
        </w:rPr>
        <w:t xml:space="preserve">t is quite evident </w:t>
      </w:r>
      <w:r w:rsidR="00E43ECE">
        <w:rPr>
          <w:lang w:val="en-GB"/>
        </w:rPr>
        <w:t xml:space="preserve">from what has just been presented </w:t>
      </w:r>
      <w:r w:rsidR="00AF1EF4">
        <w:rPr>
          <w:lang w:val="en-GB"/>
        </w:rPr>
        <w:t xml:space="preserve">that </w:t>
      </w:r>
      <w:r w:rsidR="00E43ECE">
        <w:rPr>
          <w:lang w:val="en-GB"/>
        </w:rPr>
        <w:t xml:space="preserve">the Vocational Training System (but neither the education system as a whole) is never mentioned as one relevant factor for </w:t>
      </w:r>
      <w:r w:rsidR="00BA41A4" w:rsidRPr="00BA46F2">
        <w:rPr>
          <w:lang w:val="en-GB"/>
        </w:rPr>
        <w:t>internal migration or m</w:t>
      </w:r>
      <w:r w:rsidR="00BA41A4" w:rsidRPr="00BA46F2">
        <w:rPr>
          <w:rFonts w:cstheme="minorHAnsi"/>
          <w:lang w:val="en-GB"/>
        </w:rPr>
        <w:t xml:space="preserve">obility. This is also confirmed by </w:t>
      </w:r>
      <w:proofErr w:type="spellStart"/>
      <w:r w:rsidR="00BA41A4" w:rsidRPr="00BA46F2">
        <w:rPr>
          <w:rFonts w:cstheme="minorHAnsi"/>
          <w:lang w:val="en-GB"/>
        </w:rPr>
        <w:t>Celi</w:t>
      </w:r>
      <w:proofErr w:type="spellEnd"/>
      <w:r w:rsidR="00BA41A4" w:rsidRPr="00BA46F2">
        <w:rPr>
          <w:rFonts w:cstheme="minorHAnsi"/>
          <w:lang w:val="en-GB"/>
        </w:rPr>
        <w:t xml:space="preserve"> e Testa (2016b</w:t>
      </w:r>
      <w:r w:rsidR="00A0525A" w:rsidRPr="00BA46F2">
        <w:rPr>
          <w:rFonts w:cstheme="minorHAnsi"/>
          <w:lang w:val="en-GB"/>
        </w:rPr>
        <w:t>, pp.</w:t>
      </w:r>
      <w:r w:rsidR="007B4A15">
        <w:rPr>
          <w:rFonts w:cstheme="minorHAnsi"/>
          <w:lang w:val="en-GB"/>
        </w:rPr>
        <w:t xml:space="preserve"> </w:t>
      </w:r>
      <w:r w:rsidR="00A0525A" w:rsidRPr="00BA46F2">
        <w:rPr>
          <w:rFonts w:cstheme="minorHAnsi"/>
          <w:lang w:val="en-GB"/>
        </w:rPr>
        <w:t>4-5</w:t>
      </w:r>
      <w:r w:rsidR="00BA41A4" w:rsidRPr="00BA46F2">
        <w:rPr>
          <w:rFonts w:cstheme="minorHAnsi"/>
          <w:lang w:val="en-GB"/>
        </w:rPr>
        <w:t xml:space="preserve">) </w:t>
      </w:r>
      <w:r w:rsidR="00906D4D" w:rsidRPr="00BA46F2">
        <w:rPr>
          <w:rFonts w:cstheme="minorHAnsi"/>
          <w:lang w:val="en-GB"/>
        </w:rPr>
        <w:t>whose</w:t>
      </w:r>
      <w:r w:rsidR="00906D4D" w:rsidRPr="00906D4D">
        <w:rPr>
          <w:rFonts w:cstheme="minorHAnsi"/>
          <w:lang w:val="en-GB"/>
        </w:rPr>
        <w:t xml:space="preserve"> reconstruction of the</w:t>
      </w:r>
      <w:r w:rsidR="00906D4D" w:rsidRPr="00906D4D">
        <w:rPr>
          <w:rFonts w:cstheme="minorHAnsi"/>
          <w:color w:val="000000"/>
          <w:lang w:val="en-GB"/>
        </w:rPr>
        <w:t xml:space="preserve"> “alternative explanations of the existence of inter-regional migration</w:t>
      </w:r>
      <w:r w:rsidR="00906D4D">
        <w:rPr>
          <w:rFonts w:cstheme="minorHAnsi"/>
          <w:color w:val="000000"/>
          <w:lang w:val="en-GB"/>
        </w:rPr>
        <w:t xml:space="preserve">” include many factors but none of them directly referred to vocational training (or education) </w:t>
      </w:r>
      <w:r w:rsidR="00A359F8">
        <w:rPr>
          <w:rFonts w:cstheme="minorHAnsi"/>
          <w:color w:val="000000"/>
          <w:lang w:val="en-GB"/>
        </w:rPr>
        <w:t xml:space="preserve">except for the “migrants’ higher level of education” </w:t>
      </w:r>
      <w:r w:rsidR="00A0525A">
        <w:rPr>
          <w:rFonts w:cstheme="minorHAnsi"/>
          <w:color w:val="000000"/>
          <w:lang w:val="en-GB"/>
        </w:rPr>
        <w:t>(mentioned factors are the following:</w:t>
      </w:r>
      <w:r w:rsidR="00906D4D" w:rsidRPr="00906D4D">
        <w:rPr>
          <w:rFonts w:cstheme="minorHAnsi"/>
          <w:color w:val="000000"/>
          <w:lang w:val="en-GB"/>
        </w:rPr>
        <w:t xml:space="preserve"> household support and government transfers</w:t>
      </w:r>
      <w:r w:rsidR="00A359F8">
        <w:rPr>
          <w:rFonts w:cstheme="minorHAnsi"/>
          <w:color w:val="000000"/>
          <w:lang w:val="en-GB"/>
        </w:rPr>
        <w:t>;</w:t>
      </w:r>
      <w:r w:rsidR="00906D4D" w:rsidRPr="00906D4D">
        <w:rPr>
          <w:rFonts w:cstheme="minorHAnsi"/>
          <w:color w:val="000000"/>
          <w:lang w:val="en-GB"/>
        </w:rPr>
        <w:t xml:space="preserve"> </w:t>
      </w:r>
      <w:r w:rsidR="00A359F8">
        <w:rPr>
          <w:rFonts w:cstheme="minorHAnsi"/>
          <w:color w:val="000000"/>
          <w:lang w:val="en-GB"/>
        </w:rPr>
        <w:t xml:space="preserve">differences in </w:t>
      </w:r>
      <w:r w:rsidR="00906D4D" w:rsidRPr="00906D4D">
        <w:rPr>
          <w:rFonts w:cstheme="minorHAnsi"/>
          <w:color w:val="000000"/>
          <w:lang w:val="en-GB"/>
        </w:rPr>
        <w:t>housing prices</w:t>
      </w:r>
      <w:r w:rsidR="00A359F8">
        <w:rPr>
          <w:rFonts w:cstheme="minorHAnsi"/>
          <w:color w:val="000000"/>
          <w:lang w:val="en-GB"/>
        </w:rPr>
        <w:t>;</w:t>
      </w:r>
      <w:r w:rsidR="00906D4D" w:rsidRPr="00906D4D">
        <w:rPr>
          <w:rFonts w:cstheme="minorHAnsi"/>
          <w:color w:val="000000"/>
          <w:lang w:val="en-GB"/>
        </w:rPr>
        <w:t xml:space="preserve"> institutional and environmental factors</w:t>
      </w:r>
      <w:r w:rsidR="00A359F8">
        <w:rPr>
          <w:rFonts w:cstheme="minorHAnsi"/>
          <w:color w:val="000000"/>
          <w:lang w:val="en-GB"/>
        </w:rPr>
        <w:t xml:space="preserve"> – such as “</w:t>
      </w:r>
      <w:r w:rsidR="00906D4D" w:rsidRPr="00906D4D">
        <w:rPr>
          <w:rFonts w:cstheme="minorHAnsi"/>
          <w:color w:val="000000"/>
          <w:lang w:val="en-GB"/>
        </w:rPr>
        <w:t xml:space="preserve">to live in cities where the environment is overall more amenable, living and working conditions are better, and professional and social opportunities more </w:t>
      </w:r>
      <w:r w:rsidR="00906D4D" w:rsidRPr="00906D4D">
        <w:rPr>
          <w:rFonts w:cstheme="minorHAnsi"/>
          <w:lang w:val="en-GB"/>
        </w:rPr>
        <w:t>interesting</w:t>
      </w:r>
      <w:r w:rsidR="00A359F8">
        <w:rPr>
          <w:rFonts w:cstheme="minorHAnsi"/>
          <w:lang w:val="en-GB"/>
        </w:rPr>
        <w:t>”, cit., p. 5; the</w:t>
      </w:r>
      <w:r w:rsidR="00906D4D" w:rsidRPr="00906D4D">
        <w:rPr>
          <w:rFonts w:cstheme="minorHAnsi"/>
          <w:lang w:val="en-GB"/>
        </w:rPr>
        <w:t xml:space="preserve"> impact of foreign immigrant flows on natives’ migration</w:t>
      </w:r>
      <w:r w:rsidR="00A359F8">
        <w:rPr>
          <w:rFonts w:cstheme="minorHAnsi"/>
          <w:lang w:val="en-GB"/>
        </w:rPr>
        <w:t xml:space="preserve"> – where “</w:t>
      </w:r>
      <w:r w:rsidR="00906D4D" w:rsidRPr="00906D4D">
        <w:rPr>
          <w:rFonts w:cstheme="minorHAnsi"/>
          <w:lang w:val="en-GB"/>
        </w:rPr>
        <w:t>the prevalence of immigrants in parts of the North of Italy induces a higher demand for highly educated migrants, while it depresses the labour demand for unskilled migrants</w:t>
      </w:r>
      <w:r w:rsidR="00A359F8">
        <w:rPr>
          <w:rFonts w:cstheme="minorHAnsi"/>
          <w:lang w:val="en-GB"/>
        </w:rPr>
        <w:t>”, cit., p. 5).</w:t>
      </w:r>
    </w:p>
    <w:p w:rsidR="00A359F8" w:rsidRDefault="00A359F8" w:rsidP="00906D4D">
      <w:pPr>
        <w:spacing w:after="0"/>
        <w:jc w:val="both"/>
        <w:rPr>
          <w:rFonts w:cstheme="minorHAnsi"/>
          <w:lang w:val="en-GB"/>
        </w:rPr>
      </w:pPr>
    </w:p>
    <w:p w:rsidR="00BA46F2" w:rsidRDefault="00A73963" w:rsidP="007E6097">
      <w:pPr>
        <w:spacing w:after="0"/>
        <w:jc w:val="both"/>
        <w:rPr>
          <w:rFonts w:cstheme="minorHAnsi"/>
          <w:lang w:val="en-GB"/>
        </w:rPr>
      </w:pPr>
      <w:r>
        <w:rPr>
          <w:rFonts w:cstheme="minorHAnsi"/>
          <w:lang w:val="en-GB"/>
        </w:rPr>
        <w:t xml:space="preserve">The </w:t>
      </w:r>
      <w:r w:rsidR="0063617A">
        <w:rPr>
          <w:rFonts w:cstheme="minorHAnsi"/>
          <w:lang w:val="en-GB"/>
        </w:rPr>
        <w:t xml:space="preserve">South-North migrations involving – as just evidenced </w:t>
      </w:r>
      <w:r w:rsidR="00BF7D6F">
        <w:rPr>
          <w:rFonts w:cstheme="minorHAnsi"/>
          <w:lang w:val="en-GB"/>
        </w:rPr>
        <w:t>–</w:t>
      </w:r>
      <w:r w:rsidR="0063617A">
        <w:rPr>
          <w:rFonts w:cstheme="minorHAnsi"/>
          <w:lang w:val="en-GB"/>
        </w:rPr>
        <w:t xml:space="preserve"> </w:t>
      </w:r>
      <w:r w:rsidR="00BF7D6F">
        <w:rPr>
          <w:rFonts w:cstheme="minorHAnsi"/>
          <w:lang w:val="en-GB"/>
        </w:rPr>
        <w:t>mostly young</w:t>
      </w:r>
      <w:r w:rsidR="0060090A">
        <w:rPr>
          <w:rFonts w:cstheme="minorHAnsi"/>
          <w:lang w:val="en-GB"/>
        </w:rPr>
        <w:t xml:space="preserve"> with medium-high qualifications (that is with upper secondary or tertiary, academic or non-academic, </w:t>
      </w:r>
      <w:r w:rsidR="0060090A" w:rsidRPr="00BA46F2">
        <w:rPr>
          <w:rFonts w:cstheme="minorHAnsi"/>
          <w:lang w:val="en-GB"/>
        </w:rPr>
        <w:t>qualifications) depletes Southern regions human capital (</w:t>
      </w:r>
      <w:proofErr w:type="spellStart"/>
      <w:r w:rsidR="0060090A" w:rsidRPr="00BA46F2">
        <w:rPr>
          <w:rFonts w:cstheme="minorHAnsi"/>
          <w:lang w:val="en-GB"/>
        </w:rPr>
        <w:t>Svimez</w:t>
      </w:r>
      <w:proofErr w:type="spellEnd"/>
      <w:r w:rsidR="0060090A" w:rsidRPr="00BA46F2">
        <w:rPr>
          <w:rFonts w:cstheme="minorHAnsi"/>
          <w:lang w:val="en-GB"/>
        </w:rPr>
        <w:t xml:space="preserve">, 2017 e 2018). </w:t>
      </w:r>
      <w:r w:rsidR="00BA46F2">
        <w:rPr>
          <w:rFonts w:cstheme="minorHAnsi"/>
          <w:lang w:val="en-GB"/>
        </w:rPr>
        <w:t>In the last 16 years, “1,833,000 residents left Southern regions”, 50% of them between 15 and 34 years-old, almost 20% with an academic degree: 85% of them moved in other areas of Italy and only 15% went abroad (</w:t>
      </w:r>
      <w:proofErr w:type="spellStart"/>
      <w:r w:rsidR="00BA46F2">
        <w:rPr>
          <w:rFonts w:cstheme="minorHAnsi"/>
          <w:lang w:val="en-GB"/>
        </w:rPr>
        <w:t>Svimez</w:t>
      </w:r>
      <w:proofErr w:type="spellEnd"/>
      <w:r w:rsidR="00BA46F2">
        <w:rPr>
          <w:rFonts w:cstheme="minorHAnsi"/>
          <w:lang w:val="en-GB"/>
        </w:rPr>
        <w:t xml:space="preserve">, 2018, p. 29): “almost 800,000 of them did not return in Southern regions anymore”. The migrants moving from South to North-Centre of Italy are – as confirmed also by </w:t>
      </w:r>
      <w:r w:rsidR="007B4A15">
        <w:rPr>
          <w:rFonts w:cstheme="minorHAnsi"/>
          <w:lang w:val="en-GB"/>
        </w:rPr>
        <w:t xml:space="preserve">very </w:t>
      </w:r>
      <w:r w:rsidR="00BA46F2">
        <w:rPr>
          <w:rFonts w:cstheme="minorHAnsi"/>
          <w:lang w:val="en-GB"/>
        </w:rPr>
        <w:t>recent data (</w:t>
      </w:r>
      <w:proofErr w:type="spellStart"/>
      <w:r w:rsidR="00BA46F2">
        <w:rPr>
          <w:rFonts w:cstheme="minorHAnsi"/>
          <w:lang w:val="en-GB"/>
        </w:rPr>
        <w:t>Svimez</w:t>
      </w:r>
      <w:proofErr w:type="spellEnd"/>
      <w:r w:rsidR="00BA46F2">
        <w:rPr>
          <w:rFonts w:cstheme="minorHAnsi"/>
          <w:lang w:val="en-GB"/>
        </w:rPr>
        <w:t>, 2018, p. 30) – “for the largest share in working age: those between 25-29 years old and between 30-34 years old presents, in 2016, a negative balance of – respectively – 13,000 and 10,000 units. The increase of migrants with high qualifications involves all the Southern regions [….]: the rate of academic graduates moving to North-Centre is always higher than 27% of the total migrants. Finally, the employed formally residents in Southern regions but working in North-Centre regions or abroad increased by 19.1% in 2016, therefore explaining about ¼ of the total increase of employed in Southern Italy”</w:t>
      </w:r>
      <w:r w:rsidR="00BA46F2">
        <w:rPr>
          <w:rStyle w:val="Appelnotedebasdep"/>
          <w:rFonts w:cstheme="minorHAnsi"/>
          <w:lang w:val="en-GB"/>
        </w:rPr>
        <w:footnoteReference w:id="4"/>
      </w:r>
      <w:r w:rsidR="00BA46F2">
        <w:rPr>
          <w:rFonts w:cstheme="minorHAnsi"/>
          <w:lang w:val="en-GB"/>
        </w:rPr>
        <w:t>. Focusing on academic graduates and considering the average per-capita cost of a tertiary level course (about 130,000 Euro in accordance to OCSE</w:t>
      </w:r>
      <w:r w:rsidR="007E6097">
        <w:rPr>
          <w:rFonts w:cstheme="minorHAnsi"/>
          <w:lang w:val="en-GB"/>
        </w:rPr>
        <w:t xml:space="preserve">: </w:t>
      </w:r>
      <w:proofErr w:type="spellStart"/>
      <w:r w:rsidR="007E6097">
        <w:rPr>
          <w:rFonts w:cstheme="minorHAnsi"/>
          <w:lang w:val="en-GB"/>
        </w:rPr>
        <w:t>Svimez</w:t>
      </w:r>
      <w:proofErr w:type="spellEnd"/>
      <w:r w:rsidR="007E6097">
        <w:rPr>
          <w:rFonts w:cstheme="minorHAnsi"/>
          <w:lang w:val="en-GB"/>
        </w:rPr>
        <w:t>, 2017, p. 29</w:t>
      </w:r>
      <w:r w:rsidR="00BA46F2">
        <w:rPr>
          <w:rFonts w:cstheme="minorHAnsi"/>
          <w:lang w:val="en-GB"/>
        </w:rPr>
        <w:t xml:space="preserve">), the “loss of human capital in Southern regions [due to migrations] corresponds to approximately 30 Billions of Euro (which may increase up to 40 Billion including all the regionalized per-capita public expense)” (cit., p. 30). These figures do not consider people officially living in Southern regions but permanently living in Northern Italy (long-range commuters, more than 50,000 graduates in 2016); do not consider that, differently from the past, there are no financial resources going back as remittance (because very frequently Southern families use their own funding for supporting young graduates to live in the expensive Northern cities); do not consider “the indirect effects of loss for South and benefits for North-Centre in terms of competitiveness and productivity </w:t>
      </w:r>
      <w:r w:rsidR="00BA46F2">
        <w:rPr>
          <w:rFonts w:cstheme="minorHAnsi"/>
          <w:lang w:val="en-GB"/>
        </w:rPr>
        <w:lastRenderedPageBreak/>
        <w:t>due to qualified labour force mobility” (cit., p. 31); finally, they do not consider “young [Southern] with upper secondary education qualifications who move to North-Centre universities and are likely to remain [in North-Centre areas] after benefitting from upper secondary education costs in Southern Italy</w:t>
      </w:r>
      <w:r w:rsidR="00BA46F2">
        <w:rPr>
          <w:rStyle w:val="Appelnotedebasdep"/>
          <w:rFonts w:cstheme="minorHAnsi"/>
          <w:lang w:val="en-GB"/>
        </w:rPr>
        <w:footnoteReference w:id="5"/>
      </w:r>
      <w:r w:rsidR="00BA46F2">
        <w:rPr>
          <w:rFonts w:cstheme="minorHAnsi"/>
          <w:lang w:val="en-GB"/>
        </w:rPr>
        <w:t>” (</w:t>
      </w:r>
      <w:r w:rsidR="00BA46F2" w:rsidRPr="00327F8E">
        <w:rPr>
          <w:rFonts w:cstheme="minorHAnsi"/>
          <w:i/>
          <w:lang w:val="en-GB"/>
        </w:rPr>
        <w:t>Ibid</w:t>
      </w:r>
      <w:r w:rsidR="00327F8E" w:rsidRPr="00327F8E">
        <w:rPr>
          <w:rFonts w:cstheme="minorHAnsi"/>
          <w:i/>
          <w:lang w:val="en-GB"/>
        </w:rPr>
        <w:t>.</w:t>
      </w:r>
      <w:r w:rsidR="00327F8E">
        <w:rPr>
          <w:rFonts w:cstheme="minorHAnsi"/>
          <w:lang w:val="en-GB"/>
        </w:rPr>
        <w:t>)</w:t>
      </w:r>
      <w:r w:rsidR="00BA46F2">
        <w:rPr>
          <w:rFonts w:cstheme="minorHAnsi"/>
          <w:lang w:val="en-GB"/>
        </w:rPr>
        <w:t>. In addition (</w:t>
      </w:r>
      <w:proofErr w:type="spellStart"/>
      <w:r w:rsidR="00BA46F2">
        <w:rPr>
          <w:rFonts w:cstheme="minorHAnsi"/>
          <w:lang w:val="en-GB"/>
        </w:rPr>
        <w:t>Svimez</w:t>
      </w:r>
      <w:proofErr w:type="spellEnd"/>
      <w:r w:rsidR="00BA46F2">
        <w:rPr>
          <w:rFonts w:cstheme="minorHAnsi"/>
          <w:lang w:val="en-GB"/>
        </w:rPr>
        <w:t xml:space="preserve"> 2018, p. 19) “the intellectual migrations from South [to North] produces net benefits for North-Centre regions. The graduates’ migration causes a net loss of public expenditure in education of about 2 Billion Euros per-year; the value of public and private consumptions generated by students’ immigration in North-Centre regions is about 3 Billion Euros per year (with a corresponding loss for Southern regions)”.</w:t>
      </w:r>
    </w:p>
    <w:p w:rsidR="00BA0EFC" w:rsidRDefault="00BA0EFC" w:rsidP="00D237F4">
      <w:pPr>
        <w:spacing w:after="0"/>
        <w:jc w:val="both"/>
        <w:rPr>
          <w:rFonts w:cstheme="minorHAnsi"/>
          <w:lang w:val="en-GB"/>
        </w:rPr>
      </w:pPr>
    </w:p>
    <w:p w:rsidR="000419DE" w:rsidRDefault="008D752B" w:rsidP="00D237F4">
      <w:pPr>
        <w:spacing w:after="0"/>
        <w:jc w:val="both"/>
        <w:rPr>
          <w:rFonts w:cstheme="minorHAnsi"/>
          <w:lang w:val="en-GB"/>
        </w:rPr>
      </w:pPr>
      <w:r>
        <w:rPr>
          <w:rFonts w:cstheme="minorHAnsi"/>
          <w:lang w:val="en-GB"/>
        </w:rPr>
        <w:t>Finally, t</w:t>
      </w:r>
      <w:r w:rsidR="00B21C32">
        <w:rPr>
          <w:rFonts w:cstheme="minorHAnsi"/>
          <w:lang w:val="en-GB"/>
        </w:rPr>
        <w:t xml:space="preserve">he Italian National Institute of Statistics (ISTAT) forecasts for the next 50 years </w:t>
      </w:r>
      <w:r w:rsidR="00125133">
        <w:rPr>
          <w:rFonts w:cstheme="minorHAnsi"/>
          <w:lang w:val="en-GB"/>
        </w:rPr>
        <w:t>envisage a relevant reduction of the population in Italy, more accentuated in Southern regions (5 million people</w:t>
      </w:r>
      <w:r w:rsidR="007B4A15">
        <w:rPr>
          <w:rFonts w:cstheme="minorHAnsi"/>
          <w:lang w:val="en-GB"/>
        </w:rPr>
        <w:t xml:space="preserve"> less</w:t>
      </w:r>
      <w:r w:rsidR="00125133">
        <w:rPr>
          <w:rFonts w:cstheme="minorHAnsi"/>
          <w:lang w:val="en-GB"/>
        </w:rPr>
        <w:t>) than in the rest of the Country (</w:t>
      </w:r>
      <w:r w:rsidR="007B4A15">
        <w:rPr>
          <w:rFonts w:cstheme="minorHAnsi"/>
          <w:lang w:val="en-GB"/>
        </w:rPr>
        <w:t>one</w:t>
      </w:r>
      <w:r w:rsidR="00125133">
        <w:rPr>
          <w:rFonts w:cstheme="minorHAnsi"/>
          <w:lang w:val="en-GB"/>
        </w:rPr>
        <w:t xml:space="preserve"> million</w:t>
      </w:r>
      <w:r w:rsidR="007B4A15">
        <w:rPr>
          <w:rFonts w:cstheme="minorHAnsi"/>
          <w:lang w:val="en-GB"/>
        </w:rPr>
        <w:t xml:space="preserve"> less</w:t>
      </w:r>
      <w:r w:rsidR="00125133">
        <w:rPr>
          <w:rFonts w:cstheme="minorHAnsi"/>
          <w:lang w:val="en-GB"/>
        </w:rPr>
        <w:t>) (</w:t>
      </w:r>
      <w:proofErr w:type="spellStart"/>
      <w:r w:rsidR="00125133">
        <w:rPr>
          <w:rFonts w:cstheme="minorHAnsi"/>
          <w:lang w:val="en-GB"/>
        </w:rPr>
        <w:t>Svimez</w:t>
      </w:r>
      <w:proofErr w:type="spellEnd"/>
      <w:r w:rsidR="00125133">
        <w:rPr>
          <w:rFonts w:cstheme="minorHAnsi"/>
          <w:lang w:val="en-GB"/>
        </w:rPr>
        <w:t>, 2018, p. 28).</w:t>
      </w:r>
      <w:r w:rsidR="00096718">
        <w:rPr>
          <w:rFonts w:cstheme="minorHAnsi"/>
          <w:lang w:val="en-GB"/>
        </w:rPr>
        <w:t xml:space="preserve"> In addition, there will probably be a “relevant spatial re-distribution of the existing population in favour of North-Centre Regions. Southern regions will lose an important share of its … 15-64 years old population (-5,278,000 individuals) as a consequence of a persistent migration-related loss” (</w:t>
      </w:r>
      <w:r w:rsidR="00096718" w:rsidRPr="00327F8E">
        <w:rPr>
          <w:rFonts w:cstheme="minorHAnsi"/>
          <w:i/>
          <w:lang w:val="en-GB"/>
        </w:rPr>
        <w:t>Ibid</w:t>
      </w:r>
      <w:r w:rsidR="00327F8E" w:rsidRPr="00327F8E">
        <w:rPr>
          <w:rFonts w:cstheme="minorHAnsi"/>
          <w:i/>
          <w:lang w:val="en-GB"/>
        </w:rPr>
        <w:t>.</w:t>
      </w:r>
      <w:r w:rsidR="00096718">
        <w:rPr>
          <w:rFonts w:cstheme="minorHAnsi"/>
          <w:lang w:val="en-GB"/>
        </w:rPr>
        <w:t xml:space="preserve">). </w:t>
      </w:r>
    </w:p>
    <w:p w:rsidR="0060090A" w:rsidRDefault="001A37C4" w:rsidP="00D237F4">
      <w:pPr>
        <w:spacing w:after="0"/>
        <w:jc w:val="both"/>
        <w:rPr>
          <w:rFonts w:cstheme="minorHAnsi"/>
          <w:lang w:val="en-GB"/>
        </w:rPr>
      </w:pPr>
      <w:r>
        <w:rPr>
          <w:rFonts w:cstheme="minorHAnsi"/>
          <w:lang w:val="en-GB"/>
        </w:rPr>
        <w:t xml:space="preserve"> </w:t>
      </w:r>
      <w:r w:rsidR="001E76DD">
        <w:rPr>
          <w:rFonts w:cstheme="minorHAnsi"/>
          <w:lang w:val="en-GB"/>
        </w:rPr>
        <w:t xml:space="preserve"> </w:t>
      </w:r>
      <w:r w:rsidR="003A4786">
        <w:rPr>
          <w:rFonts w:cstheme="minorHAnsi"/>
          <w:lang w:val="en-GB"/>
        </w:rPr>
        <w:t xml:space="preserve"> </w:t>
      </w:r>
      <w:r w:rsidR="00E57C16">
        <w:rPr>
          <w:rFonts w:cstheme="minorHAnsi"/>
          <w:lang w:val="en-GB"/>
        </w:rPr>
        <w:t xml:space="preserve"> </w:t>
      </w:r>
    </w:p>
    <w:p w:rsidR="002615AF" w:rsidRDefault="002615AF" w:rsidP="00D237F4">
      <w:pPr>
        <w:spacing w:after="0"/>
        <w:rPr>
          <w:b/>
          <w:lang w:val="en-GB"/>
        </w:rPr>
      </w:pPr>
      <w:r w:rsidRPr="002615AF">
        <w:rPr>
          <w:b/>
          <w:lang w:val="en-GB"/>
        </w:rPr>
        <w:t>2.Labour market recent trends in Italy</w:t>
      </w:r>
    </w:p>
    <w:p w:rsidR="00F55722" w:rsidRDefault="009C29AF" w:rsidP="00F55722">
      <w:pPr>
        <w:pStyle w:val="Default"/>
        <w:spacing w:line="276" w:lineRule="auto"/>
        <w:jc w:val="both"/>
        <w:rPr>
          <w:rFonts w:asciiTheme="minorHAnsi" w:hAnsiTheme="minorHAnsi" w:cstheme="minorHAnsi"/>
          <w:sz w:val="22"/>
          <w:szCs w:val="22"/>
          <w:lang w:val="en-GB"/>
        </w:rPr>
      </w:pPr>
      <w:r w:rsidRPr="00F55722">
        <w:rPr>
          <w:rFonts w:asciiTheme="minorHAnsi" w:hAnsiTheme="minorHAnsi" w:cstheme="minorHAnsi"/>
          <w:sz w:val="22"/>
          <w:szCs w:val="22"/>
          <w:lang w:val="en-GB"/>
        </w:rPr>
        <w:t xml:space="preserve">According to the National Institute of Statistics (ISTAT) most recent data on Italian labour </w:t>
      </w:r>
      <w:r w:rsidRPr="008D752B">
        <w:rPr>
          <w:rFonts w:asciiTheme="minorHAnsi" w:hAnsiTheme="minorHAnsi" w:cstheme="minorHAnsi"/>
          <w:sz w:val="22"/>
          <w:szCs w:val="22"/>
          <w:lang w:val="en-GB"/>
        </w:rPr>
        <w:t>market (ISTAT, 2018</w:t>
      </w:r>
      <w:r w:rsidR="00D5718A">
        <w:rPr>
          <w:rFonts w:asciiTheme="minorHAnsi" w:hAnsiTheme="minorHAnsi" w:cstheme="minorHAnsi"/>
          <w:sz w:val="22"/>
          <w:szCs w:val="22"/>
          <w:lang w:val="en-GB"/>
        </w:rPr>
        <w:t>)</w:t>
      </w:r>
      <w:r w:rsidRPr="008D752B">
        <w:rPr>
          <w:rFonts w:asciiTheme="minorHAnsi" w:hAnsiTheme="minorHAnsi" w:cstheme="minorHAnsi"/>
          <w:sz w:val="22"/>
          <w:szCs w:val="22"/>
          <w:lang w:val="en-GB"/>
        </w:rPr>
        <w:t>,</w:t>
      </w:r>
      <w:r w:rsidR="00F55722" w:rsidRPr="008D752B">
        <w:rPr>
          <w:rFonts w:asciiTheme="minorHAnsi" w:hAnsiTheme="minorHAnsi" w:cstheme="minorHAnsi"/>
          <w:sz w:val="22"/>
          <w:szCs w:val="22"/>
          <w:lang w:val="en-GB"/>
        </w:rPr>
        <w:t xml:space="preserve"> “the first quarter of 2018 was</w:t>
      </w:r>
      <w:r w:rsidR="00F55722" w:rsidRPr="00F55722">
        <w:rPr>
          <w:rFonts w:asciiTheme="minorHAnsi" w:hAnsiTheme="minorHAnsi" w:cstheme="minorHAnsi"/>
          <w:sz w:val="22"/>
          <w:szCs w:val="22"/>
          <w:lang w:val="en-GB"/>
        </w:rPr>
        <w:t xml:space="preserve"> characterised by stationary employment compared to the last three months of 2017, in an overall panorama of increasing unemployment and decreasing inactivity</w:t>
      </w:r>
      <w:r w:rsidR="00F55722">
        <w:rPr>
          <w:rFonts w:asciiTheme="minorHAnsi" w:hAnsiTheme="minorHAnsi" w:cstheme="minorHAnsi"/>
          <w:sz w:val="22"/>
          <w:szCs w:val="22"/>
          <w:lang w:val="en-GB"/>
        </w:rPr>
        <w:t>” (cit., p. 1)</w:t>
      </w:r>
      <w:r w:rsidR="00F55722" w:rsidRPr="00F55722">
        <w:rPr>
          <w:rFonts w:asciiTheme="minorHAnsi" w:hAnsiTheme="minorHAnsi" w:cstheme="minorHAnsi"/>
          <w:sz w:val="22"/>
          <w:szCs w:val="22"/>
          <w:lang w:val="en-GB"/>
        </w:rPr>
        <w:t>.</w:t>
      </w:r>
      <w:r w:rsidR="00F55722">
        <w:rPr>
          <w:rFonts w:asciiTheme="minorHAnsi" w:hAnsiTheme="minorHAnsi" w:cstheme="minorHAnsi"/>
          <w:sz w:val="22"/>
          <w:szCs w:val="22"/>
          <w:lang w:val="en-GB"/>
        </w:rPr>
        <w:t xml:space="preserve"> Other relevant elements – basically referred to the first quarter of 2018 - are the following (</w:t>
      </w:r>
      <w:r w:rsidR="00F55722" w:rsidRPr="00327F8E">
        <w:rPr>
          <w:rFonts w:asciiTheme="minorHAnsi" w:hAnsiTheme="minorHAnsi" w:cstheme="minorHAnsi"/>
          <w:i/>
          <w:sz w:val="22"/>
          <w:szCs w:val="22"/>
          <w:lang w:val="en-GB"/>
        </w:rPr>
        <w:t>Ibid</w:t>
      </w:r>
      <w:r w:rsidR="00327F8E" w:rsidRPr="00327F8E">
        <w:rPr>
          <w:rFonts w:asciiTheme="minorHAnsi" w:hAnsiTheme="minorHAnsi" w:cstheme="minorHAnsi"/>
          <w:i/>
          <w:sz w:val="22"/>
          <w:szCs w:val="22"/>
          <w:lang w:val="en-GB"/>
        </w:rPr>
        <w:t>.</w:t>
      </w:r>
      <w:r w:rsidR="00327F8E">
        <w:rPr>
          <w:rFonts w:asciiTheme="minorHAnsi" w:hAnsiTheme="minorHAnsi" w:cstheme="minorHAnsi"/>
          <w:sz w:val="22"/>
          <w:szCs w:val="22"/>
          <w:lang w:val="en-GB"/>
        </w:rPr>
        <w:t>)</w:t>
      </w:r>
      <w:r w:rsidR="00F55722">
        <w:rPr>
          <w:rFonts w:asciiTheme="minorHAnsi" w:hAnsiTheme="minorHAnsi" w:cstheme="minorHAnsi"/>
          <w:sz w:val="22"/>
          <w:szCs w:val="22"/>
          <w:lang w:val="en-GB"/>
        </w:rPr>
        <w:t>:</w:t>
      </w:r>
    </w:p>
    <w:p w:rsidR="00F55722" w:rsidRDefault="00F55722" w:rsidP="00F55722">
      <w:pPr>
        <w:pStyle w:val="Paragraphedeliste"/>
        <w:numPr>
          <w:ilvl w:val="0"/>
          <w:numId w:val="1"/>
        </w:numPr>
        <w:autoSpaceDE w:val="0"/>
        <w:autoSpaceDN w:val="0"/>
        <w:adjustRightInd w:val="0"/>
        <w:spacing w:after="0"/>
        <w:jc w:val="both"/>
        <w:rPr>
          <w:rFonts w:cstheme="minorHAnsi"/>
          <w:color w:val="000000"/>
          <w:lang w:val="en-GB"/>
        </w:rPr>
      </w:pPr>
      <w:r w:rsidRPr="00F55722">
        <w:rPr>
          <w:rFonts w:cstheme="minorHAnsi"/>
          <w:color w:val="000000"/>
          <w:lang w:val="en-GB"/>
        </w:rPr>
        <w:t>employment remained substantially stable compared to the previous quarter, due to the further increase in fixed-term employees (+69 thousand, +2.4%) and the corresponding decrease in both permanent employees (-23 thousand, -0.2%) and self-employed (-37 thousand, -0.7%). The employment rate remained broadly unchanged at 58.2%, too</w:t>
      </w:r>
      <w:r>
        <w:rPr>
          <w:rFonts w:cstheme="minorHAnsi"/>
          <w:color w:val="000000"/>
          <w:lang w:val="en-GB"/>
        </w:rPr>
        <w:t>;</w:t>
      </w:r>
    </w:p>
    <w:p w:rsidR="00F55722" w:rsidRDefault="00F55722" w:rsidP="00F55722">
      <w:pPr>
        <w:pStyle w:val="Paragraphedeliste"/>
        <w:numPr>
          <w:ilvl w:val="0"/>
          <w:numId w:val="1"/>
        </w:numPr>
        <w:autoSpaceDE w:val="0"/>
        <w:autoSpaceDN w:val="0"/>
        <w:adjustRightInd w:val="0"/>
        <w:spacing w:after="0"/>
        <w:jc w:val="both"/>
        <w:rPr>
          <w:rFonts w:cstheme="minorHAnsi"/>
          <w:color w:val="000000"/>
          <w:lang w:val="en-GB"/>
        </w:rPr>
      </w:pPr>
      <w:r>
        <w:rPr>
          <w:rFonts w:cstheme="minorHAnsi"/>
          <w:color w:val="000000"/>
          <w:lang w:val="en-GB"/>
        </w:rPr>
        <w:t>t</w:t>
      </w:r>
      <w:r w:rsidRPr="00F55722">
        <w:rPr>
          <w:rFonts w:cstheme="minorHAnsi"/>
          <w:color w:val="000000"/>
          <w:lang w:val="en-GB"/>
        </w:rPr>
        <w:t>he dynamics over the last year show an increase by 147 thousand employees (+0.6% in one year), limited to fixed-term employees (+385 thousand) against a decline of those on permanent contracts and the self-employed</w:t>
      </w:r>
      <w:r>
        <w:rPr>
          <w:rFonts w:cstheme="minorHAnsi"/>
          <w:color w:val="000000"/>
          <w:lang w:val="en-GB"/>
        </w:rPr>
        <w:t>;</w:t>
      </w:r>
    </w:p>
    <w:p w:rsidR="00F55722" w:rsidRPr="00F55722" w:rsidRDefault="00F55722" w:rsidP="00F55722">
      <w:pPr>
        <w:pStyle w:val="Paragraphedeliste"/>
        <w:numPr>
          <w:ilvl w:val="0"/>
          <w:numId w:val="1"/>
        </w:numPr>
        <w:autoSpaceDE w:val="0"/>
        <w:autoSpaceDN w:val="0"/>
        <w:adjustRightInd w:val="0"/>
        <w:spacing w:after="0"/>
        <w:jc w:val="both"/>
        <w:rPr>
          <w:rFonts w:cstheme="minorHAnsi"/>
          <w:color w:val="000000"/>
          <w:lang w:val="en-GB"/>
        </w:rPr>
      </w:pPr>
      <w:r w:rsidRPr="00F55722">
        <w:rPr>
          <w:rFonts w:cstheme="minorHAnsi"/>
          <w:color w:val="000000"/>
          <w:lang w:val="en-GB"/>
        </w:rPr>
        <w:t>the growth of employment and the related rate for young people aged 15-34 continued, on both the quarterly and yearly bases. The increase in employment, spread across genders and geographical areas, was more intense for women an</w:t>
      </w:r>
      <w:r>
        <w:rPr>
          <w:rFonts w:cstheme="minorHAnsi"/>
          <w:color w:val="000000"/>
          <w:lang w:val="en-GB"/>
        </w:rPr>
        <w:t>d in the South and Islands area;</w:t>
      </w:r>
      <w:r w:rsidRPr="00F55722">
        <w:rPr>
          <w:rFonts w:cstheme="minorHAnsi"/>
          <w:color w:val="000000"/>
          <w:lang w:val="en-GB"/>
        </w:rPr>
        <w:t xml:space="preserve"> </w:t>
      </w:r>
    </w:p>
    <w:p w:rsidR="00F55722" w:rsidRDefault="00F55722" w:rsidP="00F55722">
      <w:pPr>
        <w:pStyle w:val="Paragraphedeliste"/>
        <w:numPr>
          <w:ilvl w:val="0"/>
          <w:numId w:val="1"/>
        </w:numPr>
        <w:autoSpaceDE w:val="0"/>
        <w:autoSpaceDN w:val="0"/>
        <w:adjustRightInd w:val="0"/>
        <w:spacing w:after="0"/>
        <w:jc w:val="both"/>
        <w:rPr>
          <w:rFonts w:cstheme="minorHAnsi"/>
          <w:color w:val="000000"/>
          <w:lang w:val="en-GB"/>
        </w:rPr>
      </w:pPr>
      <w:r w:rsidRPr="00F55722">
        <w:rPr>
          <w:rFonts w:cstheme="minorHAnsi"/>
          <w:color w:val="000000"/>
          <w:lang w:val="en-GB"/>
        </w:rPr>
        <w:t xml:space="preserve">the unemployment rate increased slightly compared to the previous quarter and decreased compared to the previous year, while the rate of inactivity declined moderately in both cases. </w:t>
      </w:r>
      <w:r>
        <w:rPr>
          <w:rFonts w:cstheme="minorHAnsi"/>
          <w:color w:val="000000"/>
          <w:lang w:val="en-GB"/>
        </w:rPr>
        <w:t>F</w:t>
      </w:r>
      <w:r w:rsidRPr="00F55722">
        <w:rPr>
          <w:rFonts w:cstheme="minorHAnsi"/>
          <w:color w:val="000000"/>
          <w:lang w:val="en-GB"/>
        </w:rPr>
        <w:t>or the fourth consecutive quarter</w:t>
      </w:r>
      <w:r>
        <w:rPr>
          <w:rFonts w:cstheme="minorHAnsi"/>
          <w:color w:val="000000"/>
          <w:lang w:val="en-GB"/>
        </w:rPr>
        <w:t xml:space="preserve"> (that is </w:t>
      </w:r>
      <w:proofErr w:type="gramStart"/>
      <w:r>
        <w:rPr>
          <w:rFonts w:cstheme="minorHAnsi"/>
          <w:color w:val="000000"/>
          <w:lang w:val="en-GB"/>
        </w:rPr>
        <w:t>since</w:t>
      </w:r>
      <w:proofErr w:type="gramEnd"/>
      <w:r>
        <w:rPr>
          <w:rFonts w:cstheme="minorHAnsi"/>
          <w:color w:val="000000"/>
          <w:lang w:val="en-GB"/>
        </w:rPr>
        <w:t xml:space="preserve"> one year)</w:t>
      </w:r>
      <w:r w:rsidRPr="00F55722">
        <w:rPr>
          <w:rFonts w:cstheme="minorHAnsi"/>
          <w:color w:val="000000"/>
          <w:lang w:val="en-GB"/>
        </w:rPr>
        <w:t>, the decrease in the number of unemployed continued (-135 thousand in one year, -4.3%). It affected both genders and in about nine cases out of ten young people aged 15-34</w:t>
      </w:r>
      <w:r>
        <w:rPr>
          <w:rFonts w:cstheme="minorHAnsi"/>
          <w:color w:val="000000"/>
          <w:lang w:val="en-GB"/>
        </w:rPr>
        <w:t>;</w:t>
      </w:r>
    </w:p>
    <w:p w:rsidR="00F55722" w:rsidRPr="00F55722" w:rsidRDefault="00F55722" w:rsidP="00F55722">
      <w:pPr>
        <w:pStyle w:val="Paragraphedeliste"/>
        <w:numPr>
          <w:ilvl w:val="0"/>
          <w:numId w:val="1"/>
        </w:numPr>
        <w:autoSpaceDE w:val="0"/>
        <w:autoSpaceDN w:val="0"/>
        <w:adjustRightInd w:val="0"/>
        <w:spacing w:after="0"/>
        <w:jc w:val="both"/>
        <w:rPr>
          <w:rFonts w:cstheme="minorHAnsi"/>
          <w:color w:val="000000"/>
          <w:lang w:val="en-GB"/>
        </w:rPr>
      </w:pPr>
      <w:r>
        <w:rPr>
          <w:rFonts w:cstheme="minorHAnsi"/>
          <w:color w:val="000000"/>
          <w:lang w:val="en-GB"/>
        </w:rPr>
        <w:lastRenderedPageBreak/>
        <w:t>i</w:t>
      </w:r>
      <w:r w:rsidRPr="00F55722">
        <w:rPr>
          <w:rFonts w:cstheme="minorHAnsi"/>
          <w:color w:val="000000"/>
          <w:lang w:val="en-GB"/>
        </w:rPr>
        <w:t>n the flow data the passage towards employment increased only towards fixed-term work; the increase concerned above all the people with high educational attainment and the residents in the South and Islands area</w:t>
      </w:r>
      <w:r>
        <w:rPr>
          <w:rFonts w:cstheme="minorHAnsi"/>
          <w:color w:val="000000"/>
          <w:lang w:val="en-GB"/>
        </w:rPr>
        <w:t>;</w:t>
      </w:r>
      <w:r w:rsidRPr="00F55722">
        <w:rPr>
          <w:rFonts w:cstheme="minorHAnsi"/>
          <w:color w:val="000000"/>
          <w:lang w:val="en-GB"/>
        </w:rPr>
        <w:t xml:space="preserve"> </w:t>
      </w:r>
    </w:p>
    <w:p w:rsidR="00BA25E4" w:rsidRDefault="00F55722" w:rsidP="00F55722">
      <w:pPr>
        <w:pStyle w:val="Default"/>
        <w:numPr>
          <w:ilvl w:val="0"/>
          <w:numId w:val="1"/>
        </w:numPr>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o</w:t>
      </w:r>
      <w:r w:rsidRPr="00F55722">
        <w:rPr>
          <w:rFonts w:asciiTheme="minorHAnsi" w:hAnsiTheme="minorHAnsi" w:cstheme="minorHAnsi"/>
          <w:sz w:val="22"/>
          <w:szCs w:val="22"/>
          <w:lang w:val="en-GB"/>
        </w:rPr>
        <w:t xml:space="preserve">n the business side, the signs of short-term growth in labour demand were confirmed, with increases in employee jobs by 0.8% compared to the previous quarter and 3.3% on an annual basis, as a result of growth in both industry and services. However, the increase in the number of jobs was associated with a decrease in hours worked per employee on a quarter over quarter basis (-0.5%), while these remained unchanged on an annual basis. </w:t>
      </w:r>
    </w:p>
    <w:p w:rsidR="00C821BB" w:rsidRDefault="00C821BB" w:rsidP="00D237F4">
      <w:pPr>
        <w:spacing w:after="0"/>
        <w:rPr>
          <w:b/>
          <w:lang w:val="en-GB"/>
        </w:rPr>
      </w:pPr>
    </w:p>
    <w:p w:rsidR="007E7648" w:rsidRDefault="007E7648" w:rsidP="007E7648">
      <w:pPr>
        <w:spacing w:after="0"/>
        <w:jc w:val="both"/>
        <w:rPr>
          <w:lang w:val="en-GB"/>
        </w:rPr>
      </w:pPr>
      <w:r w:rsidRPr="007E7648">
        <w:rPr>
          <w:lang w:val="en-GB"/>
        </w:rPr>
        <w:t xml:space="preserve">Other </w:t>
      </w:r>
      <w:r>
        <w:rPr>
          <w:lang w:val="en-GB"/>
        </w:rPr>
        <w:t xml:space="preserve">important figures for describing the actual situation of labour market in Italy are (ISTAT, </w:t>
      </w:r>
      <w:r w:rsidR="00624E5C">
        <w:rPr>
          <w:lang w:val="en-GB"/>
        </w:rPr>
        <w:t>cit.,</w:t>
      </w:r>
      <w:r>
        <w:rPr>
          <w:lang w:val="en-GB"/>
        </w:rPr>
        <w:t xml:space="preserve"> p. 2): </w:t>
      </w:r>
    </w:p>
    <w:p w:rsidR="007E7648" w:rsidRPr="007E7648" w:rsidRDefault="007E7648" w:rsidP="007E7648">
      <w:pPr>
        <w:pStyle w:val="Paragraphedeliste"/>
        <w:numPr>
          <w:ilvl w:val="0"/>
          <w:numId w:val="1"/>
        </w:numPr>
        <w:autoSpaceDE w:val="0"/>
        <w:autoSpaceDN w:val="0"/>
        <w:adjustRightInd w:val="0"/>
        <w:spacing w:after="0"/>
        <w:jc w:val="both"/>
        <w:rPr>
          <w:rFonts w:cstheme="minorHAnsi"/>
          <w:color w:val="000000"/>
          <w:lang w:val="en-GB"/>
        </w:rPr>
      </w:pPr>
      <w:r>
        <w:rPr>
          <w:rFonts w:cstheme="minorHAnsi"/>
          <w:color w:val="000000"/>
          <w:lang w:val="en-GB"/>
        </w:rPr>
        <w:t>e</w:t>
      </w:r>
      <w:r w:rsidRPr="007E7648">
        <w:rPr>
          <w:rFonts w:cstheme="minorHAnsi"/>
          <w:color w:val="000000"/>
          <w:lang w:val="en-GB"/>
        </w:rPr>
        <w:t xml:space="preserve">mployment estimated with the Labour Force Survey, equal to </w:t>
      </w:r>
      <w:r w:rsidR="00491792">
        <w:rPr>
          <w:rFonts w:cstheme="minorHAnsi"/>
          <w:color w:val="000000"/>
          <w:lang w:val="en-GB"/>
        </w:rPr>
        <w:t xml:space="preserve">about </w:t>
      </w:r>
      <w:r w:rsidRPr="007E7648">
        <w:rPr>
          <w:rFonts w:cstheme="minorHAnsi"/>
          <w:color w:val="000000"/>
          <w:lang w:val="en-GB"/>
        </w:rPr>
        <w:t>23 million people net of seasonal effects, was substantially stable compared to the previous quarter (+9 thousand); growth in the North (+0.1%) and in the South and the Islands (+0.2%) was offset by the decrease in the Centre (-0.3%)</w:t>
      </w:r>
      <w:r>
        <w:rPr>
          <w:rFonts w:cstheme="minorHAnsi"/>
          <w:color w:val="000000"/>
          <w:lang w:val="en-GB"/>
        </w:rPr>
        <w:t>;</w:t>
      </w:r>
      <w:r w:rsidRPr="007E7648">
        <w:rPr>
          <w:rFonts w:cstheme="minorHAnsi"/>
          <w:color w:val="000000"/>
          <w:lang w:val="en-GB"/>
        </w:rPr>
        <w:t xml:space="preserve"> </w:t>
      </w:r>
    </w:p>
    <w:p w:rsidR="007E7648" w:rsidRPr="007E7648" w:rsidRDefault="007E7648" w:rsidP="007E7648">
      <w:pPr>
        <w:pStyle w:val="Paragraphedeliste"/>
        <w:numPr>
          <w:ilvl w:val="0"/>
          <w:numId w:val="1"/>
        </w:numPr>
        <w:autoSpaceDE w:val="0"/>
        <w:autoSpaceDN w:val="0"/>
        <w:adjustRightInd w:val="0"/>
        <w:spacing w:after="0"/>
        <w:jc w:val="both"/>
        <w:rPr>
          <w:rFonts w:cstheme="minorHAnsi"/>
          <w:color w:val="000000"/>
          <w:lang w:val="en-GB"/>
        </w:rPr>
      </w:pPr>
      <w:r>
        <w:rPr>
          <w:rFonts w:cstheme="minorHAnsi"/>
          <w:color w:val="000000"/>
          <w:lang w:val="en-GB"/>
        </w:rPr>
        <w:t>t</w:t>
      </w:r>
      <w:r w:rsidRPr="007E7648">
        <w:rPr>
          <w:rFonts w:cstheme="minorHAnsi"/>
          <w:color w:val="000000"/>
          <w:lang w:val="en-GB"/>
        </w:rPr>
        <w:t xml:space="preserve">he employment rate was </w:t>
      </w:r>
      <w:r>
        <w:rPr>
          <w:rFonts w:cstheme="minorHAnsi"/>
          <w:color w:val="000000"/>
          <w:lang w:val="en-GB"/>
        </w:rPr>
        <w:t xml:space="preserve">– as already underlined - </w:t>
      </w:r>
      <w:r w:rsidRPr="007E7648">
        <w:rPr>
          <w:rFonts w:cstheme="minorHAnsi"/>
          <w:color w:val="000000"/>
          <w:lang w:val="en-GB"/>
        </w:rPr>
        <w:t>stable at 58.2%</w:t>
      </w:r>
      <w:r w:rsidR="00491792">
        <w:rPr>
          <w:rFonts w:cstheme="minorHAnsi"/>
          <w:color w:val="000000"/>
          <w:lang w:val="en-GB"/>
        </w:rPr>
        <w:t xml:space="preserve"> with a </w:t>
      </w:r>
      <w:r w:rsidRPr="007E7648">
        <w:rPr>
          <w:rFonts w:cstheme="minorHAnsi"/>
          <w:color w:val="000000"/>
          <w:lang w:val="en-GB"/>
        </w:rPr>
        <w:t xml:space="preserve">growth for </w:t>
      </w:r>
      <w:proofErr w:type="gramStart"/>
      <w:r w:rsidRPr="007E7648">
        <w:rPr>
          <w:rFonts w:cstheme="minorHAnsi"/>
          <w:color w:val="000000"/>
          <w:lang w:val="en-GB"/>
        </w:rPr>
        <w:t>15-34 year</w:t>
      </w:r>
      <w:proofErr w:type="gramEnd"/>
      <w:r w:rsidRPr="007E7648">
        <w:rPr>
          <w:rFonts w:cstheme="minorHAnsi"/>
          <w:color w:val="000000"/>
          <w:lang w:val="en-GB"/>
        </w:rPr>
        <w:t xml:space="preserve"> olds (+0.3 points) and 50-64 year olds (+0.1 points) and the decline for 3</w:t>
      </w:r>
      <w:r>
        <w:rPr>
          <w:rFonts w:cstheme="minorHAnsi"/>
          <w:color w:val="000000"/>
          <w:lang w:val="en-GB"/>
        </w:rPr>
        <w:t>5-49 year olds (-0.2 points);</w:t>
      </w:r>
    </w:p>
    <w:p w:rsidR="007E7648" w:rsidRPr="007E7648" w:rsidRDefault="007E7648" w:rsidP="007E7648">
      <w:pPr>
        <w:pStyle w:val="Paragraphedeliste"/>
        <w:numPr>
          <w:ilvl w:val="0"/>
          <w:numId w:val="1"/>
        </w:numPr>
        <w:autoSpaceDE w:val="0"/>
        <w:autoSpaceDN w:val="0"/>
        <w:adjustRightInd w:val="0"/>
        <w:spacing w:after="0"/>
        <w:jc w:val="both"/>
        <w:rPr>
          <w:rFonts w:cstheme="minorHAnsi"/>
          <w:color w:val="000000"/>
          <w:lang w:val="en-GB"/>
        </w:rPr>
      </w:pPr>
      <w:r>
        <w:rPr>
          <w:rFonts w:cstheme="minorHAnsi"/>
          <w:color w:val="000000"/>
          <w:lang w:val="en-GB"/>
        </w:rPr>
        <w:t>t</w:t>
      </w:r>
      <w:r w:rsidRPr="007E7648">
        <w:rPr>
          <w:rFonts w:cstheme="minorHAnsi"/>
          <w:color w:val="000000"/>
          <w:lang w:val="en-GB"/>
        </w:rPr>
        <w:t xml:space="preserve">he short-term stability of the number of employees was the result of a further increase in fixed-term employees (+69 thousand, 2.4%) against a drop in permanent employees (-23 thousand, -0.2%) and self-employment (-37 thousand, -0.7%). </w:t>
      </w:r>
    </w:p>
    <w:p w:rsidR="007E7648" w:rsidRDefault="007E7648" w:rsidP="007E7648">
      <w:pPr>
        <w:pStyle w:val="Paragraphedeliste"/>
        <w:numPr>
          <w:ilvl w:val="0"/>
          <w:numId w:val="1"/>
        </w:numPr>
        <w:autoSpaceDE w:val="0"/>
        <w:autoSpaceDN w:val="0"/>
        <w:adjustRightInd w:val="0"/>
        <w:spacing w:after="0"/>
        <w:jc w:val="both"/>
        <w:rPr>
          <w:rFonts w:cstheme="minorHAnsi"/>
          <w:color w:val="000000"/>
          <w:lang w:val="en-GB"/>
        </w:rPr>
      </w:pPr>
      <w:r>
        <w:rPr>
          <w:rFonts w:cstheme="minorHAnsi"/>
          <w:color w:val="000000"/>
          <w:lang w:val="en-GB"/>
        </w:rPr>
        <w:t>i</w:t>
      </w:r>
      <w:r w:rsidRPr="007E7648">
        <w:rPr>
          <w:rFonts w:cstheme="minorHAnsi"/>
          <w:color w:val="000000"/>
          <w:lang w:val="en-GB"/>
        </w:rPr>
        <w:t>n industrial and service enterprises the employee jobs increased by 0.8% on a quarter over quarter basis and by 3.3% on a year on year basis; the number of hours worked rose by 0.9% compared to the previous quarter and by 4.1% compared to the same quarter of the previous year</w:t>
      </w:r>
      <w:r>
        <w:rPr>
          <w:rFonts w:cstheme="minorHAnsi"/>
          <w:color w:val="000000"/>
          <w:lang w:val="en-GB"/>
        </w:rPr>
        <w:t>.</w:t>
      </w:r>
    </w:p>
    <w:p w:rsidR="007E7648" w:rsidRDefault="007E7648" w:rsidP="007E7648">
      <w:pPr>
        <w:autoSpaceDE w:val="0"/>
        <w:autoSpaceDN w:val="0"/>
        <w:adjustRightInd w:val="0"/>
        <w:spacing w:after="0"/>
        <w:jc w:val="both"/>
        <w:rPr>
          <w:rFonts w:cstheme="minorHAnsi"/>
          <w:color w:val="000000"/>
          <w:lang w:val="en-GB"/>
        </w:rPr>
      </w:pPr>
    </w:p>
    <w:p w:rsidR="00624E5C" w:rsidRPr="00511555" w:rsidRDefault="00DC6666" w:rsidP="00511555">
      <w:pPr>
        <w:autoSpaceDE w:val="0"/>
        <w:autoSpaceDN w:val="0"/>
        <w:adjustRightInd w:val="0"/>
        <w:spacing w:after="0"/>
        <w:jc w:val="both"/>
        <w:rPr>
          <w:rFonts w:cstheme="minorHAnsi"/>
          <w:color w:val="000000"/>
          <w:lang w:val="en-GB"/>
        </w:rPr>
      </w:pPr>
      <w:r>
        <w:rPr>
          <w:rFonts w:cstheme="minorHAnsi"/>
          <w:color w:val="000000"/>
          <w:lang w:val="en-GB"/>
        </w:rPr>
        <w:t>Assuming the frequent mention that has been made in the first paragraph to the migration (or mobility) o</w:t>
      </w:r>
      <w:r w:rsidR="00624E5C">
        <w:rPr>
          <w:rFonts w:cstheme="minorHAnsi"/>
          <w:color w:val="000000"/>
          <w:lang w:val="en-GB"/>
        </w:rPr>
        <w:t xml:space="preserve">f people – especially young – with high formal qualifications, it is worth evidencing here that (according to the longitudinal data from the Labour Force Survey: ISTAT, cit., p. 3) </w:t>
      </w:r>
      <w:r w:rsidR="00511555">
        <w:rPr>
          <w:rFonts w:cstheme="minorHAnsi"/>
          <w:color w:val="000000"/>
          <w:lang w:val="en-GB"/>
        </w:rPr>
        <w:t>“t</w:t>
      </w:r>
      <w:r w:rsidR="00624E5C" w:rsidRPr="00511555">
        <w:rPr>
          <w:rFonts w:cstheme="minorHAnsi"/>
          <w:color w:val="000000"/>
          <w:lang w:val="en-GB"/>
        </w:rPr>
        <w:t>he probability of exiting from employment increased as the level of education decreased (it was 4.6% for university graduates, 5.8% for secondary school graduates, and 8.1% for people with compulsory schooling). The type of contract obviously affected the chances of exiting from employment: 18.1% of people with a fixed-term employment contract lost their jobs after one year, with about 4 times higher odds than those with permanent contract and the self-employed. Higher education degree confirmed to be a protective factor for all types of contracts, but particularly for more stable employment; among employees on permanent contracts, the probability of losing their jobs was 2.5 times higher for those with only compulsory schooling than for university graduates (7.0% against 2.8%), and twice as much among the self-employed (6.0% against 3.0%)</w:t>
      </w:r>
      <w:r w:rsidR="00511555">
        <w:rPr>
          <w:rFonts w:cstheme="minorHAnsi"/>
          <w:color w:val="000000"/>
          <w:lang w:val="en-GB"/>
        </w:rPr>
        <w:t xml:space="preserve">”. </w:t>
      </w:r>
    </w:p>
    <w:p w:rsidR="007E7648" w:rsidRPr="007E7648" w:rsidRDefault="00624E5C" w:rsidP="007E7648">
      <w:pPr>
        <w:autoSpaceDE w:val="0"/>
        <w:autoSpaceDN w:val="0"/>
        <w:adjustRightInd w:val="0"/>
        <w:spacing w:after="0"/>
        <w:jc w:val="both"/>
        <w:rPr>
          <w:rFonts w:cstheme="minorHAnsi"/>
          <w:color w:val="000000"/>
          <w:lang w:val="en-GB"/>
        </w:rPr>
      </w:pPr>
      <w:r>
        <w:rPr>
          <w:rFonts w:cstheme="minorHAnsi"/>
          <w:color w:val="000000"/>
          <w:lang w:val="en-GB"/>
        </w:rPr>
        <w:t xml:space="preserve"> </w:t>
      </w:r>
    </w:p>
    <w:p w:rsidR="007D2D42" w:rsidRPr="007D2D42" w:rsidRDefault="00564F08" w:rsidP="007D2D42">
      <w:pPr>
        <w:spacing w:after="0"/>
        <w:jc w:val="both"/>
        <w:rPr>
          <w:rFonts w:ascii="Calibri" w:hAnsi="Calibri" w:cs="Calibri"/>
          <w:color w:val="000000"/>
          <w:lang w:val="en-GB"/>
        </w:rPr>
      </w:pPr>
      <w:r w:rsidRPr="008D752B">
        <w:rPr>
          <w:lang w:val="en-GB"/>
        </w:rPr>
        <w:t>A longer-term backward analysis on Italian labour market recent dynamics (OECD, 2018)</w:t>
      </w:r>
      <w:r w:rsidR="00F43AAB">
        <w:rPr>
          <w:lang w:val="en-GB"/>
        </w:rPr>
        <w:t xml:space="preserve"> highlights the following points on </w:t>
      </w:r>
      <w:r w:rsidR="00E63403">
        <w:rPr>
          <w:lang w:val="en-GB"/>
        </w:rPr>
        <w:t xml:space="preserve">its </w:t>
      </w:r>
      <w:r w:rsidR="00F43AAB">
        <w:rPr>
          <w:lang w:val="en-GB"/>
        </w:rPr>
        <w:t xml:space="preserve">“trends and prospects”. The first one is that “the </w:t>
      </w:r>
      <w:r w:rsidR="00F43AAB" w:rsidRPr="00F43AAB">
        <w:rPr>
          <w:rFonts w:ascii="Calibri" w:hAnsi="Calibri" w:cs="Calibri"/>
          <w:color w:val="000000"/>
          <w:lang w:val="en-GB"/>
        </w:rPr>
        <w:t xml:space="preserve">labour market situation in Italy has improved over the past years but at a slower pace than in other </w:t>
      </w:r>
      <w:r w:rsidR="00F43AAB" w:rsidRPr="00F43AAB">
        <w:rPr>
          <w:rFonts w:ascii="Calibri" w:hAnsi="Calibri" w:cs="Calibri"/>
          <w:color w:val="000000"/>
          <w:lang w:val="en-GB"/>
        </w:rPr>
        <w:lastRenderedPageBreak/>
        <w:t>OECD countries. Employment in Italy, as a share of the population aged 15-74 years, has increased by more than 2.3 percentage points since the crisis trough in 2013 and, at 50.9%, it is almost back to its pre-crisis level (51%)</w:t>
      </w:r>
      <w:r w:rsidR="00F43AAB">
        <w:rPr>
          <w:rFonts w:ascii="Calibri" w:hAnsi="Calibri" w:cs="Calibri"/>
          <w:color w:val="000000"/>
          <w:lang w:val="en-GB"/>
        </w:rPr>
        <w:t>”</w:t>
      </w:r>
      <w:r w:rsidR="00F43AAB" w:rsidRPr="00F43AAB">
        <w:rPr>
          <w:rFonts w:ascii="Calibri" w:hAnsi="Calibri" w:cs="Calibri"/>
          <w:color w:val="000000"/>
          <w:lang w:val="en-GB"/>
        </w:rPr>
        <w:t xml:space="preserve">. </w:t>
      </w:r>
      <w:r w:rsidR="00F43AAB">
        <w:rPr>
          <w:rFonts w:ascii="Calibri" w:hAnsi="Calibri" w:cs="Calibri"/>
          <w:color w:val="000000"/>
          <w:lang w:val="en-GB"/>
        </w:rPr>
        <w:t xml:space="preserve">Therefore, </w:t>
      </w:r>
      <w:r w:rsidR="00AA69C1">
        <w:rPr>
          <w:rFonts w:ascii="Calibri" w:hAnsi="Calibri" w:cs="Calibri"/>
          <w:color w:val="000000"/>
          <w:lang w:val="en-GB"/>
        </w:rPr>
        <w:t xml:space="preserve">as a </w:t>
      </w:r>
      <w:r w:rsidR="00F43AAB">
        <w:rPr>
          <w:rFonts w:ascii="Calibri" w:hAnsi="Calibri" w:cs="Calibri"/>
          <w:color w:val="000000"/>
          <w:lang w:val="en-GB"/>
        </w:rPr>
        <w:t>second point, “</w:t>
      </w:r>
      <w:r w:rsidR="00F43AAB" w:rsidRPr="00F43AAB">
        <w:rPr>
          <w:rFonts w:ascii="Calibri" w:hAnsi="Calibri" w:cs="Calibri"/>
          <w:color w:val="000000"/>
          <w:lang w:val="en-GB"/>
        </w:rPr>
        <w:t>the unemployment rate in Italy has been decreasing but at 11.2% in April 2018 it remains the third highest among OECD countries and 4.6 percentage points above its 2008 level</w:t>
      </w:r>
      <w:r w:rsidR="00F43AAB">
        <w:rPr>
          <w:rFonts w:ascii="Calibri" w:hAnsi="Calibri" w:cs="Calibri"/>
          <w:color w:val="000000"/>
          <w:lang w:val="en-GB"/>
        </w:rPr>
        <w:t>”</w:t>
      </w:r>
      <w:r w:rsidR="00F43AAB" w:rsidRPr="00F43AAB">
        <w:rPr>
          <w:rFonts w:ascii="Calibri" w:hAnsi="Calibri" w:cs="Calibri"/>
          <w:color w:val="000000"/>
          <w:lang w:val="en-GB"/>
        </w:rPr>
        <w:t>.</w:t>
      </w:r>
      <w:r w:rsidR="00F43AAB">
        <w:rPr>
          <w:rFonts w:ascii="Calibri" w:hAnsi="Calibri" w:cs="Calibri"/>
          <w:color w:val="000000"/>
          <w:lang w:val="en-GB"/>
        </w:rPr>
        <w:t xml:space="preserve"> Finally, “r</w:t>
      </w:r>
      <w:r w:rsidR="00F43AAB" w:rsidRPr="00F43AAB">
        <w:rPr>
          <w:rFonts w:ascii="Calibri" w:hAnsi="Calibri" w:cs="Calibri"/>
          <w:color w:val="000000"/>
          <w:lang w:val="en-GB"/>
        </w:rPr>
        <w:t xml:space="preserve">eal wage growth has been </w:t>
      </w:r>
      <w:proofErr w:type="gramStart"/>
      <w:r w:rsidR="00F43AAB" w:rsidRPr="00F43AAB">
        <w:rPr>
          <w:rFonts w:ascii="Calibri" w:hAnsi="Calibri" w:cs="Calibri"/>
          <w:color w:val="000000"/>
          <w:lang w:val="en-GB"/>
        </w:rPr>
        <w:t>negative</w:t>
      </w:r>
      <w:proofErr w:type="gramEnd"/>
      <w:r w:rsidR="00F43AAB" w:rsidRPr="00F43AAB">
        <w:rPr>
          <w:rFonts w:ascii="Calibri" w:hAnsi="Calibri" w:cs="Calibri"/>
          <w:color w:val="000000"/>
          <w:lang w:val="en-GB"/>
        </w:rPr>
        <w:t xml:space="preserve"> since 2016. </w:t>
      </w:r>
      <w:r w:rsidR="00F43AAB">
        <w:rPr>
          <w:rFonts w:ascii="Calibri" w:hAnsi="Calibri" w:cs="Calibri"/>
          <w:color w:val="000000"/>
          <w:lang w:val="en-GB"/>
        </w:rPr>
        <w:t xml:space="preserve">[….] </w:t>
      </w:r>
      <w:r w:rsidR="00F43AAB" w:rsidRPr="00F43AAB">
        <w:rPr>
          <w:rFonts w:ascii="Calibri" w:hAnsi="Calibri" w:cs="Calibri"/>
          <w:color w:val="000000"/>
          <w:lang w:val="en-GB"/>
        </w:rPr>
        <w:t>Stagnant productivity growth as well as a significant share of workers in low-paid, involuntary part-time jobs is one of the key factors behind the adverse wage developments in Italy</w:t>
      </w:r>
      <w:r w:rsidR="00F43AAB">
        <w:rPr>
          <w:rFonts w:ascii="Calibri" w:hAnsi="Calibri" w:cs="Calibri"/>
          <w:color w:val="000000"/>
          <w:lang w:val="en-GB"/>
        </w:rPr>
        <w:t>”</w:t>
      </w:r>
      <w:r w:rsidR="00F43AAB" w:rsidRPr="00F43AAB">
        <w:rPr>
          <w:rFonts w:ascii="Calibri" w:hAnsi="Calibri" w:cs="Calibri"/>
          <w:color w:val="000000"/>
          <w:lang w:val="en-GB"/>
        </w:rPr>
        <w:t>.</w:t>
      </w:r>
      <w:r w:rsidR="00F43AAB">
        <w:rPr>
          <w:rFonts w:ascii="Calibri" w:hAnsi="Calibri" w:cs="Calibri"/>
          <w:color w:val="000000"/>
          <w:lang w:val="en-GB"/>
        </w:rPr>
        <w:t xml:space="preserve"> </w:t>
      </w:r>
      <w:r w:rsidR="00FC297F">
        <w:rPr>
          <w:rFonts w:ascii="Calibri" w:hAnsi="Calibri" w:cs="Calibri"/>
          <w:color w:val="000000"/>
          <w:lang w:val="en-GB"/>
        </w:rPr>
        <w:t xml:space="preserve">This last point is linked to </w:t>
      </w:r>
      <w:r w:rsidR="00F10359">
        <w:rPr>
          <w:rFonts w:ascii="Calibri" w:hAnsi="Calibri" w:cs="Calibri"/>
          <w:color w:val="000000"/>
          <w:lang w:val="en-GB"/>
        </w:rPr>
        <w:t xml:space="preserve">“job quality and labour market inclusiveness” issues </w:t>
      </w:r>
      <w:r w:rsidR="002F1127">
        <w:rPr>
          <w:rFonts w:ascii="Calibri" w:hAnsi="Calibri" w:cs="Calibri"/>
          <w:color w:val="000000"/>
          <w:lang w:val="en-GB"/>
        </w:rPr>
        <w:t xml:space="preserve">with </w:t>
      </w:r>
      <w:r w:rsidR="00B1260B">
        <w:rPr>
          <w:rFonts w:ascii="Calibri" w:hAnsi="Calibri" w:cs="Calibri"/>
          <w:color w:val="000000"/>
          <w:lang w:val="en-GB"/>
        </w:rPr>
        <w:t>(OECD, cit.) “</w:t>
      </w:r>
      <w:r w:rsidR="00F10359" w:rsidRPr="00F10359">
        <w:rPr>
          <w:rFonts w:ascii="Calibri" w:hAnsi="Calibri" w:cs="Calibri"/>
          <w:color w:val="000000"/>
          <w:lang w:val="en-GB"/>
        </w:rPr>
        <w:t xml:space="preserve">Italian labour market </w:t>
      </w:r>
      <w:r w:rsidR="002F1127">
        <w:rPr>
          <w:rFonts w:ascii="Calibri" w:hAnsi="Calibri" w:cs="Calibri"/>
          <w:color w:val="000000"/>
          <w:lang w:val="en-GB"/>
        </w:rPr>
        <w:t>[</w:t>
      </w:r>
      <w:r w:rsidR="00F10359" w:rsidRPr="00F10359">
        <w:rPr>
          <w:rFonts w:ascii="Calibri" w:hAnsi="Calibri" w:cs="Calibri"/>
          <w:color w:val="000000"/>
          <w:lang w:val="en-GB"/>
        </w:rPr>
        <w:t>perform</w:t>
      </w:r>
      <w:r w:rsidR="002F1127">
        <w:rPr>
          <w:rFonts w:ascii="Calibri" w:hAnsi="Calibri" w:cs="Calibri"/>
          <w:color w:val="000000"/>
          <w:lang w:val="en-GB"/>
        </w:rPr>
        <w:t>ing]</w:t>
      </w:r>
      <w:r w:rsidR="00F10359" w:rsidRPr="00F10359">
        <w:rPr>
          <w:rFonts w:ascii="Calibri" w:hAnsi="Calibri" w:cs="Calibri"/>
          <w:color w:val="000000"/>
          <w:lang w:val="en-GB"/>
        </w:rPr>
        <w:t xml:space="preserve"> below the OECD average in all key indicators of job quality and inclusiveness, except earnings quality</w:t>
      </w:r>
      <w:r w:rsidR="00B1260B">
        <w:rPr>
          <w:rStyle w:val="Appelnotedebasdep"/>
          <w:rFonts w:ascii="Calibri" w:hAnsi="Calibri" w:cs="Calibri"/>
          <w:color w:val="000000"/>
          <w:lang w:val="en-GB"/>
        </w:rPr>
        <w:footnoteReference w:id="6"/>
      </w:r>
      <w:r w:rsidR="00F10359" w:rsidRPr="00F10359">
        <w:rPr>
          <w:rFonts w:ascii="Calibri" w:hAnsi="Calibri" w:cs="Calibri"/>
          <w:color w:val="000000"/>
          <w:lang w:val="en-GB"/>
        </w:rPr>
        <w:t xml:space="preserve"> in which Italy is above the average</w:t>
      </w:r>
      <w:r w:rsidR="00B1260B">
        <w:rPr>
          <w:rFonts w:ascii="Calibri" w:hAnsi="Calibri" w:cs="Calibri"/>
          <w:color w:val="000000"/>
          <w:lang w:val="en-GB"/>
        </w:rPr>
        <w:t>”. Therefore, “</w:t>
      </w:r>
      <w:r w:rsidR="00F10359" w:rsidRPr="00F10359">
        <w:rPr>
          <w:rFonts w:ascii="Calibri" w:hAnsi="Calibri" w:cs="Calibri"/>
          <w:color w:val="000000"/>
          <w:lang w:val="en-GB"/>
        </w:rPr>
        <w:t>given the poor performance in terms of unemployment and the significant incidence of short-term contracts, the degree of labour market security of Italian workers is the fourth lowest in the OECD, after Greece, Spain and Turkey</w:t>
      </w:r>
      <w:r w:rsidR="00B1260B">
        <w:rPr>
          <w:rFonts w:ascii="Calibri" w:hAnsi="Calibri" w:cs="Calibri"/>
          <w:color w:val="000000"/>
          <w:lang w:val="en-GB"/>
        </w:rPr>
        <w:t>”</w:t>
      </w:r>
      <w:r w:rsidR="00F10359" w:rsidRPr="00F10359">
        <w:rPr>
          <w:rFonts w:ascii="Calibri" w:hAnsi="Calibri" w:cs="Calibri"/>
          <w:color w:val="000000"/>
          <w:lang w:val="en-GB"/>
        </w:rPr>
        <w:t xml:space="preserve">. </w:t>
      </w:r>
      <w:r w:rsidR="00B1260B">
        <w:rPr>
          <w:rFonts w:ascii="Calibri" w:hAnsi="Calibri" w:cs="Calibri"/>
          <w:color w:val="000000"/>
          <w:lang w:val="en-GB"/>
        </w:rPr>
        <w:t>In addition, also as a consequence of the long and severe economic crisis, “p</w:t>
      </w:r>
      <w:r w:rsidR="00F10359" w:rsidRPr="00F10359">
        <w:rPr>
          <w:rFonts w:ascii="Calibri" w:hAnsi="Calibri" w:cs="Calibri"/>
          <w:color w:val="000000"/>
          <w:lang w:val="en-GB"/>
        </w:rPr>
        <w:t>overty has increased: 13.6% of working-age persons live in households with less than 50% of the median income, up from 10.7% in 2006</w:t>
      </w:r>
      <w:r w:rsidR="001F1E09">
        <w:rPr>
          <w:rFonts w:ascii="Calibri" w:hAnsi="Calibri" w:cs="Calibri"/>
          <w:color w:val="000000"/>
          <w:lang w:val="en-GB"/>
        </w:rPr>
        <w:t>” as well as “t</w:t>
      </w:r>
      <w:r w:rsidR="00F10359" w:rsidRPr="00F10359">
        <w:rPr>
          <w:rFonts w:ascii="Calibri" w:hAnsi="Calibri" w:cs="Calibri"/>
          <w:color w:val="000000"/>
          <w:lang w:val="en-GB"/>
        </w:rPr>
        <w:t>he employment gap for disadvantaged groups, such as mothers with children, youth, older workers, non-natives, and persons with partial disabilities</w:t>
      </w:r>
      <w:r w:rsidR="001F1E09">
        <w:rPr>
          <w:rFonts w:ascii="Calibri" w:hAnsi="Calibri" w:cs="Calibri"/>
          <w:color w:val="000000"/>
          <w:lang w:val="en-GB"/>
        </w:rPr>
        <w:t xml:space="preserve">”. This gap is the </w:t>
      </w:r>
      <w:r w:rsidR="007D2D42">
        <w:rPr>
          <w:rFonts w:ascii="Calibri" w:hAnsi="Calibri" w:cs="Calibri"/>
          <w:color w:val="000000"/>
          <w:lang w:val="en-GB"/>
        </w:rPr>
        <w:t>“</w:t>
      </w:r>
      <w:r w:rsidR="00F10359" w:rsidRPr="00F10359">
        <w:rPr>
          <w:rFonts w:ascii="Calibri" w:hAnsi="Calibri" w:cs="Calibri"/>
          <w:color w:val="000000"/>
          <w:lang w:val="en-GB"/>
        </w:rPr>
        <w:t>fourth highest among OECD countries but it has slightly decreased over the last decade. The gender labour income gap is also above the OECD average</w:t>
      </w:r>
      <w:r w:rsidR="007D2D42">
        <w:rPr>
          <w:rFonts w:ascii="Calibri" w:hAnsi="Calibri" w:cs="Calibri"/>
          <w:color w:val="000000"/>
          <w:lang w:val="en-GB"/>
        </w:rPr>
        <w:t>”</w:t>
      </w:r>
      <w:r w:rsidR="00F10359" w:rsidRPr="00F10359">
        <w:rPr>
          <w:rFonts w:ascii="Calibri" w:hAnsi="Calibri" w:cs="Calibri"/>
          <w:color w:val="000000"/>
          <w:lang w:val="en-GB"/>
        </w:rPr>
        <w:t xml:space="preserve">. </w:t>
      </w:r>
      <w:r w:rsidR="007D2D42">
        <w:rPr>
          <w:rFonts w:ascii="Calibri" w:hAnsi="Calibri" w:cs="Calibri"/>
          <w:color w:val="000000"/>
          <w:lang w:val="en-GB"/>
        </w:rPr>
        <w:t xml:space="preserve">Finally, moving to unemployment benefits (particularly relevant for a </w:t>
      </w:r>
      <w:r w:rsidR="003B714B">
        <w:rPr>
          <w:rFonts w:ascii="Calibri" w:hAnsi="Calibri" w:cs="Calibri"/>
          <w:color w:val="000000"/>
          <w:lang w:val="en-GB"/>
        </w:rPr>
        <w:t>C</w:t>
      </w:r>
      <w:r w:rsidR="007D2D42">
        <w:rPr>
          <w:rFonts w:ascii="Calibri" w:hAnsi="Calibri" w:cs="Calibri"/>
          <w:color w:val="000000"/>
          <w:lang w:val="en-GB"/>
        </w:rPr>
        <w:t>ountry with a high unemployment rate), “i</w:t>
      </w:r>
      <w:r w:rsidR="007D2D42" w:rsidRPr="007D2D42">
        <w:rPr>
          <w:rFonts w:ascii="Calibri" w:hAnsi="Calibri" w:cs="Calibri"/>
          <w:color w:val="000000"/>
          <w:lang w:val="en-GB"/>
        </w:rPr>
        <w:t>n 2016 less than one in ten unemployed was receiving unemployment benefits in Italy, one the lowest coverage rate in the European Union as a result of high long-term unemployment and low maximum potential duration of benefits.</w:t>
      </w:r>
      <w:r w:rsidR="007D2D42">
        <w:rPr>
          <w:rFonts w:ascii="Calibri" w:hAnsi="Calibri" w:cs="Calibri"/>
          <w:color w:val="000000"/>
          <w:lang w:val="en-GB"/>
        </w:rPr>
        <w:t xml:space="preserve"> </w:t>
      </w:r>
      <w:r w:rsidR="007D2D42" w:rsidRPr="007D2D42">
        <w:rPr>
          <w:rFonts w:ascii="Calibri" w:hAnsi="Calibri" w:cs="Calibri"/>
          <w:color w:val="000000"/>
          <w:lang w:val="en-GB"/>
        </w:rPr>
        <w:t>The coverage rate is expected to increase following the reforms to the system of unemployment benefits entered in force in 2015</w:t>
      </w:r>
      <w:r w:rsidR="007D2D42">
        <w:rPr>
          <w:rFonts w:ascii="Calibri" w:hAnsi="Calibri" w:cs="Calibri"/>
          <w:color w:val="000000"/>
          <w:lang w:val="en-GB"/>
        </w:rPr>
        <w:t>”</w:t>
      </w:r>
      <w:r w:rsidR="007D2D42" w:rsidRPr="007D2D42">
        <w:rPr>
          <w:rFonts w:ascii="Calibri" w:hAnsi="Calibri" w:cs="Calibri"/>
          <w:color w:val="000000"/>
          <w:lang w:val="en-GB"/>
        </w:rPr>
        <w:t xml:space="preserve">. </w:t>
      </w:r>
    </w:p>
    <w:p w:rsidR="007D2D42" w:rsidRPr="007D2D42" w:rsidRDefault="007D2D42" w:rsidP="00D237F4">
      <w:pPr>
        <w:spacing w:after="0"/>
        <w:rPr>
          <w:lang w:val="en-GB"/>
        </w:rPr>
      </w:pPr>
    </w:p>
    <w:p w:rsidR="009644B3" w:rsidRDefault="000C104B" w:rsidP="00A3005D">
      <w:pPr>
        <w:spacing w:after="0"/>
        <w:jc w:val="both"/>
        <w:rPr>
          <w:lang w:val="en-GB"/>
        </w:rPr>
      </w:pPr>
      <w:r>
        <w:rPr>
          <w:lang w:val="en-GB"/>
        </w:rPr>
        <w:t xml:space="preserve">Focusing </w:t>
      </w:r>
      <w:r w:rsidR="005477BF" w:rsidRPr="000C104B">
        <w:rPr>
          <w:lang w:val="en-GB"/>
        </w:rPr>
        <w:t xml:space="preserve">in mostly </w:t>
      </w:r>
      <w:r w:rsidR="005477BF" w:rsidRPr="00C74C33">
        <w:rPr>
          <w:i/>
          <w:lang w:val="en-GB"/>
        </w:rPr>
        <w:t>qualitative</w:t>
      </w:r>
      <w:r w:rsidR="005477BF" w:rsidRPr="000C104B">
        <w:rPr>
          <w:lang w:val="en-GB"/>
        </w:rPr>
        <w:t xml:space="preserve"> terms </w:t>
      </w:r>
      <w:r>
        <w:rPr>
          <w:lang w:val="en-GB"/>
        </w:rPr>
        <w:t xml:space="preserve">on </w:t>
      </w:r>
      <w:r w:rsidR="00A3005D" w:rsidRPr="000C104B">
        <w:rPr>
          <w:lang w:val="en-GB"/>
        </w:rPr>
        <w:t xml:space="preserve">Italian labour market </w:t>
      </w:r>
      <w:r>
        <w:rPr>
          <w:lang w:val="en-GB"/>
        </w:rPr>
        <w:t xml:space="preserve">performance </w:t>
      </w:r>
      <w:r w:rsidR="00A3005D" w:rsidRPr="000C104B">
        <w:rPr>
          <w:lang w:val="en-GB"/>
        </w:rPr>
        <w:t xml:space="preserve">in the last 15 years (Marino and </w:t>
      </w:r>
      <w:proofErr w:type="spellStart"/>
      <w:r w:rsidR="00A3005D" w:rsidRPr="000C104B">
        <w:rPr>
          <w:lang w:val="en-GB"/>
        </w:rPr>
        <w:t>Nunziata</w:t>
      </w:r>
      <w:proofErr w:type="spellEnd"/>
      <w:r w:rsidR="00A3005D" w:rsidRPr="000C104B">
        <w:rPr>
          <w:lang w:val="en-GB"/>
        </w:rPr>
        <w:t>, 2017)</w:t>
      </w:r>
      <w:r>
        <w:rPr>
          <w:lang w:val="en-GB"/>
        </w:rPr>
        <w:t>, t</w:t>
      </w:r>
      <w:r w:rsidR="005E6530">
        <w:rPr>
          <w:lang w:val="en-GB"/>
        </w:rPr>
        <w:t xml:space="preserve">hree </w:t>
      </w:r>
      <w:r>
        <w:rPr>
          <w:lang w:val="en-GB"/>
        </w:rPr>
        <w:t xml:space="preserve">relevant issues emerge. The first one is the “pronounced differences across age groups: young individuals are facing high unemployment and low participation rates while older individuals have seen their participation and employment level increase” (cit., p. 1). The second one, strongly linked to internal migrations, </w:t>
      </w:r>
      <w:r w:rsidR="001E52DC">
        <w:rPr>
          <w:lang w:val="en-GB"/>
        </w:rPr>
        <w:t>is that “regional differences are still significant, as shown by a more dynamic North and a stagnant South” (</w:t>
      </w:r>
      <w:r w:rsidR="001E52DC" w:rsidRPr="00327F8E">
        <w:rPr>
          <w:i/>
          <w:lang w:val="en-GB"/>
        </w:rPr>
        <w:t>Ibid</w:t>
      </w:r>
      <w:r w:rsidR="00327F8E" w:rsidRPr="00327F8E">
        <w:rPr>
          <w:i/>
          <w:lang w:val="en-GB"/>
        </w:rPr>
        <w:t>.</w:t>
      </w:r>
      <w:r w:rsidR="00327F8E">
        <w:rPr>
          <w:lang w:val="en-GB"/>
        </w:rPr>
        <w:t>)</w:t>
      </w:r>
      <w:r w:rsidR="001E52DC">
        <w:rPr>
          <w:lang w:val="en-GB"/>
        </w:rPr>
        <w:t>.</w:t>
      </w:r>
      <w:r w:rsidR="005E6530">
        <w:rPr>
          <w:lang w:val="en-GB"/>
        </w:rPr>
        <w:t xml:space="preserve"> Finally, the third one is that “undeclared employment is high, especially in the South” (</w:t>
      </w:r>
      <w:r w:rsidR="005E6530" w:rsidRPr="00327F8E">
        <w:rPr>
          <w:i/>
          <w:lang w:val="en-GB"/>
        </w:rPr>
        <w:t>Ibid</w:t>
      </w:r>
      <w:r w:rsidR="00327F8E" w:rsidRPr="00327F8E">
        <w:rPr>
          <w:i/>
          <w:lang w:val="en-GB"/>
        </w:rPr>
        <w:t>.</w:t>
      </w:r>
      <w:r w:rsidR="005E6530">
        <w:rPr>
          <w:lang w:val="en-GB"/>
        </w:rPr>
        <w:t xml:space="preserve">). </w:t>
      </w:r>
      <w:r w:rsidR="00310035">
        <w:rPr>
          <w:lang w:val="en-GB"/>
        </w:rPr>
        <w:t>A</w:t>
      </w:r>
      <w:r w:rsidR="009226C2">
        <w:rPr>
          <w:lang w:val="en-GB"/>
        </w:rPr>
        <w:t>n</w:t>
      </w:r>
      <w:r w:rsidR="00310035">
        <w:rPr>
          <w:lang w:val="en-GB"/>
        </w:rPr>
        <w:t xml:space="preserve"> </w:t>
      </w:r>
      <w:r w:rsidR="009226C2">
        <w:rPr>
          <w:lang w:val="en-GB"/>
        </w:rPr>
        <w:t xml:space="preserve">overall </w:t>
      </w:r>
      <w:r w:rsidR="00310035">
        <w:rPr>
          <w:lang w:val="en-GB"/>
        </w:rPr>
        <w:t>balance of the</w:t>
      </w:r>
      <w:r w:rsidR="00B61481">
        <w:rPr>
          <w:lang w:val="en-GB"/>
        </w:rPr>
        <w:t xml:space="preserve"> strengths and weaknesses of Italian labour market</w:t>
      </w:r>
      <w:r w:rsidR="006762B5">
        <w:rPr>
          <w:lang w:val="en-GB"/>
        </w:rPr>
        <w:t>, comparing the before-after “double-dip recession” situations</w:t>
      </w:r>
      <w:r w:rsidR="009644B3">
        <w:rPr>
          <w:rStyle w:val="Appelnotedebasdep"/>
          <w:lang w:val="en-GB"/>
        </w:rPr>
        <w:footnoteReference w:id="7"/>
      </w:r>
      <w:r w:rsidR="006762B5">
        <w:rPr>
          <w:lang w:val="en-GB"/>
        </w:rPr>
        <w:t>, may be</w:t>
      </w:r>
      <w:r w:rsidR="009644B3">
        <w:rPr>
          <w:lang w:val="en-GB"/>
        </w:rPr>
        <w:t xml:space="preserve"> summarized as follows (</w:t>
      </w:r>
      <w:r w:rsidR="009644B3" w:rsidRPr="00327F8E">
        <w:rPr>
          <w:i/>
          <w:lang w:val="en-GB"/>
        </w:rPr>
        <w:t>Ibid</w:t>
      </w:r>
      <w:r w:rsidR="00327F8E" w:rsidRPr="00327F8E">
        <w:rPr>
          <w:i/>
          <w:lang w:val="en-GB"/>
        </w:rPr>
        <w:t>.</w:t>
      </w:r>
      <w:r w:rsidR="009644B3">
        <w:rPr>
          <w:lang w:val="en-GB"/>
        </w:rPr>
        <w:t xml:space="preserve">): </w:t>
      </w:r>
    </w:p>
    <w:p w:rsidR="005477BF" w:rsidRDefault="009644B3" w:rsidP="009644B3">
      <w:pPr>
        <w:pStyle w:val="Paragraphedeliste"/>
        <w:numPr>
          <w:ilvl w:val="0"/>
          <w:numId w:val="1"/>
        </w:numPr>
        <w:spacing w:after="0"/>
        <w:jc w:val="both"/>
        <w:rPr>
          <w:lang w:val="en-GB"/>
        </w:rPr>
      </w:pPr>
      <w:r>
        <w:rPr>
          <w:lang w:val="en-GB"/>
        </w:rPr>
        <w:t xml:space="preserve">as for strengths: </w:t>
      </w:r>
      <w:r w:rsidR="00E93FA8">
        <w:rPr>
          <w:lang w:val="en-GB"/>
        </w:rPr>
        <w:t xml:space="preserve">after a significant increase during the double-dip recession (2008-2013), both average and long-term unemployment began to decrease since 2014; job vacancies have increased after the 2009 relevant drop; </w:t>
      </w:r>
      <w:r w:rsidR="00B56B35">
        <w:rPr>
          <w:lang w:val="en-GB"/>
        </w:rPr>
        <w:t xml:space="preserve">female labour market participation is, although slowly, increasing; </w:t>
      </w:r>
      <w:r w:rsidR="00301AE0">
        <w:rPr>
          <w:lang w:val="en-GB"/>
        </w:rPr>
        <w:t xml:space="preserve">55-64 </w:t>
      </w:r>
      <w:proofErr w:type="spellStart"/>
      <w:r w:rsidR="00301AE0">
        <w:rPr>
          <w:lang w:val="en-GB"/>
        </w:rPr>
        <w:t>yy.oo</w:t>
      </w:r>
      <w:proofErr w:type="spellEnd"/>
      <w:r w:rsidR="00301AE0">
        <w:rPr>
          <w:lang w:val="en-GB"/>
        </w:rPr>
        <w:t xml:space="preserve">. workers’ labour market participation increased </w:t>
      </w:r>
      <w:r w:rsidR="00301AE0">
        <w:rPr>
          <w:lang w:val="en-GB"/>
        </w:rPr>
        <w:lastRenderedPageBreak/>
        <w:t xml:space="preserve">substantially; real earnings have increased (but without a corresponding increase in productivity); </w:t>
      </w:r>
    </w:p>
    <w:p w:rsidR="00E93FA8" w:rsidRDefault="00301AE0" w:rsidP="009644B3">
      <w:pPr>
        <w:pStyle w:val="Paragraphedeliste"/>
        <w:numPr>
          <w:ilvl w:val="0"/>
          <w:numId w:val="1"/>
        </w:numPr>
        <w:spacing w:after="0"/>
        <w:jc w:val="both"/>
        <w:rPr>
          <w:lang w:val="en-GB"/>
        </w:rPr>
      </w:pPr>
      <w:r>
        <w:rPr>
          <w:lang w:val="en-GB"/>
        </w:rPr>
        <w:t xml:space="preserve">as for weaknesses: unemployment remains higher than pre-crisis level; </w:t>
      </w:r>
      <w:r w:rsidR="0090094F">
        <w:rPr>
          <w:lang w:val="en-GB"/>
        </w:rPr>
        <w:t xml:space="preserve">Southern regions continue to lag behind the rest of the Italian regions in all labour market aggregates; female labour market participation is low, especially in Southern regions; </w:t>
      </w:r>
      <w:r w:rsidR="00BF7183">
        <w:rPr>
          <w:lang w:val="en-GB"/>
        </w:rPr>
        <w:t xml:space="preserve">a </w:t>
      </w:r>
      <w:r w:rsidR="00EF4328">
        <w:rPr>
          <w:lang w:val="en-GB"/>
        </w:rPr>
        <w:t xml:space="preserve">huge increase of youth unemployment </w:t>
      </w:r>
      <w:r w:rsidR="00652E10">
        <w:rPr>
          <w:lang w:val="en-GB"/>
        </w:rPr>
        <w:t xml:space="preserve">since 2008 without a corresponding decrease since 2014; a reduction, since 2000, of 15-24 </w:t>
      </w:r>
      <w:proofErr w:type="spellStart"/>
      <w:r w:rsidR="00652E10">
        <w:rPr>
          <w:lang w:val="en-GB"/>
        </w:rPr>
        <w:t>yy.oo</w:t>
      </w:r>
      <w:proofErr w:type="spellEnd"/>
      <w:r w:rsidR="00652E10">
        <w:rPr>
          <w:lang w:val="en-GB"/>
        </w:rPr>
        <w:t>. labour market participation</w:t>
      </w:r>
      <w:r w:rsidR="0033334B">
        <w:rPr>
          <w:lang w:val="en-GB"/>
        </w:rPr>
        <w:t>.</w:t>
      </w:r>
      <w:r w:rsidR="00652E10">
        <w:rPr>
          <w:lang w:val="en-GB"/>
        </w:rPr>
        <w:t xml:space="preserve"> </w:t>
      </w:r>
    </w:p>
    <w:p w:rsidR="00FD12B8" w:rsidRDefault="00FD12B8" w:rsidP="001F0215">
      <w:pPr>
        <w:spacing w:after="0"/>
        <w:jc w:val="both"/>
        <w:rPr>
          <w:lang w:val="en-GB"/>
        </w:rPr>
      </w:pPr>
    </w:p>
    <w:p w:rsidR="001F0215" w:rsidRDefault="00CE4972" w:rsidP="001F0215">
      <w:pPr>
        <w:spacing w:after="0"/>
        <w:jc w:val="both"/>
        <w:rPr>
          <w:rFonts w:cs="ITC Legacy Sans"/>
          <w:color w:val="000000"/>
          <w:sz w:val="23"/>
          <w:szCs w:val="23"/>
          <w:lang w:val="en-GB"/>
        </w:rPr>
      </w:pPr>
      <w:r>
        <w:rPr>
          <w:lang w:val="en-GB"/>
        </w:rPr>
        <w:t xml:space="preserve">Differences in unemployment by regions has been mentioned as a structural criticality of </w:t>
      </w:r>
      <w:r w:rsidRPr="001F0215">
        <w:rPr>
          <w:lang w:val="en-GB"/>
        </w:rPr>
        <w:t xml:space="preserve">Italian labour market constantly influencing internal migrations. </w:t>
      </w:r>
      <w:r w:rsidR="00C05C46" w:rsidRPr="001F0215">
        <w:rPr>
          <w:lang w:val="en-GB"/>
        </w:rPr>
        <w:t>On this point,</w:t>
      </w:r>
      <w:r w:rsidR="001F0215">
        <w:rPr>
          <w:lang w:val="en-GB"/>
        </w:rPr>
        <w:t xml:space="preserve"> “t</w:t>
      </w:r>
      <w:r w:rsidR="00AD59CC" w:rsidRPr="001F0215">
        <w:rPr>
          <w:rFonts w:cstheme="minorHAnsi"/>
          <w:color w:val="000000"/>
          <w:lang w:val="en-GB"/>
        </w:rPr>
        <w:t>he differences between unemployment rates across regions did not change much, in relative terms, after the crisis (</w:t>
      </w:r>
      <w:r w:rsidR="001F0215">
        <w:rPr>
          <w:rFonts w:cstheme="minorHAnsi"/>
          <w:color w:val="000000"/>
          <w:lang w:val="en-GB"/>
        </w:rPr>
        <w:t>….</w:t>
      </w:r>
      <w:r w:rsidR="00AD59CC" w:rsidRPr="001F0215">
        <w:rPr>
          <w:rFonts w:cstheme="minorHAnsi"/>
          <w:color w:val="000000"/>
          <w:lang w:val="en-GB"/>
        </w:rPr>
        <w:t xml:space="preserve">). Southern regions have always been characterized by much higher levels of unemployment than the </w:t>
      </w:r>
      <w:r w:rsidR="00ED0729">
        <w:rPr>
          <w:rFonts w:cstheme="minorHAnsi"/>
          <w:color w:val="000000"/>
          <w:lang w:val="en-GB"/>
        </w:rPr>
        <w:t>N</w:t>
      </w:r>
      <w:r w:rsidR="00AD59CC" w:rsidRPr="001F0215">
        <w:rPr>
          <w:rFonts w:cstheme="minorHAnsi"/>
          <w:color w:val="000000"/>
          <w:lang w:val="en-GB"/>
        </w:rPr>
        <w:t xml:space="preserve">orth, typically three to four times higher in pre-crisis years, while smaller differences existed between </w:t>
      </w:r>
      <w:r w:rsidR="00ED0729">
        <w:rPr>
          <w:rFonts w:cstheme="minorHAnsi"/>
          <w:color w:val="000000"/>
          <w:lang w:val="en-GB"/>
        </w:rPr>
        <w:t>C</w:t>
      </w:r>
      <w:r w:rsidR="00AD59CC" w:rsidRPr="001F0215">
        <w:rPr>
          <w:rFonts w:cstheme="minorHAnsi"/>
          <w:color w:val="000000"/>
          <w:lang w:val="en-GB"/>
        </w:rPr>
        <w:t xml:space="preserve">entral and </w:t>
      </w:r>
      <w:r w:rsidR="00ED0729">
        <w:rPr>
          <w:rFonts w:cstheme="minorHAnsi"/>
          <w:color w:val="000000"/>
          <w:lang w:val="en-GB"/>
        </w:rPr>
        <w:t>N</w:t>
      </w:r>
      <w:r w:rsidR="00AD59CC" w:rsidRPr="001F0215">
        <w:rPr>
          <w:rFonts w:cstheme="minorHAnsi"/>
          <w:color w:val="000000"/>
          <w:lang w:val="en-GB"/>
        </w:rPr>
        <w:t xml:space="preserve">orthern regions. At the end of 2007, the unemployment rate in the south was slightly more than three times higher than in the north, at 11.1% and 3.5% respectively. The double-dip recession </w:t>
      </w:r>
      <w:r w:rsidR="00AD59CC" w:rsidRPr="00AD59CC">
        <w:rPr>
          <w:rFonts w:cs="ITC Legacy Sans"/>
          <w:color w:val="000000"/>
          <w:sz w:val="23"/>
          <w:szCs w:val="23"/>
          <w:lang w:val="en-GB"/>
        </w:rPr>
        <w:t xml:space="preserve">slightly reduced this gap, starting a slow and ongoing convergence process; </w:t>
      </w:r>
      <w:r w:rsidR="00ED0729">
        <w:rPr>
          <w:rFonts w:cs="ITC Legacy Sans"/>
          <w:color w:val="000000"/>
          <w:sz w:val="23"/>
          <w:szCs w:val="23"/>
          <w:lang w:val="en-GB"/>
        </w:rPr>
        <w:t>S</w:t>
      </w:r>
      <w:r w:rsidR="00AD59CC" w:rsidRPr="00AD59CC">
        <w:rPr>
          <w:rFonts w:cs="ITC Legacy Sans"/>
          <w:color w:val="000000"/>
          <w:sz w:val="23"/>
          <w:szCs w:val="23"/>
          <w:lang w:val="en-GB"/>
        </w:rPr>
        <w:t xml:space="preserve">outhern unemployment is currently about 2.5 times higher than in the </w:t>
      </w:r>
      <w:r w:rsidR="00ED0729">
        <w:rPr>
          <w:rFonts w:cs="ITC Legacy Sans"/>
          <w:color w:val="000000"/>
          <w:sz w:val="23"/>
          <w:szCs w:val="23"/>
          <w:lang w:val="en-GB"/>
        </w:rPr>
        <w:t>N</w:t>
      </w:r>
      <w:r w:rsidR="00AD59CC" w:rsidRPr="00AD59CC">
        <w:rPr>
          <w:rFonts w:cs="ITC Legacy Sans"/>
          <w:color w:val="000000"/>
          <w:sz w:val="23"/>
          <w:szCs w:val="23"/>
          <w:lang w:val="en-GB"/>
        </w:rPr>
        <w:t xml:space="preserve">orth. </w:t>
      </w:r>
      <w:proofErr w:type="gramStart"/>
      <w:r w:rsidR="00AD59CC" w:rsidRPr="00AD59CC">
        <w:rPr>
          <w:rFonts w:cs="ITC Legacy Sans"/>
          <w:color w:val="000000"/>
          <w:sz w:val="23"/>
          <w:szCs w:val="23"/>
          <w:lang w:val="en-GB"/>
        </w:rPr>
        <w:t>Unfortunately</w:t>
      </w:r>
      <w:proofErr w:type="gramEnd"/>
      <w:r w:rsidR="00AD59CC" w:rsidRPr="00AD59CC">
        <w:rPr>
          <w:rFonts w:cs="ITC Legacy Sans"/>
          <w:color w:val="000000"/>
          <w:sz w:val="23"/>
          <w:szCs w:val="23"/>
          <w:lang w:val="en-GB"/>
        </w:rPr>
        <w:t xml:space="preserve"> this convergence seems to be a result of poor performance by </w:t>
      </w:r>
      <w:r w:rsidR="00ED0729">
        <w:rPr>
          <w:rFonts w:cs="ITC Legacy Sans"/>
          <w:color w:val="000000"/>
          <w:sz w:val="23"/>
          <w:szCs w:val="23"/>
          <w:lang w:val="en-GB"/>
        </w:rPr>
        <w:t>N</w:t>
      </w:r>
      <w:r w:rsidR="00AD59CC" w:rsidRPr="00AD59CC">
        <w:rPr>
          <w:rFonts w:cs="ITC Legacy Sans"/>
          <w:color w:val="000000"/>
          <w:sz w:val="23"/>
          <w:szCs w:val="23"/>
          <w:lang w:val="en-GB"/>
        </w:rPr>
        <w:t xml:space="preserve">orthern regions rather than improvement by </w:t>
      </w:r>
      <w:r w:rsidR="00ED0729">
        <w:rPr>
          <w:rFonts w:cs="ITC Legacy Sans"/>
          <w:color w:val="000000"/>
          <w:sz w:val="23"/>
          <w:szCs w:val="23"/>
          <w:lang w:val="en-GB"/>
        </w:rPr>
        <w:t>S</w:t>
      </w:r>
      <w:r w:rsidR="00AD59CC" w:rsidRPr="00AD59CC">
        <w:rPr>
          <w:rFonts w:cs="ITC Legacy Sans"/>
          <w:color w:val="000000"/>
          <w:sz w:val="23"/>
          <w:szCs w:val="23"/>
          <w:lang w:val="en-GB"/>
        </w:rPr>
        <w:t>outhern regions</w:t>
      </w:r>
      <w:r w:rsidR="001F0215">
        <w:rPr>
          <w:rFonts w:cs="ITC Legacy Sans"/>
          <w:color w:val="000000"/>
          <w:sz w:val="23"/>
          <w:szCs w:val="23"/>
          <w:lang w:val="en-GB"/>
        </w:rPr>
        <w:t>” (cit., pp. 7-8)</w:t>
      </w:r>
      <w:r w:rsidR="00AD59CC" w:rsidRPr="00AD59CC">
        <w:rPr>
          <w:rFonts w:cs="ITC Legacy Sans"/>
          <w:color w:val="000000"/>
          <w:sz w:val="23"/>
          <w:szCs w:val="23"/>
          <w:lang w:val="en-GB"/>
        </w:rPr>
        <w:t xml:space="preserve">. </w:t>
      </w:r>
    </w:p>
    <w:p w:rsidR="00AD59CC" w:rsidRPr="005477BF" w:rsidRDefault="00AD59CC" w:rsidP="00D237F4">
      <w:pPr>
        <w:spacing w:after="0"/>
        <w:rPr>
          <w:b/>
          <w:lang w:val="en-GB"/>
        </w:rPr>
      </w:pPr>
    </w:p>
    <w:p w:rsidR="009060BD" w:rsidRDefault="008603BE" w:rsidP="00B57E5A">
      <w:pPr>
        <w:autoSpaceDE w:val="0"/>
        <w:autoSpaceDN w:val="0"/>
        <w:adjustRightInd w:val="0"/>
        <w:spacing w:after="0"/>
        <w:jc w:val="both"/>
        <w:rPr>
          <w:rFonts w:cstheme="minorHAnsi"/>
          <w:lang w:val="en-GB"/>
        </w:rPr>
      </w:pPr>
      <w:r w:rsidRPr="00F85430">
        <w:rPr>
          <w:lang w:val="en-GB"/>
        </w:rPr>
        <w:t xml:space="preserve">As </w:t>
      </w:r>
      <w:r w:rsidR="00B36E73" w:rsidRPr="00F85430">
        <w:rPr>
          <w:lang w:val="en-GB"/>
        </w:rPr>
        <w:t xml:space="preserve">above </w:t>
      </w:r>
      <w:r w:rsidR="001F0215" w:rsidRPr="00F85430">
        <w:rPr>
          <w:lang w:val="en-GB"/>
        </w:rPr>
        <w:t xml:space="preserve">shortly </w:t>
      </w:r>
      <w:r w:rsidRPr="00F85430">
        <w:rPr>
          <w:lang w:val="en-GB"/>
        </w:rPr>
        <w:t>mentioned</w:t>
      </w:r>
      <w:r w:rsidR="001F0215" w:rsidRPr="00F85430">
        <w:rPr>
          <w:lang w:val="en-GB"/>
        </w:rPr>
        <w:t xml:space="preserve">, </w:t>
      </w:r>
      <w:r w:rsidR="00541DDC" w:rsidRPr="00F85430">
        <w:rPr>
          <w:lang w:val="en-GB"/>
        </w:rPr>
        <w:t>“</w:t>
      </w:r>
      <w:r w:rsidR="00C821BB" w:rsidRPr="00F85430">
        <w:rPr>
          <w:rFonts w:cstheme="minorHAnsi"/>
          <w:lang w:val="en-GB"/>
        </w:rPr>
        <w:t>Italy undertook a major reform of the labour market in 2014-</w:t>
      </w:r>
      <w:r w:rsidR="00C821BB" w:rsidRPr="008D752B">
        <w:rPr>
          <w:rFonts w:cstheme="minorHAnsi"/>
          <w:lang w:val="en-GB"/>
        </w:rPr>
        <w:t>2015</w:t>
      </w:r>
      <w:r w:rsidR="00541DDC" w:rsidRPr="008D752B">
        <w:rPr>
          <w:rFonts w:cstheme="minorHAnsi"/>
          <w:lang w:val="en-GB"/>
        </w:rPr>
        <w:t>”</w:t>
      </w:r>
      <w:r w:rsidR="00604B13" w:rsidRPr="008D752B">
        <w:rPr>
          <w:rFonts w:cstheme="minorHAnsi"/>
          <w:lang w:val="en-GB"/>
        </w:rPr>
        <w:t xml:space="preserve"> whose name is </w:t>
      </w:r>
      <w:r w:rsidR="00C821BB" w:rsidRPr="008D752B">
        <w:rPr>
          <w:rFonts w:cstheme="minorHAnsi"/>
          <w:i/>
          <w:lang w:val="en-GB"/>
        </w:rPr>
        <w:t>Jobs Act</w:t>
      </w:r>
      <w:r w:rsidR="00541DDC" w:rsidRPr="008D752B">
        <w:rPr>
          <w:rFonts w:cstheme="minorHAnsi"/>
          <w:lang w:val="en-GB"/>
        </w:rPr>
        <w:t xml:space="preserve"> (</w:t>
      </w:r>
      <w:r w:rsidR="00CE7666" w:rsidRPr="008D752B">
        <w:rPr>
          <w:rFonts w:cstheme="minorHAnsi"/>
          <w:lang w:val="en-GB"/>
        </w:rPr>
        <w:t xml:space="preserve">Law 183/2014: </w:t>
      </w:r>
      <w:r w:rsidR="00604B13" w:rsidRPr="008D752B">
        <w:rPr>
          <w:rFonts w:cstheme="minorHAnsi"/>
          <w:lang w:val="en-GB"/>
        </w:rPr>
        <w:t>EC, 2017</w:t>
      </w:r>
      <w:r w:rsidR="00C821BB" w:rsidRPr="008D752B">
        <w:rPr>
          <w:rFonts w:cstheme="minorHAnsi"/>
          <w:lang w:val="en-GB"/>
        </w:rPr>
        <w:t>).</w:t>
      </w:r>
      <w:r w:rsidR="00604B13" w:rsidRPr="00F85430">
        <w:rPr>
          <w:rFonts w:cstheme="minorHAnsi"/>
          <w:lang w:val="en-GB"/>
        </w:rPr>
        <w:t xml:space="preserve"> Although </w:t>
      </w:r>
      <w:r w:rsidR="00B07335" w:rsidRPr="00F85430">
        <w:rPr>
          <w:rFonts w:cstheme="minorHAnsi"/>
          <w:lang w:val="en-GB"/>
        </w:rPr>
        <w:t xml:space="preserve">the </w:t>
      </w:r>
      <w:r w:rsidR="00B07335" w:rsidRPr="00F85430">
        <w:rPr>
          <w:rFonts w:cstheme="minorHAnsi"/>
          <w:i/>
          <w:lang w:val="en-GB"/>
        </w:rPr>
        <w:t xml:space="preserve">Jobs Act </w:t>
      </w:r>
      <w:r w:rsidR="00B07335" w:rsidRPr="00F85430">
        <w:rPr>
          <w:rFonts w:cstheme="minorHAnsi"/>
          <w:lang w:val="en-GB"/>
        </w:rPr>
        <w:t xml:space="preserve">will probably be amended in the next months by the new Italian Government (who entered in office last June), </w:t>
      </w:r>
      <w:r w:rsidR="00E47401" w:rsidRPr="00F85430">
        <w:rPr>
          <w:rFonts w:cstheme="minorHAnsi"/>
          <w:lang w:val="en-GB"/>
        </w:rPr>
        <w:t xml:space="preserve">it is useful here to shortly present the main results of a recent analysis of </w:t>
      </w:r>
      <w:r w:rsidR="00C821BB" w:rsidRPr="00F85430">
        <w:rPr>
          <w:rFonts w:cstheme="minorHAnsi"/>
          <w:lang w:val="en-GB"/>
        </w:rPr>
        <w:t>the key changes introduced</w:t>
      </w:r>
      <w:r w:rsidR="00E47401" w:rsidRPr="00F85430">
        <w:rPr>
          <w:rFonts w:cstheme="minorHAnsi"/>
          <w:lang w:val="en-GB"/>
        </w:rPr>
        <w:t xml:space="preserve"> by the reform as for employment protection, passive and active labour market policies</w:t>
      </w:r>
      <w:r w:rsidR="00F85430">
        <w:rPr>
          <w:rFonts w:cstheme="minorHAnsi"/>
          <w:lang w:val="en-GB"/>
        </w:rPr>
        <w:t xml:space="preserve"> (EC, cit., pp. 34-35)</w:t>
      </w:r>
      <w:r w:rsidR="00E47401" w:rsidRPr="00F85430">
        <w:rPr>
          <w:rFonts w:cstheme="minorHAnsi"/>
          <w:lang w:val="en-GB"/>
        </w:rPr>
        <w:t xml:space="preserve">. </w:t>
      </w:r>
      <w:r w:rsidR="00F85430" w:rsidRPr="00F85430">
        <w:rPr>
          <w:rFonts w:cstheme="minorHAnsi"/>
          <w:lang w:val="en-GB"/>
        </w:rPr>
        <w:t xml:space="preserve">A first area of changes concerns “measures </w:t>
      </w:r>
      <w:r w:rsidR="00F85430">
        <w:rPr>
          <w:rFonts w:cstheme="minorHAnsi"/>
          <w:lang w:val="en-GB"/>
        </w:rPr>
        <w:t xml:space="preserve">[which] </w:t>
      </w:r>
      <w:r w:rsidR="00F85430" w:rsidRPr="00F85430">
        <w:rPr>
          <w:rFonts w:cstheme="minorHAnsi"/>
          <w:lang w:val="en-GB"/>
        </w:rPr>
        <w:t>are</w:t>
      </w:r>
      <w:r w:rsidR="00F85430">
        <w:rPr>
          <w:rFonts w:cstheme="minorHAnsi"/>
          <w:lang w:val="en-GB"/>
        </w:rPr>
        <w:t xml:space="preserve"> </w:t>
      </w:r>
      <w:r w:rsidR="00F85430" w:rsidRPr="00E47401">
        <w:rPr>
          <w:rFonts w:cstheme="minorHAnsi"/>
          <w:lang w:val="en-GB"/>
        </w:rPr>
        <w:t>expected to reduce segmentation and its alleged negative impact on the economy</w:t>
      </w:r>
      <w:r w:rsidR="00F85430">
        <w:rPr>
          <w:rFonts w:cstheme="minorHAnsi"/>
          <w:lang w:val="en-GB"/>
        </w:rPr>
        <w:t xml:space="preserve"> “</w:t>
      </w:r>
      <w:r w:rsidR="00F85430" w:rsidRPr="00E47401">
        <w:rPr>
          <w:rFonts w:cstheme="minorHAnsi"/>
          <w:lang w:val="en-GB"/>
        </w:rPr>
        <w:t>.</w:t>
      </w:r>
      <w:r w:rsidR="00F85430">
        <w:rPr>
          <w:rFonts w:cstheme="minorHAnsi"/>
          <w:lang w:val="en-GB"/>
        </w:rPr>
        <w:t xml:space="preserve"> </w:t>
      </w:r>
      <w:r w:rsidR="00281685">
        <w:rPr>
          <w:rFonts w:cstheme="minorHAnsi"/>
          <w:lang w:val="en-GB"/>
        </w:rPr>
        <w:t>With this aim, “</w:t>
      </w:r>
      <w:r w:rsidR="000077C0" w:rsidRPr="00E47401">
        <w:rPr>
          <w:rFonts w:cstheme="minorHAnsi"/>
          <w:lang w:val="en-GB"/>
        </w:rPr>
        <w:t>the Jobs Act has contributed to bring Italian labour market</w:t>
      </w:r>
      <w:r w:rsidR="00E47401" w:rsidRPr="00E47401">
        <w:rPr>
          <w:rFonts w:cstheme="minorHAnsi"/>
          <w:lang w:val="en-GB"/>
        </w:rPr>
        <w:t xml:space="preserve"> </w:t>
      </w:r>
      <w:r w:rsidR="000077C0" w:rsidRPr="00E47401">
        <w:rPr>
          <w:rFonts w:cstheme="minorHAnsi"/>
          <w:lang w:val="en-GB"/>
        </w:rPr>
        <w:t>institutions more closely into line with international benchmarks and wit</w:t>
      </w:r>
      <w:r w:rsidR="00E47401">
        <w:rPr>
          <w:rFonts w:cstheme="minorHAnsi"/>
          <w:lang w:val="en-GB"/>
        </w:rPr>
        <w:t xml:space="preserve">h the principles of </w:t>
      </w:r>
      <w:r w:rsidR="00E47401" w:rsidRPr="00B20BD3">
        <w:rPr>
          <w:rFonts w:cstheme="minorHAnsi"/>
          <w:i/>
          <w:lang w:val="en-GB"/>
        </w:rPr>
        <w:t>flexicurity</w:t>
      </w:r>
      <w:r w:rsidR="00281685">
        <w:rPr>
          <w:rFonts w:cstheme="minorHAnsi"/>
          <w:lang w:val="en-GB"/>
        </w:rPr>
        <w:t>”: in addition, “e</w:t>
      </w:r>
      <w:r w:rsidR="000077C0" w:rsidRPr="00E47401">
        <w:rPr>
          <w:rFonts w:cstheme="minorHAnsi"/>
          <w:lang w:val="en-GB"/>
        </w:rPr>
        <w:t>mployment protection legislation for (new) permanent contracts is now aligned with that of major</w:t>
      </w:r>
      <w:r w:rsidR="00E47401" w:rsidRPr="00E47401">
        <w:rPr>
          <w:rFonts w:cstheme="minorHAnsi"/>
          <w:lang w:val="en-GB"/>
        </w:rPr>
        <w:t xml:space="preserve"> </w:t>
      </w:r>
      <w:r w:rsidR="000077C0" w:rsidRPr="00E47401">
        <w:rPr>
          <w:rFonts w:cstheme="minorHAnsi"/>
          <w:lang w:val="en-GB"/>
        </w:rPr>
        <w:t>European partners, although it remains more restrictive than the OECD average</w:t>
      </w:r>
      <w:r w:rsidR="00281685">
        <w:rPr>
          <w:rFonts w:cstheme="minorHAnsi"/>
          <w:lang w:val="en-GB"/>
        </w:rPr>
        <w:t xml:space="preserve">, and </w:t>
      </w:r>
      <w:r w:rsidR="000077C0" w:rsidRPr="00E47401">
        <w:rPr>
          <w:rFonts w:cstheme="minorHAnsi"/>
          <w:lang w:val="en-GB"/>
        </w:rPr>
        <w:t>the use of ‘atypical’ contracts, which are characterised by</w:t>
      </w:r>
      <w:r w:rsidR="00E47401" w:rsidRPr="00E47401">
        <w:rPr>
          <w:rFonts w:cstheme="minorHAnsi"/>
          <w:lang w:val="en-GB"/>
        </w:rPr>
        <w:t xml:space="preserve"> </w:t>
      </w:r>
      <w:r w:rsidR="000077C0" w:rsidRPr="00E47401">
        <w:rPr>
          <w:rFonts w:cstheme="minorHAnsi"/>
          <w:lang w:val="en-GB"/>
        </w:rPr>
        <w:t>very weak employment protection and very low social benefits, is restricted</w:t>
      </w:r>
      <w:r w:rsidR="00281685">
        <w:rPr>
          <w:rFonts w:cstheme="minorHAnsi"/>
          <w:lang w:val="en-GB"/>
        </w:rPr>
        <w:t>”</w:t>
      </w:r>
      <w:r w:rsidR="000077C0" w:rsidRPr="00E47401">
        <w:rPr>
          <w:rFonts w:cstheme="minorHAnsi"/>
          <w:lang w:val="en-GB"/>
        </w:rPr>
        <w:t>.</w:t>
      </w:r>
      <w:r w:rsidR="00281685">
        <w:rPr>
          <w:rFonts w:cstheme="minorHAnsi"/>
          <w:lang w:val="en-GB"/>
        </w:rPr>
        <w:t xml:space="preserve"> </w:t>
      </w:r>
      <w:r w:rsidR="004C1A32">
        <w:rPr>
          <w:rFonts w:cstheme="minorHAnsi"/>
          <w:lang w:val="en-GB"/>
        </w:rPr>
        <w:t>A second area of changes regards the “</w:t>
      </w:r>
      <w:r w:rsidR="000077C0" w:rsidRPr="00E47401">
        <w:rPr>
          <w:rFonts w:cstheme="minorHAnsi"/>
          <w:lang w:val="en-GB"/>
        </w:rPr>
        <w:t>focus of passive policies</w:t>
      </w:r>
      <w:r w:rsidR="004C1A32">
        <w:rPr>
          <w:rFonts w:cstheme="minorHAnsi"/>
          <w:lang w:val="en-GB"/>
        </w:rPr>
        <w:t>” which “</w:t>
      </w:r>
      <w:r w:rsidR="000077C0" w:rsidRPr="00E47401">
        <w:rPr>
          <w:rFonts w:cstheme="minorHAnsi"/>
          <w:lang w:val="en-GB"/>
        </w:rPr>
        <w:t>has shifted significantly from job to worker protection</w:t>
      </w:r>
      <w:r w:rsidR="004C1A32">
        <w:rPr>
          <w:rFonts w:cstheme="minorHAnsi"/>
          <w:lang w:val="en-GB"/>
        </w:rPr>
        <w:t xml:space="preserve">: [….] </w:t>
      </w:r>
      <w:r w:rsidR="000077C0" w:rsidRPr="00E47401">
        <w:rPr>
          <w:rFonts w:cstheme="minorHAnsi"/>
          <w:lang w:val="en-GB"/>
        </w:rPr>
        <w:t>unemployment insurance was made</w:t>
      </w:r>
      <w:r w:rsidR="004C1A32">
        <w:rPr>
          <w:rFonts w:cstheme="minorHAnsi"/>
          <w:lang w:val="en-GB"/>
        </w:rPr>
        <w:t xml:space="preserve"> </w:t>
      </w:r>
      <w:r w:rsidR="000077C0" w:rsidRPr="00E47401">
        <w:rPr>
          <w:rFonts w:cstheme="minorHAnsi"/>
          <w:lang w:val="en-GB"/>
        </w:rPr>
        <w:t>more generous and extended in coverage, which enhances the fairness of the system</w:t>
      </w:r>
      <w:r w:rsidR="004C1A32">
        <w:rPr>
          <w:rFonts w:cstheme="minorHAnsi"/>
          <w:lang w:val="en-GB"/>
        </w:rPr>
        <w:t>”</w:t>
      </w:r>
      <w:r w:rsidR="000077C0" w:rsidRPr="00E47401">
        <w:rPr>
          <w:rFonts w:cstheme="minorHAnsi"/>
          <w:lang w:val="en-GB"/>
        </w:rPr>
        <w:t xml:space="preserve">. </w:t>
      </w:r>
      <w:r w:rsidR="004C1A32">
        <w:rPr>
          <w:rFonts w:cstheme="minorHAnsi"/>
          <w:lang w:val="en-GB"/>
        </w:rPr>
        <w:t>A third area of modifications involves active labour market policies whose “</w:t>
      </w:r>
      <w:r w:rsidR="000077C0" w:rsidRPr="00E47401">
        <w:rPr>
          <w:rFonts w:cstheme="minorHAnsi"/>
          <w:lang w:val="en-GB"/>
        </w:rPr>
        <w:t>planned</w:t>
      </w:r>
      <w:r w:rsidR="004C1A32">
        <w:rPr>
          <w:rFonts w:cstheme="minorHAnsi"/>
          <w:lang w:val="en-GB"/>
        </w:rPr>
        <w:t xml:space="preserve"> </w:t>
      </w:r>
      <w:r w:rsidR="000077C0" w:rsidRPr="00E47401">
        <w:rPr>
          <w:rFonts w:cstheme="minorHAnsi"/>
          <w:lang w:val="en-GB"/>
        </w:rPr>
        <w:t>strengthening</w:t>
      </w:r>
      <w:r w:rsidR="004C1A32">
        <w:rPr>
          <w:rFonts w:cstheme="minorHAnsi"/>
          <w:lang w:val="en-GB"/>
        </w:rPr>
        <w:t xml:space="preserve">” is expected to “help reducing </w:t>
      </w:r>
      <w:r w:rsidR="000077C0" w:rsidRPr="00E47401">
        <w:rPr>
          <w:rFonts w:cstheme="minorHAnsi"/>
          <w:lang w:val="en-GB"/>
        </w:rPr>
        <w:t>moral hazard issues in passive policies and improve job matching, in turn helping efficient matching</w:t>
      </w:r>
      <w:r w:rsidR="004C1A32">
        <w:rPr>
          <w:rFonts w:cstheme="minorHAnsi"/>
          <w:lang w:val="en-GB"/>
        </w:rPr>
        <w:t xml:space="preserve"> </w:t>
      </w:r>
      <w:r w:rsidR="000077C0" w:rsidRPr="00E47401">
        <w:rPr>
          <w:rFonts w:cstheme="minorHAnsi"/>
          <w:lang w:val="en-GB"/>
        </w:rPr>
        <w:t>and reducing structural unemployment</w:t>
      </w:r>
      <w:r w:rsidR="004C1A32">
        <w:rPr>
          <w:rFonts w:cstheme="minorHAnsi"/>
          <w:lang w:val="en-GB"/>
        </w:rPr>
        <w:t>”</w:t>
      </w:r>
      <w:r w:rsidR="000077C0" w:rsidRPr="00E47401">
        <w:rPr>
          <w:rFonts w:cstheme="minorHAnsi"/>
          <w:lang w:val="en-GB"/>
        </w:rPr>
        <w:t>.</w:t>
      </w:r>
      <w:r w:rsidR="006C6CCA">
        <w:rPr>
          <w:rFonts w:cstheme="minorHAnsi"/>
          <w:lang w:val="en-GB"/>
        </w:rPr>
        <w:t xml:space="preserve"> The combination of these three </w:t>
      </w:r>
      <w:r w:rsidR="006C6CCA" w:rsidRPr="006C6CCA">
        <w:rPr>
          <w:rFonts w:cstheme="minorHAnsi"/>
          <w:i/>
          <w:lang w:val="en-GB"/>
        </w:rPr>
        <w:t>blocks of changes</w:t>
      </w:r>
      <w:r w:rsidR="006C6CCA">
        <w:rPr>
          <w:rFonts w:cstheme="minorHAnsi"/>
          <w:lang w:val="en-GB"/>
        </w:rPr>
        <w:t xml:space="preserve"> makes the Jobs Act “</w:t>
      </w:r>
      <w:r w:rsidR="000077C0" w:rsidRPr="00E47401">
        <w:rPr>
          <w:rFonts w:cstheme="minorHAnsi"/>
          <w:lang w:val="en-GB"/>
        </w:rPr>
        <w:t>an important step towards addressing Italy's</w:t>
      </w:r>
      <w:r w:rsidR="00F85430">
        <w:rPr>
          <w:rFonts w:cstheme="minorHAnsi"/>
          <w:lang w:val="en-GB"/>
        </w:rPr>
        <w:t xml:space="preserve"> </w:t>
      </w:r>
      <w:r w:rsidR="000077C0" w:rsidRPr="00E47401">
        <w:rPr>
          <w:rFonts w:cstheme="minorHAnsi"/>
          <w:lang w:val="en-GB"/>
        </w:rPr>
        <w:t xml:space="preserve">long-standing productivity </w:t>
      </w:r>
      <w:proofErr w:type="gramStart"/>
      <w:r w:rsidR="000077C0" w:rsidRPr="00E47401">
        <w:rPr>
          <w:rFonts w:cstheme="minorHAnsi"/>
          <w:lang w:val="en-GB"/>
        </w:rPr>
        <w:t>sluggishness, and</w:t>
      </w:r>
      <w:proofErr w:type="gramEnd"/>
      <w:r w:rsidR="000077C0" w:rsidRPr="00E47401">
        <w:rPr>
          <w:rFonts w:cstheme="minorHAnsi"/>
          <w:lang w:val="en-GB"/>
        </w:rPr>
        <w:t xml:space="preserve"> enhancing the ability of the Italian economy to withstand</w:t>
      </w:r>
      <w:r w:rsidR="00F85430">
        <w:rPr>
          <w:rFonts w:cstheme="minorHAnsi"/>
          <w:lang w:val="en-GB"/>
        </w:rPr>
        <w:t xml:space="preserve"> </w:t>
      </w:r>
      <w:r w:rsidR="000077C0" w:rsidRPr="00E47401">
        <w:rPr>
          <w:rFonts w:cstheme="minorHAnsi"/>
          <w:lang w:val="en-GB"/>
        </w:rPr>
        <w:t>external shocks and adjust to the challenges of the ever-changing global economy</w:t>
      </w:r>
      <w:r w:rsidR="006C6CCA">
        <w:rPr>
          <w:rFonts w:cstheme="minorHAnsi"/>
          <w:lang w:val="en-GB"/>
        </w:rPr>
        <w:t>”</w:t>
      </w:r>
      <w:r w:rsidR="000077C0" w:rsidRPr="00E47401">
        <w:rPr>
          <w:rFonts w:cstheme="minorHAnsi"/>
          <w:lang w:val="en-GB"/>
        </w:rPr>
        <w:t>.</w:t>
      </w:r>
      <w:r w:rsidR="006C6CCA">
        <w:rPr>
          <w:rFonts w:cstheme="minorHAnsi"/>
          <w:lang w:val="en-GB"/>
        </w:rPr>
        <w:t xml:space="preserve"> Nevertheless, “t</w:t>
      </w:r>
      <w:r w:rsidR="000077C0" w:rsidRPr="00E47401">
        <w:rPr>
          <w:rFonts w:cstheme="minorHAnsi"/>
          <w:lang w:val="en-GB"/>
        </w:rPr>
        <w:t xml:space="preserve">he impact of the overall </w:t>
      </w:r>
      <w:r w:rsidR="000077C0" w:rsidRPr="00E47401">
        <w:rPr>
          <w:rFonts w:cstheme="minorHAnsi"/>
          <w:lang w:val="en-GB"/>
        </w:rPr>
        <w:lastRenderedPageBreak/>
        <w:t>reform on</w:t>
      </w:r>
      <w:r w:rsidR="006C6CCA">
        <w:rPr>
          <w:rFonts w:cstheme="minorHAnsi"/>
          <w:lang w:val="en-GB"/>
        </w:rPr>
        <w:t xml:space="preserve"> </w:t>
      </w:r>
      <w:r w:rsidR="000077C0" w:rsidRPr="00E47401">
        <w:rPr>
          <w:rFonts w:cstheme="minorHAnsi"/>
          <w:lang w:val="en-GB"/>
        </w:rPr>
        <w:t>productivity is expected to materialise in the longer term</w:t>
      </w:r>
      <w:r w:rsidR="006C6CCA">
        <w:rPr>
          <w:rFonts w:cstheme="minorHAnsi"/>
          <w:lang w:val="en-GB"/>
        </w:rPr>
        <w:t>” and it is also depending on</w:t>
      </w:r>
      <w:r w:rsidR="000077C0" w:rsidRPr="00E47401">
        <w:rPr>
          <w:rFonts w:cstheme="minorHAnsi"/>
          <w:lang w:val="en-GB"/>
        </w:rPr>
        <w:t xml:space="preserve"> </w:t>
      </w:r>
      <w:r w:rsidR="006C6CCA">
        <w:rPr>
          <w:rFonts w:cstheme="minorHAnsi"/>
          <w:lang w:val="en-GB"/>
        </w:rPr>
        <w:t>“</w:t>
      </w:r>
      <w:r w:rsidR="000077C0" w:rsidRPr="00E47401">
        <w:rPr>
          <w:rFonts w:cstheme="minorHAnsi"/>
          <w:lang w:val="en-GB"/>
        </w:rPr>
        <w:t xml:space="preserve">flanking measures in other areas </w:t>
      </w:r>
      <w:r w:rsidR="006C6CCA">
        <w:rPr>
          <w:rFonts w:cstheme="minorHAnsi"/>
          <w:lang w:val="en-GB"/>
        </w:rPr>
        <w:t xml:space="preserve">[which] </w:t>
      </w:r>
      <w:r w:rsidR="000077C0" w:rsidRPr="00E47401">
        <w:rPr>
          <w:rFonts w:cstheme="minorHAnsi"/>
          <w:lang w:val="en-GB"/>
        </w:rPr>
        <w:t>are necessary to</w:t>
      </w:r>
      <w:r w:rsidR="006C6CCA">
        <w:rPr>
          <w:rFonts w:cstheme="minorHAnsi"/>
          <w:lang w:val="en-GB"/>
        </w:rPr>
        <w:t xml:space="preserve"> </w:t>
      </w:r>
      <w:r w:rsidR="000077C0" w:rsidRPr="00E47401">
        <w:rPr>
          <w:rFonts w:cstheme="minorHAnsi"/>
          <w:lang w:val="en-GB"/>
        </w:rPr>
        <w:t>compound the effect and deliver the entire potential impact of these measures</w:t>
      </w:r>
      <w:r w:rsidR="006C6CCA">
        <w:rPr>
          <w:rFonts w:cstheme="minorHAnsi"/>
          <w:lang w:val="en-GB"/>
        </w:rPr>
        <w:t>” (where “</w:t>
      </w:r>
      <w:r w:rsidR="000077C0" w:rsidRPr="00E47401">
        <w:rPr>
          <w:rFonts w:cstheme="minorHAnsi"/>
          <w:lang w:val="en-GB"/>
        </w:rPr>
        <w:t>the reform of ALMPs</w:t>
      </w:r>
      <w:r w:rsidR="006C6CCA">
        <w:rPr>
          <w:rFonts w:cstheme="minorHAnsi"/>
          <w:lang w:val="en-GB"/>
        </w:rPr>
        <w:t xml:space="preserve">” is indicated as probably the most important among these </w:t>
      </w:r>
      <w:r w:rsidR="006C6CCA" w:rsidRPr="006C6CCA">
        <w:rPr>
          <w:rFonts w:cstheme="minorHAnsi"/>
          <w:i/>
          <w:lang w:val="en-GB"/>
        </w:rPr>
        <w:t>flanking measures</w:t>
      </w:r>
      <w:r w:rsidR="00B57E5A">
        <w:rPr>
          <w:rFonts w:cstheme="minorHAnsi"/>
          <w:i/>
          <w:lang w:val="en-GB"/>
        </w:rPr>
        <w:t xml:space="preserve"> </w:t>
      </w:r>
      <w:r w:rsidR="00B57E5A">
        <w:rPr>
          <w:rFonts w:cstheme="minorHAnsi"/>
          <w:lang w:val="en-GB"/>
        </w:rPr>
        <w:t>together with the increase of public administrations effectiveness and of justice system functioning</w:t>
      </w:r>
      <w:r w:rsidR="006C6CCA">
        <w:rPr>
          <w:rFonts w:cstheme="minorHAnsi"/>
          <w:lang w:val="en-GB"/>
        </w:rPr>
        <w:t>).</w:t>
      </w:r>
      <w:r w:rsidR="004F46B6">
        <w:rPr>
          <w:rFonts w:cstheme="minorHAnsi"/>
          <w:lang w:val="en-GB"/>
        </w:rPr>
        <w:t xml:space="preserve"> In addition, “l</w:t>
      </w:r>
      <w:r w:rsidR="000077C0" w:rsidRPr="00E47401">
        <w:rPr>
          <w:rFonts w:cstheme="minorHAnsi"/>
          <w:lang w:val="en-GB"/>
        </w:rPr>
        <w:t>ooking forward</w:t>
      </w:r>
      <w:r w:rsidR="00386545">
        <w:rPr>
          <w:rFonts w:cstheme="minorHAnsi"/>
          <w:lang w:val="en-GB"/>
        </w:rPr>
        <w:t>”,</w:t>
      </w:r>
      <w:r w:rsidR="000077C0" w:rsidRPr="00E47401">
        <w:rPr>
          <w:rFonts w:cstheme="minorHAnsi"/>
          <w:lang w:val="en-GB"/>
        </w:rPr>
        <w:t xml:space="preserve"> </w:t>
      </w:r>
      <w:r w:rsidR="00B57E5A">
        <w:rPr>
          <w:rFonts w:cstheme="minorHAnsi"/>
          <w:lang w:val="en-GB"/>
        </w:rPr>
        <w:t xml:space="preserve">at least three </w:t>
      </w:r>
      <w:r w:rsidR="00386545">
        <w:rPr>
          <w:rFonts w:cstheme="minorHAnsi"/>
          <w:lang w:val="en-GB"/>
        </w:rPr>
        <w:t>relevant “</w:t>
      </w:r>
      <w:r w:rsidR="000077C0" w:rsidRPr="00E47401">
        <w:rPr>
          <w:rFonts w:cstheme="minorHAnsi"/>
          <w:lang w:val="en-GB"/>
        </w:rPr>
        <w:t>policy gaps</w:t>
      </w:r>
      <w:r w:rsidR="00386545">
        <w:rPr>
          <w:rFonts w:cstheme="minorHAnsi"/>
          <w:lang w:val="en-GB"/>
        </w:rPr>
        <w:t>” remain</w:t>
      </w:r>
      <w:r w:rsidR="00B57E5A">
        <w:rPr>
          <w:rFonts w:cstheme="minorHAnsi"/>
          <w:lang w:val="en-GB"/>
        </w:rPr>
        <w:t xml:space="preserve"> (</w:t>
      </w:r>
      <w:r w:rsidR="00B57E5A" w:rsidRPr="00327F8E">
        <w:rPr>
          <w:rFonts w:cstheme="minorHAnsi"/>
          <w:i/>
          <w:lang w:val="en-GB"/>
        </w:rPr>
        <w:t>Ibid</w:t>
      </w:r>
      <w:r w:rsidR="00327F8E" w:rsidRPr="00327F8E">
        <w:rPr>
          <w:rFonts w:cstheme="minorHAnsi"/>
          <w:i/>
          <w:lang w:val="en-GB"/>
        </w:rPr>
        <w:t>.</w:t>
      </w:r>
      <w:r w:rsidR="00B57E5A">
        <w:rPr>
          <w:rFonts w:cstheme="minorHAnsi"/>
          <w:lang w:val="en-GB"/>
        </w:rPr>
        <w:t>)</w:t>
      </w:r>
      <w:r w:rsidR="009060BD">
        <w:rPr>
          <w:rFonts w:cstheme="minorHAnsi"/>
          <w:lang w:val="en-GB"/>
        </w:rPr>
        <w:t>: “i</w:t>
      </w:r>
      <w:r w:rsidR="000077C0" w:rsidRPr="00E47401">
        <w:rPr>
          <w:rFonts w:cstheme="minorHAnsi"/>
          <w:lang w:val="en-GB"/>
        </w:rPr>
        <w:t>n the medium term, the new employment protection legislation, which currently applies to new</w:t>
      </w:r>
      <w:r w:rsidR="00D87CCE">
        <w:rPr>
          <w:rFonts w:cstheme="minorHAnsi"/>
          <w:lang w:val="en-GB"/>
        </w:rPr>
        <w:t xml:space="preserve"> </w:t>
      </w:r>
      <w:r w:rsidR="000077C0" w:rsidRPr="00E47401">
        <w:rPr>
          <w:rFonts w:cstheme="minorHAnsi"/>
          <w:lang w:val="en-GB"/>
        </w:rPr>
        <w:t>hires only, could be more effective if extended to existing permanent contracts (to the extent</w:t>
      </w:r>
      <w:r w:rsidR="00D87CCE">
        <w:rPr>
          <w:rFonts w:cstheme="minorHAnsi"/>
          <w:lang w:val="en-GB"/>
        </w:rPr>
        <w:t xml:space="preserve"> </w:t>
      </w:r>
      <w:r w:rsidR="000077C0" w:rsidRPr="00E47401">
        <w:rPr>
          <w:rFonts w:cstheme="minorHAnsi"/>
          <w:lang w:val="en-GB"/>
        </w:rPr>
        <w:t>possible)</w:t>
      </w:r>
      <w:r w:rsidR="009060BD">
        <w:rPr>
          <w:rFonts w:cstheme="minorHAnsi"/>
          <w:lang w:val="en-GB"/>
        </w:rPr>
        <w:t xml:space="preserve">”; </w:t>
      </w:r>
      <w:r w:rsidR="00B57E5A">
        <w:rPr>
          <w:rFonts w:cstheme="minorHAnsi"/>
          <w:lang w:val="en-GB"/>
        </w:rPr>
        <w:t xml:space="preserve">“a </w:t>
      </w:r>
      <w:r w:rsidR="000077C0" w:rsidRPr="00E47401">
        <w:rPr>
          <w:rFonts w:cstheme="minorHAnsi"/>
          <w:lang w:val="en-GB"/>
        </w:rPr>
        <w:t>more comprehensive approach is needed to increase female labour market participation</w:t>
      </w:r>
      <w:r w:rsidR="00B57E5A">
        <w:rPr>
          <w:rFonts w:cstheme="minorHAnsi"/>
          <w:lang w:val="en-GB"/>
        </w:rPr>
        <w:t>”; “t</w:t>
      </w:r>
      <w:r w:rsidR="000077C0" w:rsidRPr="00E47401">
        <w:rPr>
          <w:rFonts w:cstheme="minorHAnsi"/>
          <w:lang w:val="en-GB"/>
        </w:rPr>
        <w:t xml:space="preserve">he framework for collective bargaining needs to be </w:t>
      </w:r>
      <w:r w:rsidR="00B57E5A">
        <w:rPr>
          <w:rFonts w:cstheme="minorHAnsi"/>
          <w:lang w:val="en-GB"/>
        </w:rPr>
        <w:t xml:space="preserve">strengthen, </w:t>
      </w:r>
      <w:r w:rsidR="000077C0" w:rsidRPr="00E47401">
        <w:rPr>
          <w:rFonts w:cstheme="minorHAnsi"/>
          <w:lang w:val="en-GB"/>
        </w:rPr>
        <w:t>to cater for local differences in</w:t>
      </w:r>
      <w:r w:rsidR="00B57E5A">
        <w:rPr>
          <w:rFonts w:cstheme="minorHAnsi"/>
          <w:lang w:val="en-GB"/>
        </w:rPr>
        <w:t xml:space="preserve"> </w:t>
      </w:r>
      <w:r w:rsidR="000077C0" w:rsidRPr="00E47401">
        <w:rPr>
          <w:rFonts w:cstheme="minorHAnsi"/>
          <w:lang w:val="en-GB"/>
        </w:rPr>
        <w:t>productivity developments</w:t>
      </w:r>
      <w:r w:rsidR="00B57E5A">
        <w:rPr>
          <w:rFonts w:cstheme="minorHAnsi"/>
          <w:lang w:val="en-GB"/>
        </w:rPr>
        <w:t xml:space="preserve"> [….]</w:t>
      </w:r>
      <w:r w:rsidR="001F724C">
        <w:rPr>
          <w:rFonts w:cstheme="minorHAnsi"/>
          <w:lang w:val="en-GB"/>
        </w:rPr>
        <w:t>”</w:t>
      </w:r>
      <w:r w:rsidR="00B57E5A">
        <w:rPr>
          <w:rFonts w:cstheme="minorHAnsi"/>
          <w:lang w:val="en-GB"/>
        </w:rPr>
        <w:t xml:space="preserve"> (in </w:t>
      </w:r>
      <w:r w:rsidR="000077C0" w:rsidRPr="00E47401">
        <w:rPr>
          <w:rFonts w:cstheme="minorHAnsi"/>
          <w:lang w:val="en-GB"/>
        </w:rPr>
        <w:t>2016 only some 20% of firms were covered by firm or territorial-level contracts</w:t>
      </w:r>
      <w:r w:rsidR="00B57E5A">
        <w:rPr>
          <w:rFonts w:cstheme="minorHAnsi"/>
          <w:lang w:val="en-GB"/>
        </w:rPr>
        <w:t>)</w:t>
      </w:r>
      <w:r w:rsidR="000077C0" w:rsidRPr="00E47401">
        <w:rPr>
          <w:rFonts w:cstheme="minorHAnsi"/>
          <w:lang w:val="en-GB"/>
        </w:rPr>
        <w:t xml:space="preserve">. </w:t>
      </w:r>
    </w:p>
    <w:p w:rsidR="00B57E5A" w:rsidRPr="000077C0" w:rsidRDefault="00B57E5A" w:rsidP="000077C0">
      <w:pPr>
        <w:spacing w:after="0"/>
        <w:rPr>
          <w:b/>
          <w:lang w:val="en-GB"/>
        </w:rPr>
      </w:pPr>
    </w:p>
    <w:p w:rsidR="002615AF" w:rsidRDefault="00AF7B7D" w:rsidP="00D237F4">
      <w:pPr>
        <w:spacing w:after="0"/>
        <w:rPr>
          <w:b/>
          <w:lang w:val="en-GB"/>
        </w:rPr>
      </w:pPr>
      <w:r>
        <w:rPr>
          <w:b/>
          <w:lang w:val="en-GB"/>
        </w:rPr>
        <w:t>3.Str</w:t>
      </w:r>
      <w:r w:rsidR="002615AF">
        <w:rPr>
          <w:b/>
          <w:lang w:val="en-GB"/>
        </w:rPr>
        <w:t>u</w:t>
      </w:r>
      <w:r>
        <w:rPr>
          <w:b/>
          <w:lang w:val="en-GB"/>
        </w:rPr>
        <w:t>c</w:t>
      </w:r>
      <w:r w:rsidR="002615AF">
        <w:rPr>
          <w:b/>
          <w:lang w:val="en-GB"/>
        </w:rPr>
        <w:t>ture, dimension and challenges of the Vocational Training System in Italy</w:t>
      </w:r>
    </w:p>
    <w:p w:rsidR="00171B35" w:rsidRDefault="00CE7666" w:rsidP="00171B35">
      <w:pPr>
        <w:pStyle w:val="Paragraphedeliste"/>
        <w:spacing w:after="0"/>
        <w:ind w:left="0"/>
        <w:jc w:val="both"/>
        <w:rPr>
          <w:rFonts w:cstheme="minorHAnsi"/>
          <w:lang w:val="en-GB"/>
        </w:rPr>
      </w:pPr>
      <w:r w:rsidRPr="008D752B">
        <w:rPr>
          <w:rFonts w:cstheme="minorHAnsi"/>
          <w:lang w:val="en-GB"/>
        </w:rPr>
        <w:t>In Italy (INAPP, 2016, p. 16-17), “all young people have the right/duty (</w:t>
      </w:r>
      <w:proofErr w:type="spellStart"/>
      <w:r w:rsidR="008E012F">
        <w:rPr>
          <w:rFonts w:cstheme="minorHAnsi"/>
          <w:i/>
          <w:iCs/>
          <w:lang w:val="en-GB"/>
        </w:rPr>
        <w:t>D</w:t>
      </w:r>
      <w:r w:rsidRPr="008D752B">
        <w:rPr>
          <w:rFonts w:cstheme="minorHAnsi"/>
          <w:i/>
          <w:iCs/>
          <w:lang w:val="en-GB"/>
        </w:rPr>
        <w:t>iritto</w:t>
      </w:r>
      <w:proofErr w:type="spellEnd"/>
      <w:r w:rsidRPr="008D752B">
        <w:rPr>
          <w:rFonts w:cstheme="minorHAnsi"/>
          <w:i/>
          <w:iCs/>
          <w:lang w:val="en-GB"/>
        </w:rPr>
        <w:t>/</w:t>
      </w:r>
      <w:proofErr w:type="spellStart"/>
      <w:r w:rsidRPr="008D752B">
        <w:rPr>
          <w:rFonts w:cstheme="minorHAnsi"/>
          <w:i/>
          <w:iCs/>
          <w:lang w:val="en-GB"/>
        </w:rPr>
        <w:t>dovere</w:t>
      </w:r>
      <w:proofErr w:type="spellEnd"/>
      <w:r w:rsidRPr="008D752B">
        <w:rPr>
          <w:rFonts w:cstheme="minorHAnsi"/>
          <w:lang w:val="en-GB"/>
        </w:rPr>
        <w:t>) (Law</w:t>
      </w:r>
      <w:r w:rsidRPr="00CE7666">
        <w:rPr>
          <w:rFonts w:cstheme="minorHAnsi"/>
          <w:lang w:val="en-GB"/>
        </w:rPr>
        <w:t xml:space="preserve"> 53/2003) to</w:t>
      </w:r>
      <w:r>
        <w:rPr>
          <w:rFonts w:cstheme="minorHAnsi"/>
          <w:lang w:val="en-GB"/>
        </w:rPr>
        <w:t xml:space="preserve"> </w:t>
      </w:r>
      <w:r w:rsidRPr="00CE7666">
        <w:rPr>
          <w:rFonts w:cstheme="minorHAnsi"/>
          <w:lang w:val="en-GB"/>
        </w:rPr>
        <w:t>pursue their education and training for at least 12 years before reaching age</w:t>
      </w:r>
      <w:r>
        <w:rPr>
          <w:rFonts w:cstheme="minorHAnsi"/>
          <w:lang w:val="en-GB"/>
        </w:rPr>
        <w:t xml:space="preserve"> </w:t>
      </w:r>
      <w:r w:rsidRPr="00CE7666">
        <w:rPr>
          <w:rFonts w:cstheme="minorHAnsi"/>
          <w:lang w:val="en-GB"/>
        </w:rPr>
        <w:t>18 and should not leave education and training without a qualification.</w:t>
      </w:r>
      <w:r>
        <w:rPr>
          <w:rFonts w:cstheme="minorHAnsi"/>
          <w:lang w:val="en-GB"/>
        </w:rPr>
        <w:t xml:space="preserve"> </w:t>
      </w:r>
      <w:r w:rsidRPr="00CE7666">
        <w:rPr>
          <w:rFonts w:cstheme="minorHAnsi"/>
          <w:lang w:val="en-GB"/>
        </w:rPr>
        <w:t>Compulsory education lasts 10 years, up to 16, and includes the first two</w:t>
      </w:r>
      <w:r>
        <w:rPr>
          <w:rFonts w:cstheme="minorHAnsi"/>
          <w:lang w:val="en-GB"/>
        </w:rPr>
        <w:t xml:space="preserve"> </w:t>
      </w:r>
      <w:r w:rsidRPr="00CE7666">
        <w:rPr>
          <w:rFonts w:cstheme="minorHAnsi"/>
          <w:lang w:val="en-GB"/>
        </w:rPr>
        <w:t>years of upper secondary general education or VET</w:t>
      </w:r>
      <w:r>
        <w:rPr>
          <w:rStyle w:val="Appelnotedebasdep"/>
          <w:rFonts w:cstheme="minorHAnsi"/>
          <w:lang w:val="en-GB"/>
        </w:rPr>
        <w:footnoteReference w:id="8"/>
      </w:r>
      <w:r w:rsidRPr="00CE7666">
        <w:rPr>
          <w:rFonts w:cstheme="minorHAnsi"/>
          <w:lang w:val="en-GB"/>
        </w:rPr>
        <w:t>.</w:t>
      </w:r>
      <w:r>
        <w:rPr>
          <w:rFonts w:cstheme="minorHAnsi"/>
          <w:lang w:val="en-GB"/>
        </w:rPr>
        <w:t xml:space="preserve"> </w:t>
      </w:r>
      <w:r w:rsidRPr="00CE7666">
        <w:rPr>
          <w:rFonts w:cstheme="minorHAnsi"/>
          <w:lang w:val="en-GB"/>
        </w:rPr>
        <w:t>Young people complete lower secondary education at age 14. At this</w:t>
      </w:r>
      <w:r>
        <w:rPr>
          <w:rFonts w:cstheme="minorHAnsi"/>
          <w:lang w:val="en-GB"/>
        </w:rPr>
        <w:t xml:space="preserve"> </w:t>
      </w:r>
      <w:r w:rsidRPr="00CE7666">
        <w:rPr>
          <w:rFonts w:cstheme="minorHAnsi"/>
          <w:lang w:val="en-GB"/>
        </w:rPr>
        <w:t>stage, learners sit a state exam to acquire a certificate (EQF level 1)</w:t>
      </w:r>
      <w:r w:rsidR="001213A1">
        <w:rPr>
          <w:rFonts w:cstheme="minorHAnsi"/>
          <w:lang w:val="en-GB"/>
        </w:rPr>
        <w:t xml:space="preserve"> </w:t>
      </w:r>
      <w:r w:rsidRPr="00CE7666">
        <w:rPr>
          <w:rFonts w:cstheme="minorHAnsi"/>
          <w:lang w:val="en-GB"/>
        </w:rPr>
        <w:t>which grants admission to the upper secondary level where young people</w:t>
      </w:r>
      <w:r w:rsidR="001213A1">
        <w:rPr>
          <w:rFonts w:cstheme="minorHAnsi"/>
          <w:lang w:val="en-GB"/>
        </w:rPr>
        <w:t xml:space="preserve"> </w:t>
      </w:r>
      <w:r w:rsidRPr="00CE7666">
        <w:rPr>
          <w:rFonts w:cstheme="minorHAnsi"/>
          <w:lang w:val="en-GB"/>
        </w:rPr>
        <w:t>have the opportunity to choose between general education and VET.</w:t>
      </w:r>
      <w:r w:rsidR="001213A1">
        <w:rPr>
          <w:rFonts w:cstheme="minorHAnsi"/>
          <w:lang w:val="en-GB"/>
        </w:rPr>
        <w:t xml:space="preserve"> </w:t>
      </w:r>
      <w:r w:rsidRPr="00CE7666">
        <w:rPr>
          <w:rFonts w:cstheme="minorHAnsi"/>
          <w:lang w:val="en-GB"/>
        </w:rPr>
        <w:t>At upper secondary level, young people may opt for:</w:t>
      </w:r>
      <w:r w:rsidR="00171B35">
        <w:rPr>
          <w:rFonts w:cstheme="minorHAnsi"/>
          <w:lang w:val="en-GB"/>
        </w:rPr>
        <w:t xml:space="preserve"> </w:t>
      </w:r>
    </w:p>
    <w:p w:rsidR="00CE7666" w:rsidRPr="00CE7666" w:rsidRDefault="00CE7666" w:rsidP="00171B35">
      <w:pPr>
        <w:pStyle w:val="Paragraphedeliste"/>
        <w:spacing w:after="0"/>
        <w:ind w:left="0"/>
        <w:jc w:val="both"/>
        <w:rPr>
          <w:rFonts w:cstheme="minorHAnsi"/>
          <w:lang w:val="en-GB"/>
        </w:rPr>
      </w:pPr>
      <w:r w:rsidRPr="00CE7666">
        <w:rPr>
          <w:rFonts w:cstheme="minorHAnsi"/>
          <w:lang w:val="en-GB"/>
        </w:rPr>
        <w:t>(a) five-year programmes which include the two last years of compulsory</w:t>
      </w:r>
      <w:r w:rsidR="00171B35">
        <w:rPr>
          <w:rFonts w:cstheme="minorHAnsi"/>
          <w:lang w:val="en-GB"/>
        </w:rPr>
        <w:t xml:space="preserve"> </w:t>
      </w:r>
      <w:r w:rsidRPr="00CE7666">
        <w:rPr>
          <w:rFonts w:cstheme="minorHAnsi"/>
          <w:lang w:val="en-GB"/>
        </w:rPr>
        <w:t>education and three years (under the right/duty of education and training)</w:t>
      </w:r>
      <w:r w:rsidR="00171B35">
        <w:rPr>
          <w:rFonts w:cstheme="minorHAnsi"/>
          <w:lang w:val="en-GB"/>
        </w:rPr>
        <w:t xml:space="preserve"> </w:t>
      </w:r>
      <w:r w:rsidRPr="00CE7666">
        <w:rPr>
          <w:rFonts w:cstheme="minorHAnsi"/>
          <w:lang w:val="en-GB"/>
        </w:rPr>
        <w:t>in:</w:t>
      </w:r>
      <w:r w:rsidR="00171B35">
        <w:rPr>
          <w:rFonts w:cstheme="minorHAnsi"/>
          <w:lang w:val="en-GB"/>
        </w:rPr>
        <w:t xml:space="preserve"> </w:t>
      </w:r>
      <w:r w:rsidRPr="00CE7666">
        <w:rPr>
          <w:rFonts w:cstheme="minorHAnsi"/>
          <w:lang w:val="en-GB"/>
        </w:rPr>
        <w:t>(i) high schools (</w:t>
      </w:r>
      <w:proofErr w:type="spellStart"/>
      <w:r w:rsidRPr="00CE7666">
        <w:rPr>
          <w:rFonts w:cstheme="minorHAnsi"/>
          <w:i/>
          <w:iCs/>
          <w:lang w:val="en-GB"/>
        </w:rPr>
        <w:t>licei</w:t>
      </w:r>
      <w:proofErr w:type="spellEnd"/>
      <w:r w:rsidRPr="00CE7666">
        <w:rPr>
          <w:rFonts w:cstheme="minorHAnsi"/>
          <w:lang w:val="en-GB"/>
        </w:rPr>
        <w:t>). These provide general education</w:t>
      </w:r>
      <w:r w:rsidR="00171B35">
        <w:rPr>
          <w:rFonts w:cstheme="minorHAnsi"/>
          <w:lang w:val="en-GB"/>
        </w:rPr>
        <w:t xml:space="preserve"> </w:t>
      </w:r>
      <w:r w:rsidRPr="00CE7666">
        <w:rPr>
          <w:rFonts w:cstheme="minorHAnsi"/>
          <w:lang w:val="en-GB"/>
        </w:rPr>
        <w:t>programmes at upper secondary level;</w:t>
      </w:r>
      <w:r w:rsidR="00171B35">
        <w:rPr>
          <w:rFonts w:cstheme="minorHAnsi"/>
          <w:lang w:val="en-GB"/>
        </w:rPr>
        <w:t xml:space="preserve"> </w:t>
      </w:r>
      <w:r w:rsidRPr="00CE7666">
        <w:rPr>
          <w:rFonts w:cstheme="minorHAnsi"/>
          <w:lang w:val="en-GB"/>
        </w:rPr>
        <w:t>(ii) technical schools;</w:t>
      </w:r>
      <w:r w:rsidR="00171B35">
        <w:rPr>
          <w:rFonts w:cstheme="minorHAnsi"/>
          <w:lang w:val="en-GB"/>
        </w:rPr>
        <w:t xml:space="preserve"> </w:t>
      </w:r>
      <w:r w:rsidRPr="00CE7666">
        <w:rPr>
          <w:rFonts w:cstheme="minorHAnsi"/>
          <w:lang w:val="en-GB"/>
        </w:rPr>
        <w:t>(iii) vocational schools.</w:t>
      </w:r>
      <w:r w:rsidR="00171B35">
        <w:rPr>
          <w:rFonts w:cstheme="minorHAnsi"/>
          <w:lang w:val="en-GB"/>
        </w:rPr>
        <w:t xml:space="preserve"> </w:t>
      </w:r>
      <w:r w:rsidR="008E012F">
        <w:rPr>
          <w:rFonts w:cstheme="minorHAnsi"/>
          <w:lang w:val="en-GB"/>
        </w:rPr>
        <w:t xml:space="preserve">[…] </w:t>
      </w:r>
      <w:r w:rsidRPr="00CE7666">
        <w:rPr>
          <w:rFonts w:cstheme="minorHAnsi"/>
          <w:lang w:val="en-GB"/>
        </w:rPr>
        <w:t>The qualifications awarded after successful completion of high school,</w:t>
      </w:r>
      <w:r w:rsidR="00171B35">
        <w:rPr>
          <w:rFonts w:cstheme="minorHAnsi"/>
          <w:lang w:val="en-GB"/>
        </w:rPr>
        <w:t xml:space="preserve"> </w:t>
      </w:r>
      <w:r w:rsidRPr="00CE7666">
        <w:rPr>
          <w:rFonts w:cstheme="minorHAnsi"/>
          <w:lang w:val="en-GB"/>
        </w:rPr>
        <w:t>technical and vocational school are at EQF level 4 and a state leaving exam at</w:t>
      </w:r>
      <w:r w:rsidR="00171B35">
        <w:rPr>
          <w:rFonts w:cstheme="minorHAnsi"/>
          <w:lang w:val="en-GB"/>
        </w:rPr>
        <w:t xml:space="preserve"> </w:t>
      </w:r>
      <w:r w:rsidRPr="00CE7666">
        <w:rPr>
          <w:rFonts w:cstheme="minorHAnsi"/>
          <w:lang w:val="en-GB"/>
        </w:rPr>
        <w:t>the end of them gives access to higher education;</w:t>
      </w:r>
    </w:p>
    <w:p w:rsidR="00CE7666" w:rsidRPr="00CE7666" w:rsidRDefault="00CE7666" w:rsidP="00CE7666">
      <w:pPr>
        <w:autoSpaceDE w:val="0"/>
        <w:autoSpaceDN w:val="0"/>
        <w:adjustRightInd w:val="0"/>
        <w:spacing w:after="0"/>
        <w:jc w:val="both"/>
        <w:rPr>
          <w:rFonts w:cstheme="minorHAnsi"/>
          <w:lang w:val="en-GB"/>
        </w:rPr>
      </w:pPr>
      <w:r w:rsidRPr="00CE7666">
        <w:rPr>
          <w:rFonts w:cstheme="minorHAnsi"/>
          <w:lang w:val="en-GB"/>
        </w:rPr>
        <w:t xml:space="preserve">(b) Regional </w:t>
      </w:r>
      <w:r w:rsidR="008E012F">
        <w:rPr>
          <w:rFonts w:cstheme="minorHAnsi"/>
          <w:lang w:val="en-GB"/>
        </w:rPr>
        <w:t>[</w:t>
      </w:r>
      <w:r w:rsidRPr="00CE7666">
        <w:rPr>
          <w:rFonts w:cstheme="minorHAnsi"/>
          <w:lang w:val="en-GB"/>
        </w:rPr>
        <w:t>Education and</w:t>
      </w:r>
      <w:r w:rsidR="008E012F">
        <w:rPr>
          <w:rFonts w:cstheme="minorHAnsi"/>
          <w:lang w:val="en-GB"/>
        </w:rPr>
        <w:t>]</w:t>
      </w:r>
      <w:r w:rsidRPr="00CE7666">
        <w:rPr>
          <w:rFonts w:cstheme="minorHAnsi"/>
          <w:lang w:val="en-GB"/>
        </w:rPr>
        <w:t xml:space="preserve"> Vocational training courses (</w:t>
      </w:r>
      <w:proofErr w:type="spellStart"/>
      <w:r w:rsidRPr="00CE7666">
        <w:rPr>
          <w:rFonts w:cstheme="minorHAnsi"/>
          <w:lang w:val="en-GB"/>
        </w:rPr>
        <w:t>IeFP</w:t>
      </w:r>
      <w:proofErr w:type="spellEnd"/>
      <w:r w:rsidRPr="00CE7666">
        <w:rPr>
          <w:rFonts w:cstheme="minorHAnsi"/>
          <w:lang w:val="en-GB"/>
        </w:rPr>
        <w:t>) (3 or 4 years -</w:t>
      </w:r>
      <w:r w:rsidR="00047262">
        <w:rPr>
          <w:rFonts w:cstheme="minorHAnsi"/>
          <w:lang w:val="en-GB"/>
        </w:rPr>
        <w:t xml:space="preserve"> </w:t>
      </w:r>
      <w:r w:rsidRPr="00CE7666">
        <w:rPr>
          <w:rFonts w:cstheme="minorHAnsi"/>
          <w:lang w:val="en-GB"/>
        </w:rPr>
        <w:t>EQF 3 or 4 respectively)</w:t>
      </w:r>
      <w:r w:rsidR="00047262">
        <w:rPr>
          <w:rFonts w:cstheme="minorHAnsi"/>
          <w:lang w:val="en-GB"/>
        </w:rPr>
        <w:t>;</w:t>
      </w:r>
    </w:p>
    <w:p w:rsidR="00CE7666" w:rsidRPr="00CE7666" w:rsidRDefault="00CE7666" w:rsidP="00CE7666">
      <w:pPr>
        <w:autoSpaceDE w:val="0"/>
        <w:autoSpaceDN w:val="0"/>
        <w:adjustRightInd w:val="0"/>
        <w:spacing w:after="0"/>
        <w:jc w:val="both"/>
        <w:rPr>
          <w:rFonts w:cstheme="minorHAnsi"/>
          <w:lang w:val="en-GB"/>
        </w:rPr>
      </w:pPr>
      <w:r w:rsidRPr="00CE7666">
        <w:rPr>
          <w:rFonts w:cstheme="minorHAnsi"/>
          <w:lang w:val="en-GB"/>
        </w:rPr>
        <w:t>(c) an apprenticeship-type scheme (EQF 3 or 4).</w:t>
      </w:r>
    </w:p>
    <w:p w:rsidR="008E012F" w:rsidRDefault="00CE7666" w:rsidP="00987246">
      <w:pPr>
        <w:autoSpaceDE w:val="0"/>
        <w:autoSpaceDN w:val="0"/>
        <w:adjustRightInd w:val="0"/>
        <w:spacing w:after="0"/>
        <w:jc w:val="both"/>
        <w:rPr>
          <w:rFonts w:cstheme="minorHAnsi"/>
          <w:lang w:val="en-GB"/>
        </w:rPr>
      </w:pPr>
      <w:r w:rsidRPr="00CE7666">
        <w:rPr>
          <w:rFonts w:cstheme="minorHAnsi"/>
          <w:lang w:val="en-GB"/>
        </w:rPr>
        <w:t>At post-secondary level, the Italian system features higher technical</w:t>
      </w:r>
      <w:r w:rsidR="00047262">
        <w:rPr>
          <w:rFonts w:cstheme="minorHAnsi"/>
          <w:lang w:val="en-GB"/>
        </w:rPr>
        <w:t xml:space="preserve"> </w:t>
      </w:r>
      <w:r w:rsidRPr="00CE7666">
        <w:rPr>
          <w:rFonts w:cstheme="minorHAnsi"/>
          <w:lang w:val="en-GB"/>
        </w:rPr>
        <w:t>training (IFTS, ITS) and short programmes or courses (post-</w:t>
      </w:r>
      <w:proofErr w:type="spellStart"/>
      <w:r w:rsidRPr="00CE7666">
        <w:rPr>
          <w:rFonts w:cstheme="minorHAnsi"/>
          <w:lang w:val="en-GB"/>
        </w:rPr>
        <w:t>leFP</w:t>
      </w:r>
      <w:proofErr w:type="spellEnd"/>
      <w:r w:rsidRPr="00CE7666">
        <w:rPr>
          <w:rFonts w:cstheme="minorHAnsi"/>
          <w:lang w:val="en-GB"/>
        </w:rPr>
        <w:t xml:space="preserve"> and others).</w:t>
      </w:r>
      <w:r w:rsidR="00047262">
        <w:rPr>
          <w:rFonts w:cstheme="minorHAnsi"/>
          <w:lang w:val="en-GB"/>
        </w:rPr>
        <w:t xml:space="preserve"> </w:t>
      </w:r>
      <w:r w:rsidRPr="00CE7666">
        <w:rPr>
          <w:rFonts w:cstheme="minorHAnsi"/>
          <w:lang w:val="en-GB"/>
        </w:rPr>
        <w:t>VET courses also exist at higher education level.</w:t>
      </w:r>
      <w:r w:rsidR="00047262">
        <w:rPr>
          <w:rFonts w:cstheme="minorHAnsi"/>
          <w:lang w:val="en-GB"/>
        </w:rPr>
        <w:t xml:space="preserve"> </w:t>
      </w:r>
      <w:r w:rsidRPr="00CE7666">
        <w:rPr>
          <w:rFonts w:cstheme="minorHAnsi"/>
          <w:lang w:val="en-GB"/>
        </w:rPr>
        <w:t>Tertiary education (ISCED levels 665, 667, 766, 767, 768, 864) is divided</w:t>
      </w:r>
      <w:r w:rsidR="00047262">
        <w:rPr>
          <w:rFonts w:cstheme="minorHAnsi"/>
          <w:lang w:val="en-GB"/>
        </w:rPr>
        <w:t xml:space="preserve"> </w:t>
      </w:r>
      <w:r w:rsidRPr="00CE7666">
        <w:rPr>
          <w:rFonts w:cstheme="minorHAnsi"/>
          <w:lang w:val="en-GB"/>
        </w:rPr>
        <w:t>into higher education programmes at the university and higher education</w:t>
      </w:r>
      <w:r w:rsidR="00047262">
        <w:rPr>
          <w:rFonts w:cstheme="minorHAnsi"/>
          <w:lang w:val="en-GB"/>
        </w:rPr>
        <w:t xml:space="preserve"> </w:t>
      </w:r>
      <w:r w:rsidRPr="00CE7666">
        <w:rPr>
          <w:rFonts w:cstheme="minorHAnsi"/>
          <w:lang w:val="en-GB"/>
        </w:rPr>
        <w:t>programmes at non-university institutions</w:t>
      </w:r>
      <w:r w:rsidR="008E012F">
        <w:rPr>
          <w:rFonts w:cstheme="minorHAnsi"/>
          <w:lang w:val="en-GB"/>
        </w:rPr>
        <w:t xml:space="preserve">. </w:t>
      </w:r>
      <w:r w:rsidRPr="00CE7666">
        <w:rPr>
          <w:rFonts w:cstheme="minorHAnsi"/>
          <w:lang w:val="en-GB"/>
        </w:rPr>
        <w:t>Italian VET also offers adult education and Continuing Vocational Training</w:t>
      </w:r>
      <w:r w:rsidR="00047262">
        <w:rPr>
          <w:rFonts w:cstheme="minorHAnsi"/>
          <w:lang w:val="en-GB"/>
        </w:rPr>
        <w:t xml:space="preserve"> (</w:t>
      </w:r>
      <w:r w:rsidRPr="00CE7666">
        <w:rPr>
          <w:rFonts w:cstheme="minorHAnsi"/>
          <w:lang w:val="en-GB"/>
        </w:rPr>
        <w:t>CVT)</w:t>
      </w:r>
      <w:r w:rsidR="00DB45F4">
        <w:rPr>
          <w:rFonts w:cstheme="minorHAnsi"/>
          <w:lang w:val="en-GB"/>
        </w:rPr>
        <w:t xml:space="preserve">”. </w:t>
      </w:r>
    </w:p>
    <w:p w:rsidR="008E012F" w:rsidRDefault="008E012F" w:rsidP="00987246">
      <w:pPr>
        <w:autoSpaceDE w:val="0"/>
        <w:autoSpaceDN w:val="0"/>
        <w:adjustRightInd w:val="0"/>
        <w:spacing w:after="0"/>
        <w:jc w:val="both"/>
        <w:rPr>
          <w:rFonts w:cstheme="minorHAnsi"/>
          <w:lang w:val="en-GB"/>
        </w:rPr>
      </w:pPr>
    </w:p>
    <w:p w:rsidR="006C708C" w:rsidRDefault="00E95AC1" w:rsidP="00987246">
      <w:pPr>
        <w:autoSpaceDE w:val="0"/>
        <w:autoSpaceDN w:val="0"/>
        <w:adjustRightInd w:val="0"/>
        <w:spacing w:after="0"/>
        <w:jc w:val="both"/>
        <w:rPr>
          <w:rFonts w:cstheme="minorHAnsi"/>
          <w:lang w:val="en-GB"/>
        </w:rPr>
      </w:pPr>
      <w:r>
        <w:rPr>
          <w:rFonts w:cstheme="minorHAnsi"/>
          <w:lang w:val="en-GB"/>
        </w:rPr>
        <w:t xml:space="preserve">For the purposes of this </w:t>
      </w:r>
      <w:r w:rsidR="00A338BC">
        <w:rPr>
          <w:rFonts w:cstheme="minorHAnsi"/>
          <w:lang w:val="en-GB"/>
        </w:rPr>
        <w:t xml:space="preserve">report it is </w:t>
      </w:r>
      <w:r w:rsidR="00ED076F">
        <w:rPr>
          <w:rFonts w:cstheme="minorHAnsi"/>
          <w:lang w:val="en-GB"/>
        </w:rPr>
        <w:t xml:space="preserve">important </w:t>
      </w:r>
      <w:r w:rsidR="00A338BC">
        <w:rPr>
          <w:rFonts w:cstheme="minorHAnsi"/>
          <w:lang w:val="en-GB"/>
        </w:rPr>
        <w:t xml:space="preserve">to highlight that </w:t>
      </w:r>
      <w:r w:rsidR="00987246">
        <w:rPr>
          <w:rFonts w:cstheme="minorHAnsi"/>
          <w:lang w:val="en-GB"/>
        </w:rPr>
        <w:t>(</w:t>
      </w:r>
      <w:r w:rsidR="006C708C">
        <w:rPr>
          <w:rFonts w:cstheme="minorHAnsi"/>
          <w:lang w:val="en-GB"/>
        </w:rPr>
        <w:t>INAPP,</w:t>
      </w:r>
      <w:r w:rsidR="00987246">
        <w:rPr>
          <w:rFonts w:cstheme="minorHAnsi"/>
          <w:lang w:val="en-GB"/>
        </w:rPr>
        <w:t xml:space="preserve"> cit., p. 17) </w:t>
      </w:r>
      <w:r w:rsidR="00A338BC">
        <w:rPr>
          <w:rFonts w:cstheme="minorHAnsi"/>
          <w:lang w:val="en-GB"/>
        </w:rPr>
        <w:t>“i</w:t>
      </w:r>
      <w:r w:rsidR="00CE7666" w:rsidRPr="00CE7666">
        <w:rPr>
          <w:rFonts w:cstheme="minorHAnsi"/>
          <w:lang w:val="en-GB"/>
        </w:rPr>
        <w:t xml:space="preserve">n Italy, the </w:t>
      </w:r>
      <w:r w:rsidR="00A338BC">
        <w:rPr>
          <w:rFonts w:cstheme="minorHAnsi"/>
          <w:lang w:val="en-GB"/>
        </w:rPr>
        <w:t xml:space="preserve">expression </w:t>
      </w:r>
      <w:r w:rsidR="00A338BC" w:rsidRPr="009C15F4">
        <w:rPr>
          <w:rFonts w:cstheme="minorHAnsi"/>
          <w:i/>
          <w:lang w:val="en-GB"/>
        </w:rPr>
        <w:t>V</w:t>
      </w:r>
      <w:r w:rsidR="00CE7666" w:rsidRPr="009C15F4">
        <w:rPr>
          <w:rFonts w:cstheme="minorHAnsi"/>
          <w:i/>
          <w:lang w:val="en-GB"/>
        </w:rPr>
        <w:t xml:space="preserve">ocational </w:t>
      </w:r>
      <w:r w:rsidR="00A338BC" w:rsidRPr="009C15F4">
        <w:rPr>
          <w:rFonts w:cstheme="minorHAnsi"/>
          <w:i/>
          <w:lang w:val="en-GB"/>
        </w:rPr>
        <w:t>E</w:t>
      </w:r>
      <w:r w:rsidR="00CE7666" w:rsidRPr="009C15F4">
        <w:rPr>
          <w:rFonts w:cstheme="minorHAnsi"/>
          <w:i/>
          <w:lang w:val="en-GB"/>
        </w:rPr>
        <w:t xml:space="preserve">ducation and </w:t>
      </w:r>
      <w:r w:rsidR="00A338BC" w:rsidRPr="009C15F4">
        <w:rPr>
          <w:rFonts w:cstheme="minorHAnsi"/>
          <w:i/>
          <w:lang w:val="en-GB"/>
        </w:rPr>
        <w:t>T</w:t>
      </w:r>
      <w:r w:rsidR="00CE7666" w:rsidRPr="009C15F4">
        <w:rPr>
          <w:rFonts w:cstheme="minorHAnsi"/>
          <w:i/>
          <w:lang w:val="en-GB"/>
        </w:rPr>
        <w:t>raining</w:t>
      </w:r>
      <w:r w:rsidR="00CE7666" w:rsidRPr="00CE7666">
        <w:rPr>
          <w:rFonts w:cstheme="minorHAnsi"/>
          <w:lang w:val="en-GB"/>
        </w:rPr>
        <w:t xml:space="preserve"> is reserved for specific</w:t>
      </w:r>
      <w:r w:rsidR="00A338BC">
        <w:rPr>
          <w:rFonts w:cstheme="minorHAnsi"/>
          <w:lang w:val="en-GB"/>
        </w:rPr>
        <w:t xml:space="preserve"> </w:t>
      </w:r>
      <w:r w:rsidR="00CE7666" w:rsidRPr="00CE7666">
        <w:rPr>
          <w:rFonts w:cstheme="minorHAnsi"/>
          <w:lang w:val="en-GB"/>
        </w:rPr>
        <w:t>programmes primarily under the remit of the regions and autonomous provinces</w:t>
      </w:r>
      <w:r w:rsidR="00A338BC">
        <w:rPr>
          <w:rFonts w:cstheme="minorHAnsi"/>
          <w:lang w:val="en-GB"/>
        </w:rPr>
        <w:t xml:space="preserve">” (the literal translation of the Italian </w:t>
      </w:r>
      <w:r w:rsidR="00A338BC">
        <w:rPr>
          <w:rFonts w:cstheme="minorHAnsi"/>
          <w:lang w:val="en-GB"/>
        </w:rPr>
        <w:lastRenderedPageBreak/>
        <w:t xml:space="preserve">commonly used expression would be </w:t>
      </w:r>
      <w:r w:rsidR="00A338BC" w:rsidRPr="00A338BC">
        <w:rPr>
          <w:rFonts w:cstheme="minorHAnsi"/>
          <w:i/>
          <w:lang w:val="en-GB"/>
        </w:rPr>
        <w:t>Vocational Training</w:t>
      </w:r>
      <w:r w:rsidR="00A338BC">
        <w:rPr>
          <w:rFonts w:cstheme="minorHAnsi"/>
          <w:lang w:val="en-GB"/>
        </w:rPr>
        <w:t>, without mentioning the word Education)</w:t>
      </w:r>
      <w:r w:rsidR="00987246">
        <w:rPr>
          <w:rFonts w:cstheme="minorHAnsi"/>
          <w:lang w:val="en-GB"/>
        </w:rPr>
        <w:t>. Differently, “f</w:t>
      </w:r>
      <w:r w:rsidR="00CE7666" w:rsidRPr="00CE7666">
        <w:rPr>
          <w:rFonts w:cstheme="minorHAnsi"/>
          <w:lang w:val="en-GB"/>
        </w:rPr>
        <w:t>rom a European perspective the term ‘education and training’ comprises</w:t>
      </w:r>
      <w:r w:rsidR="00987246">
        <w:rPr>
          <w:rFonts w:cstheme="minorHAnsi"/>
          <w:lang w:val="en-GB"/>
        </w:rPr>
        <w:t xml:space="preserve"> </w:t>
      </w:r>
      <w:r w:rsidR="00CE7666" w:rsidRPr="00CE7666">
        <w:rPr>
          <w:rFonts w:cstheme="minorHAnsi"/>
          <w:lang w:val="en-GB"/>
        </w:rPr>
        <w:t>all types and levels of general and education and vocational education and</w:t>
      </w:r>
      <w:r w:rsidR="00987246">
        <w:rPr>
          <w:rFonts w:cstheme="minorHAnsi"/>
          <w:lang w:val="en-GB"/>
        </w:rPr>
        <w:t xml:space="preserve"> </w:t>
      </w:r>
      <w:r w:rsidR="00CE7666" w:rsidRPr="00CE7666">
        <w:rPr>
          <w:rFonts w:cstheme="minorHAnsi"/>
          <w:lang w:val="en-GB"/>
        </w:rPr>
        <w:t>training (VET). Irrespective of the provider or governance scheme, VET can take</w:t>
      </w:r>
      <w:r w:rsidR="00987246">
        <w:rPr>
          <w:rFonts w:cstheme="minorHAnsi"/>
          <w:lang w:val="en-GB"/>
        </w:rPr>
        <w:t xml:space="preserve"> </w:t>
      </w:r>
      <w:r w:rsidR="00CE7666" w:rsidRPr="00CE7666">
        <w:rPr>
          <w:rFonts w:cstheme="minorHAnsi"/>
          <w:lang w:val="en-GB"/>
        </w:rPr>
        <w:t>place at secondary, post-secondary or tertiary level in formal education and</w:t>
      </w:r>
      <w:r w:rsidR="00987246">
        <w:rPr>
          <w:rFonts w:cstheme="minorHAnsi"/>
          <w:lang w:val="en-GB"/>
        </w:rPr>
        <w:t xml:space="preserve"> </w:t>
      </w:r>
      <w:r w:rsidR="00CE7666" w:rsidRPr="00CE7666">
        <w:rPr>
          <w:rFonts w:cstheme="minorHAnsi"/>
          <w:lang w:val="en-GB"/>
        </w:rPr>
        <w:t>training or non-formal settings including active labour market measures. VET</w:t>
      </w:r>
      <w:r w:rsidR="00987246">
        <w:rPr>
          <w:rFonts w:cstheme="minorHAnsi"/>
          <w:lang w:val="en-GB"/>
        </w:rPr>
        <w:t xml:space="preserve"> </w:t>
      </w:r>
      <w:r w:rsidR="00CE7666" w:rsidRPr="00CE7666">
        <w:rPr>
          <w:rFonts w:cstheme="minorHAnsi"/>
          <w:lang w:val="en-GB"/>
        </w:rPr>
        <w:t>addresses young people and adults and can be school-based, company-based</w:t>
      </w:r>
      <w:r w:rsidR="00987246">
        <w:rPr>
          <w:rFonts w:cstheme="minorHAnsi"/>
          <w:lang w:val="en-GB"/>
        </w:rPr>
        <w:t xml:space="preserve"> </w:t>
      </w:r>
      <w:r w:rsidR="00CE7666" w:rsidRPr="00CE7666">
        <w:rPr>
          <w:rFonts w:cstheme="minorHAnsi"/>
          <w:lang w:val="en-GB"/>
        </w:rPr>
        <w:t xml:space="preserve">or combine school and company-based learning (apprenticeships). </w:t>
      </w:r>
      <w:r w:rsidR="00CE7666" w:rsidRPr="00987246">
        <w:rPr>
          <w:rFonts w:cstheme="minorHAnsi"/>
          <w:lang w:val="en-GB"/>
        </w:rPr>
        <w:t>Therefore,</w:t>
      </w:r>
      <w:r w:rsidR="00987246">
        <w:rPr>
          <w:rFonts w:cstheme="minorHAnsi"/>
          <w:lang w:val="en-GB"/>
        </w:rPr>
        <w:t xml:space="preserve"> </w:t>
      </w:r>
      <w:r w:rsidR="00CE7666" w:rsidRPr="00CE7666">
        <w:rPr>
          <w:rFonts w:cstheme="minorHAnsi"/>
          <w:lang w:val="en-GB"/>
        </w:rPr>
        <w:t>the term VET also covers the technical and vocational schools</w:t>
      </w:r>
      <w:r w:rsidR="00D45BE0">
        <w:rPr>
          <w:rFonts w:cstheme="minorHAnsi"/>
          <w:lang w:val="en-GB"/>
        </w:rPr>
        <w:t>”</w:t>
      </w:r>
      <w:r w:rsidR="00CE7666" w:rsidRPr="00CE7666">
        <w:rPr>
          <w:rFonts w:cstheme="minorHAnsi"/>
          <w:lang w:val="en-GB"/>
        </w:rPr>
        <w:t>.</w:t>
      </w:r>
      <w:r w:rsidR="00D45BE0">
        <w:rPr>
          <w:rFonts w:cstheme="minorHAnsi"/>
          <w:lang w:val="en-GB"/>
        </w:rPr>
        <w:t xml:space="preserve"> </w:t>
      </w:r>
      <w:r w:rsidR="00ED076F">
        <w:rPr>
          <w:rFonts w:cstheme="minorHAnsi"/>
          <w:lang w:val="en-GB"/>
        </w:rPr>
        <w:t>B</w:t>
      </w:r>
      <w:r w:rsidR="00D45BE0">
        <w:rPr>
          <w:rFonts w:cstheme="minorHAnsi"/>
          <w:lang w:val="en-GB"/>
        </w:rPr>
        <w:t>eing this report’s focus on Italy</w:t>
      </w:r>
      <w:r w:rsidR="00267493">
        <w:rPr>
          <w:rFonts w:cstheme="minorHAnsi"/>
          <w:lang w:val="en-GB"/>
        </w:rPr>
        <w:t>,</w:t>
      </w:r>
      <w:r w:rsidR="00D45BE0">
        <w:rPr>
          <w:rFonts w:cstheme="minorHAnsi"/>
          <w:lang w:val="en-GB"/>
        </w:rPr>
        <w:t xml:space="preserve"> </w:t>
      </w:r>
      <w:r w:rsidR="009C15F4">
        <w:rPr>
          <w:rFonts w:cstheme="minorHAnsi"/>
          <w:lang w:val="en-GB"/>
        </w:rPr>
        <w:t xml:space="preserve">the </w:t>
      </w:r>
      <w:r w:rsidR="00267493" w:rsidRPr="00267493">
        <w:rPr>
          <w:rFonts w:cstheme="minorHAnsi"/>
          <w:i/>
          <w:lang w:val="en-GB"/>
        </w:rPr>
        <w:t>Vocational Training System</w:t>
      </w:r>
      <w:r w:rsidR="00267493">
        <w:rPr>
          <w:rFonts w:cstheme="minorHAnsi"/>
          <w:lang w:val="en-GB"/>
        </w:rPr>
        <w:t xml:space="preserve"> </w:t>
      </w:r>
      <w:r w:rsidR="00956E94">
        <w:rPr>
          <w:rFonts w:cstheme="minorHAnsi"/>
          <w:lang w:val="en-GB"/>
        </w:rPr>
        <w:t xml:space="preserve">of </w:t>
      </w:r>
      <w:r w:rsidR="00FB42BE">
        <w:rPr>
          <w:rFonts w:cstheme="minorHAnsi"/>
          <w:lang w:val="en-GB"/>
        </w:rPr>
        <w:t xml:space="preserve">our </w:t>
      </w:r>
      <w:r w:rsidR="00956E94">
        <w:rPr>
          <w:rFonts w:cstheme="minorHAnsi"/>
          <w:lang w:val="en-GB"/>
        </w:rPr>
        <w:t xml:space="preserve">interest will </w:t>
      </w:r>
      <w:r w:rsidR="00AF1B72">
        <w:rPr>
          <w:rFonts w:cstheme="minorHAnsi"/>
          <w:lang w:val="en-GB"/>
        </w:rPr>
        <w:t xml:space="preserve">not include general adult education as well as technical and vocational </w:t>
      </w:r>
      <w:r w:rsidR="00617E3C">
        <w:rPr>
          <w:rFonts w:cstheme="minorHAnsi"/>
          <w:lang w:val="en-GB"/>
        </w:rPr>
        <w:t xml:space="preserve">upper secondary education. </w:t>
      </w:r>
      <w:r w:rsidR="001E5600">
        <w:rPr>
          <w:rFonts w:cstheme="minorHAnsi"/>
          <w:lang w:val="en-GB"/>
        </w:rPr>
        <w:t xml:space="preserve">This assumption implies including in </w:t>
      </w:r>
      <w:r w:rsidR="001E5600" w:rsidRPr="001E5600">
        <w:rPr>
          <w:rFonts w:cstheme="minorHAnsi"/>
          <w:i/>
          <w:lang w:val="en-GB"/>
        </w:rPr>
        <w:t>Vocational Training</w:t>
      </w:r>
      <w:r w:rsidR="001E5600">
        <w:rPr>
          <w:rFonts w:cstheme="minorHAnsi"/>
          <w:lang w:val="en-GB"/>
        </w:rPr>
        <w:t xml:space="preserve"> a very limited number of young (mostly unemployed) and, on the opposite, a </w:t>
      </w:r>
      <w:r w:rsidR="00ED076F">
        <w:rPr>
          <w:rFonts w:cstheme="minorHAnsi"/>
          <w:lang w:val="en-GB"/>
        </w:rPr>
        <w:t xml:space="preserve">quite </w:t>
      </w:r>
      <w:r w:rsidR="001E5600">
        <w:rPr>
          <w:rFonts w:cstheme="minorHAnsi"/>
          <w:lang w:val="en-GB"/>
        </w:rPr>
        <w:t xml:space="preserve">relevant number of </w:t>
      </w:r>
      <w:r w:rsidR="008A7BD6">
        <w:rPr>
          <w:rFonts w:cstheme="minorHAnsi"/>
          <w:lang w:val="en-GB"/>
        </w:rPr>
        <w:t xml:space="preserve">adult (mostly employed and attending </w:t>
      </w:r>
      <w:r w:rsidR="008A7BD6" w:rsidRPr="008A7BD6">
        <w:rPr>
          <w:rFonts w:cstheme="minorHAnsi"/>
          <w:i/>
          <w:lang w:val="en-GB"/>
        </w:rPr>
        <w:t>Continuous Vocational Training</w:t>
      </w:r>
      <w:r w:rsidR="008A7BD6">
        <w:rPr>
          <w:rFonts w:cstheme="minorHAnsi"/>
          <w:lang w:val="en-GB"/>
        </w:rPr>
        <w:t xml:space="preserve">, CVT). </w:t>
      </w:r>
      <w:r w:rsidR="006C708C">
        <w:rPr>
          <w:rFonts w:cstheme="minorHAnsi"/>
          <w:lang w:val="en-GB"/>
        </w:rPr>
        <w:t xml:space="preserve">In quantitative terms </w:t>
      </w:r>
      <w:r w:rsidR="006C708C" w:rsidRPr="008D752B">
        <w:rPr>
          <w:rFonts w:cstheme="minorHAnsi"/>
          <w:lang w:val="en-GB"/>
        </w:rPr>
        <w:t>(INAPP, cit.; ISFOL, 2016; INAPP, 2018A; INAPP, 2018B</w:t>
      </w:r>
      <w:r w:rsidR="00FF77E0" w:rsidRPr="008D752B">
        <w:rPr>
          <w:rFonts w:cstheme="minorHAnsi"/>
          <w:lang w:val="en-GB"/>
        </w:rPr>
        <w:t>)</w:t>
      </w:r>
      <w:r w:rsidR="006C708C" w:rsidRPr="008D752B">
        <w:rPr>
          <w:rFonts w:cstheme="minorHAnsi"/>
          <w:lang w:val="en-GB"/>
        </w:rPr>
        <w:t>:</w:t>
      </w:r>
    </w:p>
    <w:p w:rsidR="00C61F0F" w:rsidRPr="002C6050" w:rsidRDefault="002C6050" w:rsidP="00F81A26">
      <w:pPr>
        <w:pStyle w:val="Paragraphedeliste"/>
        <w:numPr>
          <w:ilvl w:val="0"/>
          <w:numId w:val="1"/>
        </w:numPr>
        <w:spacing w:after="0"/>
        <w:jc w:val="both"/>
        <w:rPr>
          <w:lang w:val="en-GB"/>
        </w:rPr>
      </w:pPr>
      <w:r>
        <w:rPr>
          <w:lang w:val="en-GB"/>
        </w:rPr>
        <w:t>students enrolled in</w:t>
      </w:r>
      <w:r w:rsidR="003568F1" w:rsidRPr="002C6050">
        <w:rPr>
          <w:lang w:val="en-GB"/>
        </w:rPr>
        <w:t xml:space="preserve"> regional initial </w:t>
      </w:r>
      <w:r w:rsidR="00713DC0" w:rsidRPr="002C6050">
        <w:rPr>
          <w:lang w:val="en-GB"/>
        </w:rPr>
        <w:t xml:space="preserve">VET </w:t>
      </w:r>
      <w:r w:rsidR="003568F1" w:rsidRPr="002C6050">
        <w:rPr>
          <w:lang w:val="en-GB"/>
        </w:rPr>
        <w:t xml:space="preserve">courses </w:t>
      </w:r>
      <w:r>
        <w:rPr>
          <w:lang w:val="en-GB"/>
        </w:rPr>
        <w:t xml:space="preserve">are about 322,000 </w:t>
      </w:r>
      <w:r w:rsidR="003568F1" w:rsidRPr="002C6050">
        <w:rPr>
          <w:lang w:val="en-GB"/>
        </w:rPr>
        <w:t xml:space="preserve">out of </w:t>
      </w:r>
      <w:r w:rsidR="00833632" w:rsidRPr="002C6050">
        <w:rPr>
          <w:lang w:val="en-GB"/>
        </w:rPr>
        <w:t>2,700,000 total students in upper secondary education (</w:t>
      </w:r>
      <w:r w:rsidR="00ED076F">
        <w:rPr>
          <w:lang w:val="en-GB"/>
        </w:rPr>
        <w:t xml:space="preserve">of whom: </w:t>
      </w:r>
      <w:r w:rsidRPr="002C6050">
        <w:rPr>
          <w:lang w:val="en-GB"/>
        </w:rPr>
        <w:t>870,000 in technical education and 550,000 in vocational education)</w:t>
      </w:r>
      <w:r w:rsidR="00DC44FC" w:rsidRPr="002C6050">
        <w:rPr>
          <w:rStyle w:val="Appelnotedebasdep"/>
          <w:lang w:val="en-GB"/>
        </w:rPr>
        <w:footnoteReference w:id="9"/>
      </w:r>
      <w:r w:rsidRPr="002C6050">
        <w:rPr>
          <w:lang w:val="en-GB"/>
        </w:rPr>
        <w:t>;</w:t>
      </w:r>
      <w:r w:rsidR="005C4ED1" w:rsidRPr="002C6050">
        <w:rPr>
          <w:lang w:val="en-GB"/>
        </w:rPr>
        <w:t xml:space="preserve"> </w:t>
      </w:r>
    </w:p>
    <w:p w:rsidR="00713DC0" w:rsidRPr="002C6050" w:rsidRDefault="002C6050" w:rsidP="00F81A26">
      <w:pPr>
        <w:pStyle w:val="Paragraphedeliste"/>
        <w:numPr>
          <w:ilvl w:val="0"/>
          <w:numId w:val="1"/>
        </w:numPr>
        <w:spacing w:after="0"/>
        <w:jc w:val="both"/>
        <w:rPr>
          <w:lang w:val="en-GB"/>
        </w:rPr>
      </w:pPr>
      <w:r>
        <w:rPr>
          <w:lang w:val="en-GB"/>
        </w:rPr>
        <w:t>a</w:t>
      </w:r>
      <w:r w:rsidR="00713DC0" w:rsidRPr="002C6050">
        <w:rPr>
          <w:lang w:val="en-GB"/>
        </w:rPr>
        <w:t>pprentices</w:t>
      </w:r>
      <w:r>
        <w:rPr>
          <w:lang w:val="en-GB"/>
        </w:rPr>
        <w:t xml:space="preserve"> are </w:t>
      </w:r>
      <w:r w:rsidR="00527204" w:rsidRPr="002C6050">
        <w:rPr>
          <w:lang w:val="en-GB"/>
        </w:rPr>
        <w:t>410,000 (2016)</w:t>
      </w:r>
      <w:r>
        <w:rPr>
          <w:lang w:val="en-GB"/>
        </w:rPr>
        <w:t xml:space="preserve"> but only </w:t>
      </w:r>
      <w:r w:rsidR="00527204" w:rsidRPr="002C6050">
        <w:rPr>
          <w:lang w:val="en-GB"/>
        </w:rPr>
        <w:t xml:space="preserve">150,000 of them attend formal training </w:t>
      </w:r>
      <w:r w:rsidR="00C51C46">
        <w:rPr>
          <w:lang w:val="en-GB"/>
        </w:rPr>
        <w:t xml:space="preserve">external to companies </w:t>
      </w:r>
      <w:r w:rsidR="00527204" w:rsidRPr="002C6050">
        <w:rPr>
          <w:lang w:val="en-GB"/>
        </w:rPr>
        <w:t>(</w:t>
      </w:r>
      <w:r w:rsidR="008D09A3">
        <w:rPr>
          <w:lang w:val="en-GB"/>
        </w:rPr>
        <w:t xml:space="preserve">and </w:t>
      </w:r>
      <w:r w:rsidR="00527204" w:rsidRPr="002C6050">
        <w:rPr>
          <w:lang w:val="en-GB"/>
        </w:rPr>
        <w:t xml:space="preserve">95% of </w:t>
      </w:r>
      <w:r w:rsidR="00ED076F">
        <w:rPr>
          <w:lang w:val="en-GB"/>
        </w:rPr>
        <w:t xml:space="preserve">the total </w:t>
      </w:r>
      <w:r w:rsidR="00527204" w:rsidRPr="002C6050">
        <w:rPr>
          <w:lang w:val="en-GB"/>
        </w:rPr>
        <w:t>apprentices has a contract aimed at achieving an occupational qualification and not an education/VET/academic qualification</w:t>
      </w:r>
      <w:r w:rsidR="00ED5864">
        <w:rPr>
          <w:lang w:val="en-GB"/>
        </w:rPr>
        <w:t xml:space="preserve"> or </w:t>
      </w:r>
      <w:r w:rsidR="00ED076F">
        <w:rPr>
          <w:lang w:val="en-GB"/>
        </w:rPr>
        <w:t>degree</w:t>
      </w:r>
      <w:r w:rsidR="00527204" w:rsidRPr="002C6050">
        <w:rPr>
          <w:lang w:val="en-GB"/>
        </w:rPr>
        <w:t>)</w:t>
      </w:r>
      <w:r w:rsidR="00C51C46">
        <w:rPr>
          <w:lang w:val="en-GB"/>
        </w:rPr>
        <w:t>;</w:t>
      </w:r>
      <w:r w:rsidR="00527204" w:rsidRPr="002C6050">
        <w:rPr>
          <w:lang w:val="en-GB"/>
        </w:rPr>
        <w:t xml:space="preserve">  </w:t>
      </w:r>
    </w:p>
    <w:p w:rsidR="00C61F0F" w:rsidRPr="007B56CF" w:rsidRDefault="005C4ED1" w:rsidP="00F81A26">
      <w:pPr>
        <w:pStyle w:val="Paragraphedeliste"/>
        <w:numPr>
          <w:ilvl w:val="0"/>
          <w:numId w:val="1"/>
        </w:numPr>
        <w:spacing w:after="0"/>
        <w:jc w:val="both"/>
        <w:rPr>
          <w:lang w:val="en-GB"/>
        </w:rPr>
      </w:pPr>
      <w:r w:rsidRPr="007B56CF">
        <w:rPr>
          <w:lang w:val="en-GB"/>
        </w:rPr>
        <w:t xml:space="preserve">about </w:t>
      </w:r>
      <w:r w:rsidR="007B56CF">
        <w:rPr>
          <w:lang w:val="en-GB"/>
        </w:rPr>
        <w:t xml:space="preserve">7,000 </w:t>
      </w:r>
      <w:r w:rsidR="00F81A26" w:rsidRPr="007B56CF">
        <w:rPr>
          <w:lang w:val="en-GB"/>
        </w:rPr>
        <w:t xml:space="preserve">students </w:t>
      </w:r>
      <w:r w:rsidR="007B56CF">
        <w:rPr>
          <w:lang w:val="en-GB"/>
        </w:rPr>
        <w:t xml:space="preserve">are </w:t>
      </w:r>
      <w:r w:rsidRPr="007B56CF">
        <w:rPr>
          <w:lang w:val="en-GB"/>
        </w:rPr>
        <w:t xml:space="preserve">enrolled in non-academic tertiary level courses </w:t>
      </w:r>
      <w:r w:rsidR="007B56CF" w:rsidRPr="007B56CF">
        <w:rPr>
          <w:lang w:val="en-GB"/>
        </w:rPr>
        <w:t xml:space="preserve">(INDIRE, 2017) </w:t>
      </w:r>
      <w:r w:rsidRPr="007B56CF">
        <w:rPr>
          <w:lang w:val="en-GB"/>
        </w:rPr>
        <w:t xml:space="preserve">compared to </w:t>
      </w:r>
      <w:r w:rsidR="007B56CF">
        <w:rPr>
          <w:lang w:val="en-GB"/>
        </w:rPr>
        <w:t xml:space="preserve">1,700,000 students </w:t>
      </w:r>
      <w:r w:rsidRPr="007B56CF">
        <w:rPr>
          <w:lang w:val="en-GB"/>
        </w:rPr>
        <w:t>enrolled in universities</w:t>
      </w:r>
      <w:r w:rsidR="007B56CF">
        <w:rPr>
          <w:lang w:val="en-GB"/>
        </w:rPr>
        <w:t xml:space="preserve"> (ISTAT, 2017);</w:t>
      </w:r>
      <w:r w:rsidRPr="007B56CF">
        <w:rPr>
          <w:lang w:val="en-GB"/>
        </w:rPr>
        <w:t xml:space="preserve"> </w:t>
      </w:r>
      <w:r w:rsidR="00C61F0F" w:rsidRPr="007B56CF">
        <w:rPr>
          <w:lang w:val="en-GB"/>
        </w:rPr>
        <w:t xml:space="preserve"> </w:t>
      </w:r>
    </w:p>
    <w:p w:rsidR="00A352AE" w:rsidRPr="00B06E9B" w:rsidRDefault="00B84E05" w:rsidP="00A352AE">
      <w:pPr>
        <w:pStyle w:val="Paragraphedeliste"/>
        <w:numPr>
          <w:ilvl w:val="0"/>
          <w:numId w:val="1"/>
        </w:numPr>
        <w:autoSpaceDE w:val="0"/>
        <w:autoSpaceDN w:val="0"/>
        <w:adjustRightInd w:val="0"/>
        <w:spacing w:after="0"/>
        <w:jc w:val="both"/>
        <w:rPr>
          <w:rFonts w:ascii="Calibri" w:hAnsi="Calibri" w:cs="Calibri"/>
          <w:lang w:val="en-GB"/>
        </w:rPr>
      </w:pPr>
      <w:r w:rsidRPr="007B56CF">
        <w:rPr>
          <w:lang w:val="en-GB"/>
        </w:rPr>
        <w:t xml:space="preserve">almost 4 </w:t>
      </w:r>
      <w:proofErr w:type="gramStart"/>
      <w:r w:rsidRPr="007B56CF">
        <w:rPr>
          <w:lang w:val="en-GB"/>
        </w:rPr>
        <w:t>Millions</w:t>
      </w:r>
      <w:proofErr w:type="gramEnd"/>
      <w:r w:rsidRPr="007B56CF">
        <w:rPr>
          <w:lang w:val="en-GB"/>
        </w:rPr>
        <w:t xml:space="preserve"> </w:t>
      </w:r>
      <w:r w:rsidR="00ED076F">
        <w:rPr>
          <w:lang w:val="en-GB"/>
        </w:rPr>
        <w:t xml:space="preserve">of </w:t>
      </w:r>
      <w:r w:rsidRPr="007B56CF">
        <w:rPr>
          <w:lang w:val="en-GB"/>
        </w:rPr>
        <w:t>employees belonging to companies with at least 10 employees participated in training organized by companies</w:t>
      </w:r>
      <w:r w:rsidRPr="00B06E9B">
        <w:rPr>
          <w:lang w:val="en-GB"/>
        </w:rPr>
        <w:t xml:space="preserve"> </w:t>
      </w:r>
      <w:r w:rsidR="007B56CF" w:rsidRPr="008D752B">
        <w:rPr>
          <w:lang w:val="en-GB"/>
        </w:rPr>
        <w:t xml:space="preserve">(CVT) </w:t>
      </w:r>
      <w:r w:rsidR="008D09A3">
        <w:rPr>
          <w:lang w:val="en-GB"/>
        </w:rPr>
        <w:t>in 2015</w:t>
      </w:r>
      <w:r w:rsidR="008D09A3">
        <w:rPr>
          <w:rStyle w:val="Appelnotedebasdep"/>
          <w:lang w:val="en-GB"/>
        </w:rPr>
        <w:footnoteReference w:id="10"/>
      </w:r>
      <w:r w:rsidR="008D09A3">
        <w:rPr>
          <w:lang w:val="en-GB"/>
        </w:rPr>
        <w:t xml:space="preserve"> </w:t>
      </w:r>
      <w:r w:rsidRPr="008D752B">
        <w:rPr>
          <w:lang w:val="en-GB"/>
        </w:rPr>
        <w:t xml:space="preserve">to </w:t>
      </w:r>
      <w:r w:rsidR="00E739C3" w:rsidRPr="008D752B">
        <w:rPr>
          <w:lang w:val="en-GB"/>
        </w:rPr>
        <w:t xml:space="preserve">improve, update or develop new skills or competences. </w:t>
      </w:r>
      <w:r w:rsidR="00DB41FE" w:rsidRPr="008D752B">
        <w:rPr>
          <w:lang w:val="en-GB"/>
        </w:rPr>
        <w:t>In the same year (</w:t>
      </w:r>
      <w:r w:rsidR="00DC44FC" w:rsidRPr="008D752B">
        <w:rPr>
          <w:lang w:val="en-GB"/>
        </w:rPr>
        <w:t xml:space="preserve">ANPAL 2018, p. 19 and </w:t>
      </w:r>
      <w:proofErr w:type="spellStart"/>
      <w:r w:rsidR="00DC44FC" w:rsidRPr="008D752B">
        <w:rPr>
          <w:lang w:val="en-GB"/>
        </w:rPr>
        <w:t>foll</w:t>
      </w:r>
      <w:proofErr w:type="spellEnd"/>
      <w:r w:rsidR="00DC44FC" w:rsidRPr="008D752B">
        <w:rPr>
          <w:lang w:val="en-GB"/>
        </w:rPr>
        <w:t>.)</w:t>
      </w:r>
      <w:r w:rsidR="00132D31" w:rsidRPr="008D752B">
        <w:rPr>
          <w:lang w:val="en-GB"/>
        </w:rPr>
        <w:t xml:space="preserve">, </w:t>
      </w:r>
      <w:r w:rsidR="00DB41FE" w:rsidRPr="008D752B">
        <w:rPr>
          <w:lang w:val="en-GB"/>
        </w:rPr>
        <w:t xml:space="preserve">training companies with at least 10 employees were about </w:t>
      </w:r>
      <w:r w:rsidR="00DC44FC" w:rsidRPr="008D752B">
        <w:rPr>
          <w:rFonts w:ascii="Calibri" w:hAnsi="Calibri" w:cs="Calibri"/>
          <w:lang w:val="en-GB"/>
        </w:rPr>
        <w:t>116.000</w:t>
      </w:r>
      <w:r w:rsidR="00DB41FE" w:rsidRPr="00B06E9B">
        <w:rPr>
          <w:rFonts w:ascii="Calibri" w:hAnsi="Calibri" w:cs="Calibri"/>
          <w:lang w:val="en-GB"/>
        </w:rPr>
        <w:t xml:space="preserve"> out of a total of approximately </w:t>
      </w:r>
      <w:r w:rsidR="00DC44FC" w:rsidRPr="00B06E9B">
        <w:rPr>
          <w:rFonts w:ascii="Calibri" w:hAnsi="Calibri" w:cs="Calibri"/>
          <w:lang w:val="en-GB"/>
        </w:rPr>
        <w:t>190.000.</w:t>
      </w:r>
      <w:r w:rsidR="00132D31" w:rsidRPr="00B06E9B">
        <w:rPr>
          <w:rFonts w:ascii="Calibri" w:hAnsi="Calibri" w:cs="Calibri"/>
          <w:lang w:val="en-GB"/>
        </w:rPr>
        <w:t xml:space="preserve"> </w:t>
      </w:r>
      <w:r w:rsidR="00DB41FE" w:rsidRPr="00B06E9B">
        <w:rPr>
          <w:rFonts w:ascii="Calibri" w:hAnsi="Calibri" w:cs="Calibri"/>
          <w:lang w:val="en-GB"/>
        </w:rPr>
        <w:t xml:space="preserve">Since 2010, the share of companies with at least 10 employees which </w:t>
      </w:r>
      <w:r w:rsidR="009148F7" w:rsidRPr="00B06E9B">
        <w:rPr>
          <w:rFonts w:ascii="Calibri" w:hAnsi="Calibri" w:cs="Calibri"/>
          <w:lang w:val="en-GB"/>
        </w:rPr>
        <w:t xml:space="preserve">benefitted of training increased from 55.6% (2010) to 60.2% (2015). </w:t>
      </w:r>
      <w:r w:rsidR="00B06E9B" w:rsidRPr="00B06E9B">
        <w:rPr>
          <w:rFonts w:ascii="Calibri" w:hAnsi="Calibri" w:cs="Calibri"/>
          <w:lang w:val="en-GB"/>
        </w:rPr>
        <w:t xml:space="preserve">The same indicator was 15% in </w:t>
      </w:r>
      <w:r w:rsidR="00DC44FC" w:rsidRPr="00B06E9B">
        <w:rPr>
          <w:rFonts w:ascii="Calibri" w:hAnsi="Calibri" w:cs="Calibri"/>
          <w:lang w:val="en-GB"/>
        </w:rPr>
        <w:t xml:space="preserve">1993, 23,9% </w:t>
      </w:r>
      <w:r w:rsidR="00B06E9B">
        <w:rPr>
          <w:rFonts w:ascii="Calibri" w:hAnsi="Calibri" w:cs="Calibri"/>
          <w:lang w:val="en-GB"/>
        </w:rPr>
        <w:t xml:space="preserve">in </w:t>
      </w:r>
      <w:r w:rsidR="00DC44FC" w:rsidRPr="00B06E9B">
        <w:rPr>
          <w:rFonts w:ascii="Calibri" w:hAnsi="Calibri" w:cs="Calibri"/>
          <w:lang w:val="en-GB"/>
        </w:rPr>
        <w:t xml:space="preserve">1999 </w:t>
      </w:r>
      <w:r w:rsidR="00B06E9B">
        <w:rPr>
          <w:rFonts w:ascii="Calibri" w:hAnsi="Calibri" w:cs="Calibri"/>
          <w:lang w:val="en-GB"/>
        </w:rPr>
        <w:t xml:space="preserve">and </w:t>
      </w:r>
      <w:r w:rsidR="00DC44FC" w:rsidRPr="00B06E9B">
        <w:rPr>
          <w:rFonts w:ascii="Calibri" w:hAnsi="Calibri" w:cs="Calibri"/>
          <w:lang w:val="en-GB"/>
        </w:rPr>
        <w:t xml:space="preserve">32,2% </w:t>
      </w:r>
      <w:r w:rsidR="00B06E9B">
        <w:rPr>
          <w:rFonts w:ascii="Calibri" w:hAnsi="Calibri" w:cs="Calibri"/>
          <w:lang w:val="en-GB"/>
        </w:rPr>
        <w:t xml:space="preserve">in </w:t>
      </w:r>
      <w:r w:rsidR="00DC44FC" w:rsidRPr="00B06E9B">
        <w:rPr>
          <w:rFonts w:ascii="Calibri" w:hAnsi="Calibri" w:cs="Calibri"/>
          <w:lang w:val="en-GB"/>
        </w:rPr>
        <w:t>2005</w:t>
      </w:r>
      <w:r w:rsidR="00B06E9B">
        <w:rPr>
          <w:rStyle w:val="Appelnotedebasdep"/>
          <w:rFonts w:ascii="Calibri" w:hAnsi="Calibri" w:cs="Calibri"/>
          <w:lang w:val="en-GB"/>
        </w:rPr>
        <w:footnoteReference w:id="11"/>
      </w:r>
      <w:r w:rsidR="00A352AE" w:rsidRPr="00B06E9B">
        <w:rPr>
          <w:rFonts w:ascii="Calibri" w:eastAsia="Calibri" w:hAnsi="Calibri" w:cs="Times New Roman"/>
          <w:lang w:val="en-GB"/>
        </w:rPr>
        <w:t>.</w:t>
      </w:r>
    </w:p>
    <w:p w:rsidR="005D666E" w:rsidRDefault="005D666E" w:rsidP="005D666E">
      <w:pPr>
        <w:pStyle w:val="Paragraphedeliste"/>
        <w:spacing w:after="0"/>
        <w:ind w:left="0"/>
        <w:jc w:val="both"/>
        <w:rPr>
          <w:lang w:val="en-GB"/>
        </w:rPr>
      </w:pPr>
    </w:p>
    <w:p w:rsidR="00025AE8" w:rsidRDefault="000A0543" w:rsidP="00DC631A">
      <w:pPr>
        <w:pStyle w:val="Paragraphedeliste"/>
        <w:spacing w:after="0"/>
        <w:ind w:left="0"/>
        <w:jc w:val="both"/>
        <w:rPr>
          <w:rFonts w:cstheme="minorHAnsi"/>
          <w:lang w:val="en-GB"/>
        </w:rPr>
      </w:pPr>
      <w:r w:rsidRPr="005D666E">
        <w:rPr>
          <w:rFonts w:cstheme="minorHAnsi"/>
          <w:lang w:val="en-GB"/>
        </w:rPr>
        <w:t>Actual c</w:t>
      </w:r>
      <w:r w:rsidR="00033D15" w:rsidRPr="005D666E">
        <w:rPr>
          <w:rFonts w:cstheme="minorHAnsi"/>
          <w:lang w:val="en-GB"/>
        </w:rPr>
        <w:t xml:space="preserve">hallenges and key-issues </w:t>
      </w:r>
      <w:r w:rsidRPr="005D666E">
        <w:rPr>
          <w:rFonts w:cstheme="minorHAnsi"/>
          <w:lang w:val="en-GB"/>
        </w:rPr>
        <w:t>for the Vocational Training System in Italy must be presented separately for initial and continuous training</w:t>
      </w:r>
      <w:r w:rsidR="005D666E" w:rsidRPr="005D666E">
        <w:rPr>
          <w:rFonts w:cstheme="minorHAnsi"/>
          <w:lang w:val="en-GB"/>
        </w:rPr>
        <w:t xml:space="preserve">: such a separation allows also a better understanding of the relationship between vocational training and internal </w:t>
      </w:r>
      <w:r w:rsidR="00B7451F">
        <w:rPr>
          <w:rFonts w:cstheme="minorHAnsi"/>
          <w:lang w:val="en-GB"/>
        </w:rPr>
        <w:t>mobility for work.</w:t>
      </w:r>
      <w:r w:rsidR="005D666E" w:rsidRPr="005D666E">
        <w:rPr>
          <w:rFonts w:cstheme="minorHAnsi"/>
          <w:lang w:val="en-GB"/>
        </w:rPr>
        <w:t xml:space="preserve"> </w:t>
      </w:r>
    </w:p>
    <w:p w:rsidR="00025AE8" w:rsidRDefault="00025AE8" w:rsidP="00DC631A">
      <w:pPr>
        <w:pStyle w:val="Paragraphedeliste"/>
        <w:spacing w:after="0"/>
        <w:ind w:left="0"/>
        <w:jc w:val="both"/>
        <w:rPr>
          <w:rFonts w:cstheme="minorHAnsi"/>
          <w:lang w:val="en-GB"/>
        </w:rPr>
      </w:pPr>
    </w:p>
    <w:p w:rsidR="00025AE8" w:rsidRDefault="005D666E" w:rsidP="00DC631A">
      <w:pPr>
        <w:pStyle w:val="Paragraphedeliste"/>
        <w:spacing w:after="0"/>
        <w:ind w:left="0"/>
        <w:jc w:val="both"/>
        <w:rPr>
          <w:rFonts w:cstheme="minorHAnsi"/>
          <w:lang w:val="en-GB"/>
        </w:rPr>
      </w:pPr>
      <w:r w:rsidRPr="005D666E">
        <w:rPr>
          <w:rFonts w:cstheme="minorHAnsi"/>
          <w:lang w:val="en-GB"/>
        </w:rPr>
        <w:lastRenderedPageBreak/>
        <w:t xml:space="preserve">Starting from initial vocational training </w:t>
      </w:r>
      <w:r w:rsidR="00903383" w:rsidRPr="005D666E">
        <w:rPr>
          <w:rFonts w:cstheme="minorHAnsi"/>
          <w:lang w:val="en-GB"/>
        </w:rPr>
        <w:t>(</w:t>
      </w:r>
      <w:r w:rsidRPr="005D666E">
        <w:rPr>
          <w:rFonts w:cstheme="minorHAnsi"/>
          <w:lang w:val="en-GB"/>
        </w:rPr>
        <w:t>at bot</w:t>
      </w:r>
      <w:r w:rsidR="00397651">
        <w:rPr>
          <w:rFonts w:cstheme="minorHAnsi"/>
          <w:lang w:val="en-GB"/>
        </w:rPr>
        <w:t>h</w:t>
      </w:r>
      <w:r w:rsidRPr="005D666E">
        <w:rPr>
          <w:rFonts w:cstheme="minorHAnsi"/>
          <w:lang w:val="en-GB"/>
        </w:rPr>
        <w:t xml:space="preserve"> upper secondary and tertiary level),</w:t>
      </w:r>
      <w:r w:rsidR="00903383" w:rsidRPr="005D666E">
        <w:rPr>
          <w:rFonts w:cstheme="minorHAnsi"/>
          <w:lang w:val="en-GB"/>
        </w:rPr>
        <w:t xml:space="preserve"> </w:t>
      </w:r>
      <w:r w:rsidR="007B56CF">
        <w:rPr>
          <w:rFonts w:cstheme="minorHAnsi"/>
          <w:lang w:val="en-GB"/>
        </w:rPr>
        <w:t xml:space="preserve">the system has </w:t>
      </w:r>
      <w:r w:rsidR="007B56CF" w:rsidRPr="00DC631A">
        <w:rPr>
          <w:rFonts w:cstheme="minorHAnsi"/>
          <w:lang w:val="en-GB"/>
        </w:rPr>
        <w:t xml:space="preserve">undergone </w:t>
      </w:r>
      <w:r w:rsidR="004B6B45" w:rsidRPr="00DC631A">
        <w:rPr>
          <w:rFonts w:cstheme="minorHAnsi"/>
          <w:lang w:val="en-GB"/>
        </w:rPr>
        <w:t>a considerable number of reforms since its creation. This has become even more</w:t>
      </w:r>
      <w:r w:rsidR="004B6B45" w:rsidRPr="004F2254">
        <w:rPr>
          <w:rFonts w:cstheme="minorHAnsi"/>
          <w:lang w:val="en-GB"/>
        </w:rPr>
        <w:t xml:space="preserve"> apparent over the last two decades, during which the EU and the internal social demand exerted a growing pressure to modernise the system and take into account </w:t>
      </w:r>
      <w:r w:rsidR="00910C01">
        <w:rPr>
          <w:rFonts w:cstheme="minorHAnsi"/>
          <w:lang w:val="en-GB"/>
        </w:rPr>
        <w:t xml:space="preserve">the </w:t>
      </w:r>
      <w:r w:rsidR="004B6B45" w:rsidRPr="004F2254">
        <w:rPr>
          <w:rFonts w:cstheme="minorHAnsi"/>
          <w:lang w:val="en-GB"/>
        </w:rPr>
        <w:t>change</w:t>
      </w:r>
      <w:r w:rsidR="00910C01">
        <w:rPr>
          <w:rFonts w:cstheme="minorHAnsi"/>
          <w:lang w:val="en-GB"/>
        </w:rPr>
        <w:t>s</w:t>
      </w:r>
      <w:r w:rsidR="004B6B45" w:rsidRPr="004F2254">
        <w:rPr>
          <w:rFonts w:cstheme="minorHAnsi"/>
          <w:lang w:val="en-GB"/>
        </w:rPr>
        <w:t xml:space="preserve"> that are currently affecting advanced economies. </w:t>
      </w:r>
      <w:r w:rsidR="004B6B45" w:rsidRPr="007B56CF">
        <w:rPr>
          <w:rFonts w:cstheme="minorHAnsi"/>
          <w:lang w:val="en-GB"/>
        </w:rPr>
        <w:t>Yet the system’s changes seem to be more concerned with internal factors inherent to its history</w:t>
      </w:r>
      <w:r w:rsidR="007B56CF" w:rsidRPr="007B56CF">
        <w:rPr>
          <w:rFonts w:cstheme="minorHAnsi"/>
          <w:lang w:val="en-GB"/>
        </w:rPr>
        <w:t xml:space="preserve"> (</w:t>
      </w:r>
      <w:r w:rsidR="004B6B45" w:rsidRPr="007B56CF">
        <w:rPr>
          <w:rFonts w:cstheme="minorHAnsi"/>
          <w:lang w:val="en-GB"/>
        </w:rPr>
        <w:t xml:space="preserve">the concurrence between the </w:t>
      </w:r>
      <w:r w:rsidR="007B56CF" w:rsidRPr="007B56CF">
        <w:rPr>
          <w:rFonts w:cstheme="minorHAnsi"/>
          <w:lang w:val="en-GB"/>
        </w:rPr>
        <w:t>S</w:t>
      </w:r>
      <w:r w:rsidR="004B6B45" w:rsidRPr="007B56CF">
        <w:rPr>
          <w:rFonts w:cstheme="minorHAnsi"/>
          <w:lang w:val="en-GB"/>
        </w:rPr>
        <w:t xml:space="preserve">tate and the regional level in providing VET, the perceived second-rate status </w:t>
      </w:r>
      <w:r w:rsidR="00E20201" w:rsidRPr="00E20201">
        <w:rPr>
          <w:rFonts w:cstheme="minorHAnsi"/>
          <w:i/>
          <w:lang w:val="en-GB"/>
        </w:rPr>
        <w:t>affecting</w:t>
      </w:r>
      <w:r w:rsidR="00E20201">
        <w:rPr>
          <w:rFonts w:cstheme="minorHAnsi"/>
          <w:lang w:val="en-GB"/>
        </w:rPr>
        <w:t xml:space="preserve"> </w:t>
      </w:r>
      <w:r w:rsidR="004B6B45" w:rsidRPr="007B56CF">
        <w:rPr>
          <w:rFonts w:cstheme="minorHAnsi"/>
          <w:lang w:val="en-GB"/>
        </w:rPr>
        <w:t>the system in comparison with education, the reduction of funding affecting it in recent years</w:t>
      </w:r>
      <w:r w:rsidR="007B56CF" w:rsidRPr="007B56CF">
        <w:rPr>
          <w:rFonts w:cstheme="minorHAnsi"/>
          <w:lang w:val="en-GB"/>
        </w:rPr>
        <w:t>)</w:t>
      </w:r>
      <w:r w:rsidR="007B56CF">
        <w:rPr>
          <w:rFonts w:cstheme="minorHAnsi"/>
          <w:lang w:val="en-GB"/>
        </w:rPr>
        <w:t xml:space="preserve"> rather than to the occupational and economic contexts the system has to interact with (the non-academic tertiary level supply is partly an exception but its dimension, as already mentioned, is absolutely </w:t>
      </w:r>
      <w:r w:rsidR="00CB2D0C">
        <w:rPr>
          <w:rFonts w:cstheme="minorHAnsi"/>
          <w:lang w:val="en-GB"/>
        </w:rPr>
        <w:t>small</w:t>
      </w:r>
      <w:r w:rsidR="007B56CF">
        <w:rPr>
          <w:rFonts w:cstheme="minorHAnsi"/>
          <w:lang w:val="en-GB"/>
        </w:rPr>
        <w:t xml:space="preserve">. </w:t>
      </w:r>
      <w:r w:rsidR="004B6B45" w:rsidRPr="00DC631A">
        <w:rPr>
          <w:rFonts w:cstheme="minorHAnsi"/>
          <w:lang w:val="en-GB"/>
        </w:rPr>
        <w:t xml:space="preserve">If the regional initial VET system continues </w:t>
      </w:r>
      <w:r w:rsidR="0057158F">
        <w:rPr>
          <w:rFonts w:cstheme="minorHAnsi"/>
          <w:lang w:val="en-GB"/>
        </w:rPr>
        <w:t xml:space="preserve">in the next years </w:t>
      </w:r>
      <w:r w:rsidR="004B6B45" w:rsidRPr="00DC631A">
        <w:rPr>
          <w:rFonts w:cstheme="minorHAnsi"/>
          <w:lang w:val="en-GB"/>
        </w:rPr>
        <w:t>along its current trajectory, the most likely outcomes will be the following:</w:t>
      </w:r>
      <w:r w:rsidR="00397651" w:rsidRPr="00DC631A">
        <w:rPr>
          <w:rFonts w:cstheme="minorHAnsi"/>
          <w:lang w:val="en-GB"/>
        </w:rPr>
        <w:t xml:space="preserve"> </w:t>
      </w:r>
      <w:r w:rsidR="004B6B45" w:rsidRPr="00DC631A">
        <w:rPr>
          <w:rFonts w:cstheme="minorHAnsi"/>
          <w:lang w:val="en-GB"/>
        </w:rPr>
        <w:t xml:space="preserve">a system </w:t>
      </w:r>
      <w:r w:rsidR="00397651" w:rsidRPr="00DC631A">
        <w:rPr>
          <w:rFonts w:cstheme="minorHAnsi"/>
          <w:lang w:val="en-GB"/>
        </w:rPr>
        <w:t xml:space="preserve">concentrated </w:t>
      </w:r>
      <w:r w:rsidR="004B6B45" w:rsidRPr="00DC631A">
        <w:rPr>
          <w:rFonts w:cstheme="minorHAnsi"/>
          <w:lang w:val="en-GB"/>
        </w:rPr>
        <w:t>(in terms of students) in some areas of Italy</w:t>
      </w:r>
      <w:r w:rsidR="00397651" w:rsidRPr="00DC631A">
        <w:rPr>
          <w:rFonts w:cstheme="minorHAnsi"/>
          <w:lang w:val="en-GB"/>
        </w:rPr>
        <w:t xml:space="preserve">, </w:t>
      </w:r>
      <w:r w:rsidR="004B6B45" w:rsidRPr="00DC631A">
        <w:rPr>
          <w:rFonts w:cstheme="minorHAnsi"/>
          <w:lang w:val="en-GB"/>
        </w:rPr>
        <w:t>mostly involving those around the age of 18</w:t>
      </w:r>
      <w:r w:rsidR="00397651" w:rsidRPr="00DC631A">
        <w:rPr>
          <w:rFonts w:cstheme="minorHAnsi"/>
          <w:lang w:val="en-GB"/>
        </w:rPr>
        <w:t xml:space="preserve"> and </w:t>
      </w:r>
      <w:r w:rsidR="004B6B45" w:rsidRPr="00DC631A">
        <w:rPr>
          <w:rFonts w:cstheme="minorHAnsi"/>
          <w:lang w:val="en-GB"/>
        </w:rPr>
        <w:t>whose growth in terms of participants will be possible only in the post-secondary segment</w:t>
      </w:r>
      <w:r w:rsidR="0057158F">
        <w:rPr>
          <w:rFonts w:cstheme="minorHAnsi"/>
          <w:lang w:val="en-GB"/>
        </w:rPr>
        <w:t xml:space="preserve">; </w:t>
      </w:r>
      <w:r w:rsidR="00DC631A" w:rsidRPr="00DC631A">
        <w:rPr>
          <w:rFonts w:cstheme="minorHAnsi"/>
          <w:lang w:val="en-GB"/>
        </w:rPr>
        <w:t xml:space="preserve">with a high level of instability and poor institutionalisation because of its lacking of </w:t>
      </w:r>
      <w:r w:rsidR="004B6B45" w:rsidRPr="00DC631A">
        <w:rPr>
          <w:rFonts w:cstheme="minorHAnsi"/>
          <w:lang w:val="en-GB"/>
        </w:rPr>
        <w:t>continuous</w:t>
      </w:r>
      <w:r w:rsidR="00DC631A" w:rsidRPr="00DC631A">
        <w:rPr>
          <w:rFonts w:cstheme="minorHAnsi"/>
          <w:lang w:val="en-GB"/>
        </w:rPr>
        <w:t xml:space="preserve"> and </w:t>
      </w:r>
      <w:r w:rsidR="004B6B45" w:rsidRPr="00DC631A">
        <w:rPr>
          <w:rFonts w:cstheme="minorHAnsi"/>
          <w:lang w:val="en-GB"/>
        </w:rPr>
        <w:t xml:space="preserve">long-term funding. </w:t>
      </w:r>
      <w:r w:rsidR="00DC631A" w:rsidRPr="00DC631A">
        <w:rPr>
          <w:rFonts w:cstheme="minorHAnsi"/>
          <w:lang w:val="en-GB"/>
        </w:rPr>
        <w:t xml:space="preserve">A different path could lead to a system, regionally-based, mostly </w:t>
      </w:r>
      <w:r w:rsidR="004B6B45" w:rsidRPr="00DC631A">
        <w:rPr>
          <w:rFonts w:cstheme="minorHAnsi"/>
          <w:lang w:val="en-GB"/>
        </w:rPr>
        <w:t xml:space="preserve">structured </w:t>
      </w:r>
      <w:r w:rsidR="0057158F">
        <w:rPr>
          <w:rFonts w:cstheme="minorHAnsi"/>
          <w:lang w:val="en-GB"/>
        </w:rPr>
        <w:t xml:space="preserve">in </w:t>
      </w:r>
      <w:r w:rsidR="00DC631A" w:rsidRPr="00DC631A">
        <w:rPr>
          <w:rFonts w:cstheme="minorHAnsi"/>
          <w:lang w:val="en-GB"/>
        </w:rPr>
        <w:t xml:space="preserve">a </w:t>
      </w:r>
      <w:r w:rsidR="004B6B45" w:rsidRPr="00DC631A">
        <w:rPr>
          <w:rFonts w:cstheme="minorHAnsi"/>
          <w:lang w:val="en-GB"/>
        </w:rPr>
        <w:t>dual scheme (although with Italian features) in which</w:t>
      </w:r>
      <w:r w:rsidR="00DC631A" w:rsidRPr="00DC631A">
        <w:rPr>
          <w:rFonts w:cstheme="minorHAnsi"/>
          <w:lang w:val="en-GB"/>
        </w:rPr>
        <w:t xml:space="preserve"> the </w:t>
      </w:r>
      <w:r w:rsidR="004B6B45" w:rsidRPr="00DC631A">
        <w:rPr>
          <w:rFonts w:cstheme="minorHAnsi"/>
          <w:lang w:val="en-GB"/>
        </w:rPr>
        <w:t xml:space="preserve">cooperation with companies and </w:t>
      </w:r>
      <w:r w:rsidR="0057158F">
        <w:rPr>
          <w:rFonts w:cstheme="minorHAnsi"/>
          <w:lang w:val="en-GB"/>
        </w:rPr>
        <w:t xml:space="preserve">other </w:t>
      </w:r>
      <w:r w:rsidR="004B6B45" w:rsidRPr="00DC631A">
        <w:rPr>
          <w:rFonts w:cstheme="minorHAnsi"/>
          <w:lang w:val="en-GB"/>
        </w:rPr>
        <w:t xml:space="preserve">organisations may offer employment opportunities to young people who prefer not to enter upper secondary education or university programmes. </w:t>
      </w:r>
      <w:r w:rsidR="00DC631A" w:rsidRPr="00DC631A">
        <w:rPr>
          <w:rFonts w:cstheme="minorHAnsi"/>
          <w:lang w:val="en-GB"/>
        </w:rPr>
        <w:t xml:space="preserve">This second path might be qualified through the improvement of </w:t>
      </w:r>
      <w:r w:rsidR="004B6B45" w:rsidRPr="00DC631A">
        <w:rPr>
          <w:rFonts w:cstheme="minorHAnsi"/>
          <w:lang w:val="en-GB"/>
        </w:rPr>
        <w:t xml:space="preserve">training/learning standards, service and delivery standards, repositories and inventories that would lead to an increased qualitative level of programmes where the vertical integration within the different regional </w:t>
      </w:r>
      <w:r w:rsidR="00241646">
        <w:rPr>
          <w:rFonts w:cstheme="minorHAnsi"/>
          <w:lang w:val="en-GB"/>
        </w:rPr>
        <w:t xml:space="preserve">training programs </w:t>
      </w:r>
      <w:r w:rsidR="004B6B45" w:rsidRPr="00DC631A">
        <w:rPr>
          <w:rFonts w:cstheme="minorHAnsi"/>
          <w:lang w:val="en-GB"/>
        </w:rPr>
        <w:t>would mean, for students, the possibility to go through vocational and locally rooted training paths which start with the three-year certificate programmes, continue with the one-year diploma and end up with post-secondary High/Higher Technical programmes</w:t>
      </w:r>
      <w:r w:rsidR="00241646">
        <w:rPr>
          <w:rFonts w:cstheme="minorHAnsi"/>
          <w:lang w:val="en-GB"/>
        </w:rPr>
        <w:t xml:space="preserve"> </w:t>
      </w:r>
      <w:r w:rsidRPr="00DC631A">
        <w:rPr>
          <w:rFonts w:cstheme="minorHAnsi"/>
          <w:lang w:val="en-GB"/>
        </w:rPr>
        <w:t>(</w:t>
      </w:r>
      <w:proofErr w:type="spellStart"/>
      <w:r w:rsidR="00461FCE">
        <w:rPr>
          <w:rFonts w:cstheme="minorHAnsi"/>
          <w:lang w:val="en-GB"/>
        </w:rPr>
        <w:t>Cedefop</w:t>
      </w:r>
      <w:proofErr w:type="spellEnd"/>
      <w:r w:rsidR="00461FCE">
        <w:rPr>
          <w:rFonts w:cstheme="minorHAnsi"/>
          <w:lang w:val="en-GB"/>
        </w:rPr>
        <w:t>, 2018</w:t>
      </w:r>
      <w:r w:rsidR="002712F6">
        <w:rPr>
          <w:rFonts w:cstheme="minorHAnsi"/>
          <w:lang w:val="en-GB"/>
        </w:rPr>
        <w:t>A</w:t>
      </w:r>
      <w:r w:rsidR="00461FCE">
        <w:rPr>
          <w:rFonts w:cstheme="minorHAnsi"/>
          <w:lang w:val="en-GB"/>
        </w:rPr>
        <w:t>).</w:t>
      </w:r>
      <w:r w:rsidR="00025AE8">
        <w:rPr>
          <w:rFonts w:cstheme="minorHAnsi"/>
          <w:lang w:val="en-GB"/>
        </w:rPr>
        <w:t xml:space="preserve"> </w:t>
      </w:r>
    </w:p>
    <w:p w:rsidR="004B6B45" w:rsidRPr="00DC631A" w:rsidRDefault="004B6B45" w:rsidP="00DC631A">
      <w:pPr>
        <w:pStyle w:val="Paragraphedeliste"/>
        <w:spacing w:after="0"/>
        <w:ind w:left="0"/>
        <w:jc w:val="both"/>
        <w:rPr>
          <w:rFonts w:cstheme="minorHAnsi"/>
          <w:lang w:val="en-GB"/>
        </w:rPr>
      </w:pPr>
      <w:r w:rsidRPr="00DC631A">
        <w:rPr>
          <w:rFonts w:cstheme="minorHAnsi"/>
          <w:lang w:val="en-GB"/>
        </w:rPr>
        <w:t xml:space="preserve"> </w:t>
      </w:r>
    </w:p>
    <w:p w:rsidR="00903383" w:rsidRPr="004B6B45" w:rsidRDefault="00397651" w:rsidP="00A51859">
      <w:pPr>
        <w:pStyle w:val="Paragraphedeliste"/>
        <w:spacing w:after="0"/>
        <w:ind w:left="0"/>
        <w:jc w:val="both"/>
        <w:rPr>
          <w:lang w:val="en-GB"/>
        </w:rPr>
      </w:pPr>
      <w:r w:rsidRPr="00EB1DCD">
        <w:rPr>
          <w:lang w:val="en-GB"/>
        </w:rPr>
        <w:t>Moving to C</w:t>
      </w:r>
      <w:r w:rsidR="00903383" w:rsidRPr="00EB1DCD">
        <w:rPr>
          <w:lang w:val="en-GB"/>
        </w:rPr>
        <w:t>VT</w:t>
      </w:r>
      <w:r w:rsidRPr="00EB1DCD">
        <w:rPr>
          <w:lang w:val="en-GB"/>
        </w:rPr>
        <w:t xml:space="preserve"> (</w:t>
      </w:r>
      <w:r w:rsidR="00A352AE" w:rsidRPr="00EB1DCD">
        <w:rPr>
          <w:rFonts w:ascii="Calibri" w:hAnsi="Calibri" w:cs="Calibri"/>
          <w:lang w:val="en-GB"/>
        </w:rPr>
        <w:t>ANPAL, 2018, p. 19)</w:t>
      </w:r>
      <w:r w:rsidRPr="00EB1DCD">
        <w:rPr>
          <w:rFonts w:ascii="Calibri" w:hAnsi="Calibri" w:cs="Calibri"/>
          <w:lang w:val="en-GB"/>
        </w:rPr>
        <w:t xml:space="preserve">, the above presented figures show that </w:t>
      </w:r>
      <w:r w:rsidR="00226FB8" w:rsidRPr="00EB1DCD">
        <w:rPr>
          <w:rFonts w:ascii="Calibri" w:hAnsi="Calibri" w:cs="Calibri"/>
          <w:lang w:val="en-GB"/>
        </w:rPr>
        <w:t>in-company</w:t>
      </w:r>
      <w:r w:rsidR="00226FB8" w:rsidRPr="00226FB8">
        <w:rPr>
          <w:rFonts w:ascii="Calibri" w:hAnsi="Calibri" w:cs="Calibri"/>
          <w:lang w:val="en-GB"/>
        </w:rPr>
        <w:t xml:space="preserve"> training </w:t>
      </w:r>
      <w:r w:rsidR="00EB1DCD">
        <w:rPr>
          <w:rFonts w:ascii="Calibri" w:hAnsi="Calibri" w:cs="Calibri"/>
          <w:lang w:val="en-GB"/>
        </w:rPr>
        <w:t>is expanding in Italy, especially in the last decade, actually involving more than half of Italian companies.</w:t>
      </w:r>
      <w:r w:rsidR="00A352AE" w:rsidRPr="00EB1DCD">
        <w:rPr>
          <w:rFonts w:cstheme="minorHAnsi"/>
          <w:lang w:val="en-GB"/>
        </w:rPr>
        <w:t xml:space="preserve"> </w:t>
      </w:r>
      <w:r w:rsidR="00D7455F" w:rsidRPr="00D7455F">
        <w:rPr>
          <w:rFonts w:cstheme="minorHAnsi"/>
          <w:lang w:val="en-GB"/>
        </w:rPr>
        <w:t>Nonetheless, t</w:t>
      </w:r>
      <w:r w:rsidR="00D7455F" w:rsidRPr="00D7455F">
        <w:rPr>
          <w:rFonts w:cstheme="minorHAnsi"/>
          <w:color w:val="000000"/>
          <w:lang w:val="en-GB"/>
        </w:rPr>
        <w:t xml:space="preserve">he incidence of, and participation in, employer-sponsored training – derived from the 2010 CVTS </w:t>
      </w:r>
      <w:r w:rsidR="00D7455F" w:rsidRPr="00484EDA">
        <w:rPr>
          <w:rFonts w:cstheme="minorHAnsi"/>
          <w:color w:val="000000"/>
          <w:lang w:val="en-GB"/>
        </w:rPr>
        <w:t>data</w:t>
      </w:r>
      <w:r w:rsidR="00B84E05">
        <w:rPr>
          <w:rStyle w:val="Appelnotedebasdep"/>
          <w:rFonts w:ascii="Calibri" w:hAnsi="Calibri" w:cs="Calibri"/>
        </w:rPr>
        <w:footnoteReference w:id="12"/>
      </w:r>
      <w:r w:rsidR="00D7455F" w:rsidRPr="00484EDA">
        <w:rPr>
          <w:rFonts w:cstheme="minorHAnsi"/>
          <w:color w:val="000000"/>
          <w:lang w:val="en-GB"/>
        </w:rPr>
        <w:t xml:space="preserve"> – still stand below the EU averages (</w:t>
      </w:r>
      <w:proofErr w:type="spellStart"/>
      <w:r w:rsidR="00D7455F" w:rsidRPr="00484EDA">
        <w:rPr>
          <w:rFonts w:cstheme="minorHAnsi"/>
          <w:color w:val="000000"/>
          <w:lang w:val="en-GB"/>
        </w:rPr>
        <w:t>Cedefop</w:t>
      </w:r>
      <w:proofErr w:type="spellEnd"/>
      <w:r w:rsidR="00D7455F" w:rsidRPr="00484EDA">
        <w:rPr>
          <w:rFonts w:cstheme="minorHAnsi"/>
          <w:color w:val="000000"/>
          <w:lang w:val="en-GB"/>
        </w:rPr>
        <w:t>, 2017). In 2010, 36% of employees</w:t>
      </w:r>
      <w:r w:rsidR="00D7455F" w:rsidRPr="00D7455F">
        <w:rPr>
          <w:rFonts w:cstheme="minorHAnsi"/>
          <w:color w:val="000000"/>
          <w:lang w:val="en-GB"/>
        </w:rPr>
        <w:t xml:space="preserve"> participated in CVT courses compared with 38% in the EU, and 56% of employers reported providing training compared with the EU average of 66%. Differences in employee participation in on-the-job training are more pronounced: 11% for Italy compared with 20% for the EU as a whole. The percentage of individuals who wanted to </w:t>
      </w:r>
      <w:proofErr w:type="gramStart"/>
      <w:r w:rsidR="00D7455F" w:rsidRPr="00D7455F">
        <w:rPr>
          <w:rFonts w:cstheme="minorHAnsi"/>
          <w:color w:val="000000"/>
          <w:lang w:val="en-GB"/>
        </w:rPr>
        <w:t>train, but</w:t>
      </w:r>
      <w:proofErr w:type="gramEnd"/>
      <w:r w:rsidR="00D7455F" w:rsidRPr="00D7455F">
        <w:rPr>
          <w:rFonts w:cstheme="minorHAnsi"/>
          <w:color w:val="000000"/>
          <w:lang w:val="en-GB"/>
        </w:rPr>
        <w:t xml:space="preserve"> did not do so is also relatively large in Italy (17.8%) compared with the EU (9.5% in 2011).</w:t>
      </w:r>
      <w:r w:rsidR="00484EDA">
        <w:rPr>
          <w:rFonts w:cstheme="minorHAnsi"/>
          <w:color w:val="000000"/>
          <w:lang w:val="en-GB"/>
        </w:rPr>
        <w:t xml:space="preserve"> </w:t>
      </w:r>
      <w:r w:rsidR="00EB1DCD">
        <w:rPr>
          <w:rFonts w:cstheme="minorHAnsi"/>
          <w:color w:val="000000"/>
          <w:lang w:val="en-GB"/>
        </w:rPr>
        <w:t xml:space="preserve">Training participation is strongly dependent of company’s size but even if smaller companies are traditionally less prone to invest in training, it is among them that the number of training companies increased most </w:t>
      </w:r>
      <w:r w:rsidR="00484EDA" w:rsidRPr="00EB1DCD">
        <w:rPr>
          <w:rFonts w:ascii="Calibri" w:hAnsi="Calibri" w:cs="Calibri"/>
          <w:lang w:val="en-GB"/>
        </w:rPr>
        <w:t xml:space="preserve">(ANPAL, </w:t>
      </w:r>
      <w:r w:rsidR="005D138A">
        <w:rPr>
          <w:rFonts w:ascii="Calibri" w:hAnsi="Calibri" w:cs="Calibri"/>
          <w:lang w:val="en-GB"/>
        </w:rPr>
        <w:t xml:space="preserve">cit., </w:t>
      </w:r>
      <w:r w:rsidR="00484EDA" w:rsidRPr="00EB1DCD">
        <w:rPr>
          <w:rFonts w:ascii="Calibri" w:hAnsi="Calibri" w:cs="Calibri"/>
          <w:lang w:val="en-GB"/>
        </w:rPr>
        <w:t>p. 19)</w:t>
      </w:r>
      <w:r w:rsidR="00A352AE" w:rsidRPr="00EB1DCD">
        <w:rPr>
          <w:rFonts w:ascii="Calibri" w:hAnsi="Calibri" w:cs="Calibri"/>
          <w:lang w:val="en-GB"/>
        </w:rPr>
        <w:t xml:space="preserve">. </w:t>
      </w:r>
      <w:r w:rsidR="00EB1DCD">
        <w:rPr>
          <w:rFonts w:ascii="Calibri" w:hAnsi="Calibri" w:cs="Calibri"/>
          <w:lang w:val="en-GB"/>
        </w:rPr>
        <w:t>CVT Survey longitudinal data show a huge increase of employees’ participation in company-based training but the ranking of Italy -  22</w:t>
      </w:r>
      <w:r w:rsidR="00EB1DCD" w:rsidRPr="00EB1DCD">
        <w:rPr>
          <w:rFonts w:ascii="Calibri" w:hAnsi="Calibri" w:cs="Calibri"/>
          <w:vertAlign w:val="superscript"/>
          <w:lang w:val="en-GB"/>
        </w:rPr>
        <w:t>nd</w:t>
      </w:r>
      <w:r w:rsidR="00EB1DCD">
        <w:rPr>
          <w:rFonts w:ascii="Calibri" w:hAnsi="Calibri" w:cs="Calibri"/>
          <w:lang w:val="en-GB"/>
        </w:rPr>
        <w:t xml:space="preserve"> in Europe for the rate of companies offering training out of the total companies’ number -  </w:t>
      </w:r>
      <w:r w:rsidR="00EB1DCD">
        <w:rPr>
          <w:rFonts w:ascii="Calibri" w:hAnsi="Calibri" w:cs="Calibri"/>
          <w:lang w:val="en-GB"/>
        </w:rPr>
        <w:lastRenderedPageBreak/>
        <w:t xml:space="preserve">is affected not only by the very high number of micro and small active companies (a really distinctive features of Italian economic structure) but also by the low tendency in using training models different from ordinary courses </w:t>
      </w:r>
      <w:r w:rsidR="00AF7B7D">
        <w:rPr>
          <w:rFonts w:ascii="Calibri" w:hAnsi="Calibri" w:cs="Calibri"/>
          <w:lang w:val="en-GB"/>
        </w:rPr>
        <w:t xml:space="preserve">(which, again, </w:t>
      </w:r>
      <w:r w:rsidR="005D138A">
        <w:rPr>
          <w:rFonts w:ascii="Calibri" w:hAnsi="Calibri" w:cs="Calibri"/>
          <w:lang w:val="en-GB"/>
        </w:rPr>
        <w:t xml:space="preserve">implies </w:t>
      </w:r>
      <w:r w:rsidR="00AF7B7D">
        <w:rPr>
          <w:rFonts w:ascii="Calibri" w:hAnsi="Calibri" w:cs="Calibri"/>
          <w:lang w:val="en-GB"/>
        </w:rPr>
        <w:t xml:space="preserve">attendance </w:t>
      </w:r>
      <w:r w:rsidR="00AF7B7D" w:rsidRPr="000B5FEB">
        <w:rPr>
          <w:rFonts w:ascii="Calibri" w:hAnsi="Calibri" w:cs="Calibri"/>
          <w:lang w:val="en-GB"/>
        </w:rPr>
        <w:t xml:space="preserve">problems for </w:t>
      </w:r>
      <w:r w:rsidR="00AF7B7D" w:rsidRPr="00B62406">
        <w:rPr>
          <w:rFonts w:ascii="Calibri" w:hAnsi="Calibri" w:cs="Calibri"/>
          <w:lang w:val="en-GB"/>
        </w:rPr>
        <w:t>micro and small companies employees)</w:t>
      </w:r>
      <w:r w:rsidR="00EB1DCD" w:rsidRPr="00B62406">
        <w:rPr>
          <w:rFonts w:ascii="Calibri" w:hAnsi="Calibri" w:cs="Calibri"/>
          <w:lang w:val="en-GB"/>
        </w:rPr>
        <w:t xml:space="preserve">. </w:t>
      </w:r>
      <w:r w:rsidR="00624706" w:rsidRPr="00B62406">
        <w:rPr>
          <w:rFonts w:ascii="Calibri" w:hAnsi="Calibri" w:cs="Calibri"/>
          <w:lang w:val="en-GB"/>
        </w:rPr>
        <w:t>An important point (</w:t>
      </w:r>
      <w:proofErr w:type="spellStart"/>
      <w:r w:rsidR="003F38F7" w:rsidRPr="00B62406">
        <w:rPr>
          <w:rFonts w:ascii="Calibri" w:hAnsi="Calibri" w:cs="Calibri"/>
          <w:lang w:val="en-GB"/>
        </w:rPr>
        <w:t>Cedefop</w:t>
      </w:r>
      <w:proofErr w:type="spellEnd"/>
      <w:r w:rsidR="003F38F7" w:rsidRPr="00B62406">
        <w:rPr>
          <w:rFonts w:ascii="Calibri" w:hAnsi="Calibri" w:cs="Calibri"/>
          <w:lang w:val="en-GB"/>
        </w:rPr>
        <w:t xml:space="preserve">, </w:t>
      </w:r>
      <w:r w:rsidR="003F38F7" w:rsidRPr="00B62406">
        <w:rPr>
          <w:rFonts w:ascii="Calibri" w:hAnsi="Calibri" w:cs="Calibri"/>
          <w:i/>
          <w:lang w:val="en-GB"/>
        </w:rPr>
        <w:t>under publication</w:t>
      </w:r>
      <w:r w:rsidR="003F38F7" w:rsidRPr="00B62406">
        <w:rPr>
          <w:rFonts w:ascii="Calibri" w:hAnsi="Calibri" w:cs="Calibri"/>
          <w:lang w:val="en-GB"/>
        </w:rPr>
        <w:t>, p. 4</w:t>
      </w:r>
      <w:r w:rsidR="003F38F7" w:rsidRPr="00B62406">
        <w:rPr>
          <w:rStyle w:val="Appelnotedebasdep"/>
          <w:rFonts w:ascii="Calibri" w:hAnsi="Calibri" w:cs="Calibri"/>
          <w:lang w:val="en-GB"/>
        </w:rPr>
        <w:footnoteReference w:id="13"/>
      </w:r>
      <w:r w:rsidR="003F38F7" w:rsidRPr="00B62406">
        <w:rPr>
          <w:rFonts w:ascii="Calibri" w:hAnsi="Calibri" w:cs="Calibri"/>
          <w:lang w:val="en-GB"/>
        </w:rPr>
        <w:t>)</w:t>
      </w:r>
      <w:r w:rsidR="00B63FDA" w:rsidRPr="00B62406">
        <w:rPr>
          <w:lang w:val="en-GB"/>
        </w:rPr>
        <w:t xml:space="preserve"> </w:t>
      </w:r>
      <w:r w:rsidR="00624706" w:rsidRPr="00B62406">
        <w:rPr>
          <w:lang w:val="en-GB"/>
        </w:rPr>
        <w:t>is that, in relation to Vocational Training System</w:t>
      </w:r>
      <w:r w:rsidR="00B63FDA" w:rsidRPr="00B62406">
        <w:rPr>
          <w:lang w:val="en-GB"/>
        </w:rPr>
        <w:t xml:space="preserve"> as a whole</w:t>
      </w:r>
      <w:r w:rsidR="00624706" w:rsidRPr="00B62406">
        <w:rPr>
          <w:lang w:val="en-GB"/>
        </w:rPr>
        <w:t xml:space="preserve">, </w:t>
      </w:r>
      <w:r w:rsidR="008D1813" w:rsidRPr="00B62406">
        <w:rPr>
          <w:rFonts w:ascii="Calibri" w:eastAsia="Calibri" w:hAnsi="Calibri" w:cs="Times New Roman"/>
          <w:lang w:val="en-GB"/>
        </w:rPr>
        <w:t>CVT</w:t>
      </w:r>
      <w:r w:rsidR="00624706" w:rsidRPr="00B62406">
        <w:rPr>
          <w:rFonts w:ascii="Calibri" w:eastAsia="Calibri" w:hAnsi="Calibri" w:cs="Times New Roman"/>
          <w:lang w:val="en-GB"/>
        </w:rPr>
        <w:t xml:space="preserve"> </w:t>
      </w:r>
      <w:r w:rsidR="008D1813" w:rsidRPr="00B62406">
        <w:rPr>
          <w:rFonts w:ascii="Calibri" w:eastAsia="Calibri" w:hAnsi="Calibri" w:cs="Times New Roman"/>
          <w:lang w:val="en-GB"/>
        </w:rPr>
        <w:t xml:space="preserve">is considered </w:t>
      </w:r>
      <w:r w:rsidR="00624706" w:rsidRPr="00B62406">
        <w:rPr>
          <w:rFonts w:ascii="Calibri" w:eastAsia="Calibri" w:hAnsi="Calibri" w:cs="Times New Roman"/>
          <w:lang w:val="en-GB"/>
        </w:rPr>
        <w:t>in Italy “</w:t>
      </w:r>
      <w:r w:rsidR="008D1813" w:rsidRPr="00B62406">
        <w:rPr>
          <w:rFonts w:ascii="Calibri" w:eastAsia="Calibri" w:hAnsi="Calibri" w:cs="Times New Roman"/>
          <w:lang w:val="en-GB"/>
        </w:rPr>
        <w:t>a</w:t>
      </w:r>
      <w:r w:rsidR="008D1813" w:rsidRPr="00624706">
        <w:rPr>
          <w:rFonts w:ascii="Calibri" w:eastAsia="Calibri" w:hAnsi="Calibri" w:cs="Times New Roman"/>
          <w:lang w:val="en-GB"/>
        </w:rPr>
        <w:t xml:space="preserve"> kind of self-standing </w:t>
      </w:r>
      <w:r w:rsidR="00624706">
        <w:rPr>
          <w:rFonts w:ascii="Calibri" w:eastAsia="Calibri" w:hAnsi="Calibri" w:cs="Times New Roman"/>
          <w:lang w:val="en-GB"/>
        </w:rPr>
        <w:t>sub-</w:t>
      </w:r>
      <w:r w:rsidR="008D1813" w:rsidRPr="00624706">
        <w:rPr>
          <w:rFonts w:ascii="Calibri" w:eastAsia="Calibri" w:hAnsi="Calibri" w:cs="Times New Roman"/>
          <w:lang w:val="en-GB"/>
        </w:rPr>
        <w:t xml:space="preserve">system </w:t>
      </w:r>
      <w:r w:rsidR="008D1813" w:rsidRPr="002623AB">
        <w:rPr>
          <w:rFonts w:ascii="Calibri" w:eastAsia="Calibri" w:hAnsi="Calibri" w:cs="Times New Roman"/>
          <w:lang w:val="en-GB"/>
        </w:rPr>
        <w:t xml:space="preserve">which (also according to </w:t>
      </w:r>
      <w:proofErr w:type="spellStart"/>
      <w:r w:rsidR="008D1813" w:rsidRPr="002623AB">
        <w:rPr>
          <w:rFonts w:ascii="Calibri" w:eastAsia="Calibri" w:hAnsi="Calibri" w:cs="Times New Roman"/>
          <w:lang w:val="en-GB"/>
        </w:rPr>
        <w:t>Cedefop</w:t>
      </w:r>
      <w:proofErr w:type="spellEnd"/>
      <w:r w:rsidR="008D1813" w:rsidRPr="002623AB">
        <w:rPr>
          <w:rFonts w:ascii="Calibri" w:eastAsia="Calibri" w:hAnsi="Calibri" w:cs="Times New Roman"/>
          <w:lang w:val="en-GB"/>
        </w:rPr>
        <w:t>, 2014a and 2014b)</w:t>
      </w:r>
      <w:r w:rsidR="002623AB" w:rsidRPr="002623AB">
        <w:rPr>
          <w:rFonts w:ascii="Calibri" w:eastAsia="Calibri" w:hAnsi="Calibri" w:cs="Times New Roman"/>
          <w:lang w:val="en-GB"/>
        </w:rPr>
        <w:t xml:space="preserve"> </w:t>
      </w:r>
      <w:r w:rsidR="008D1813" w:rsidRPr="002623AB">
        <w:rPr>
          <w:rFonts w:ascii="Calibri" w:eastAsia="Calibri" w:hAnsi="Calibri" w:cs="Times New Roman"/>
          <w:lang w:val="en-GB"/>
        </w:rPr>
        <w:t>is outside the education and the academic system</w:t>
      </w:r>
      <w:r w:rsidR="002623AB" w:rsidRPr="002623AB">
        <w:rPr>
          <w:rFonts w:ascii="Calibri" w:eastAsia="Calibri" w:hAnsi="Calibri" w:cs="Times New Roman"/>
          <w:lang w:val="en-GB"/>
        </w:rPr>
        <w:t xml:space="preserve">; </w:t>
      </w:r>
      <w:r w:rsidR="00AF7B7D">
        <w:rPr>
          <w:rFonts w:ascii="Calibri" w:eastAsia="Calibri" w:hAnsi="Calibri" w:cs="Times New Roman"/>
          <w:lang w:val="en-GB"/>
        </w:rPr>
        <w:t xml:space="preserve">it </w:t>
      </w:r>
      <w:r w:rsidR="008D1813" w:rsidRPr="002623AB">
        <w:rPr>
          <w:rFonts w:ascii="Calibri" w:eastAsia="Calibri" w:hAnsi="Calibri" w:cs="Times New Roman"/>
          <w:lang w:val="en-GB"/>
        </w:rPr>
        <w:t xml:space="preserve">is mostly targeted to employees even if, under certain conditions, also unemployed (to be intended as employees who lost their employment) </w:t>
      </w:r>
      <w:r w:rsidR="002623AB" w:rsidRPr="002623AB">
        <w:rPr>
          <w:rFonts w:ascii="Calibri" w:eastAsia="Calibri" w:hAnsi="Calibri" w:cs="Times New Roman"/>
          <w:lang w:val="en-GB"/>
        </w:rPr>
        <w:t xml:space="preserve">are involved; </w:t>
      </w:r>
      <w:r w:rsidR="00AF7B7D">
        <w:rPr>
          <w:rFonts w:ascii="Calibri" w:eastAsia="Calibri" w:hAnsi="Calibri" w:cs="Times New Roman"/>
          <w:lang w:val="en-GB"/>
        </w:rPr>
        <w:t xml:space="preserve">it </w:t>
      </w:r>
      <w:r w:rsidR="008D1813" w:rsidRPr="002623AB">
        <w:rPr>
          <w:rFonts w:ascii="Calibri" w:eastAsia="Calibri" w:hAnsi="Calibri" w:cs="Times New Roman"/>
          <w:lang w:val="en-GB"/>
        </w:rPr>
        <w:t>does n</w:t>
      </w:r>
      <w:r w:rsidR="00480C37">
        <w:rPr>
          <w:rFonts w:ascii="Calibri" w:eastAsia="Calibri" w:hAnsi="Calibri" w:cs="Times New Roman"/>
          <w:lang w:val="en-GB"/>
        </w:rPr>
        <w:t>ot include adult education</w:t>
      </w:r>
      <w:r w:rsidR="002623AB" w:rsidRPr="002623AB">
        <w:rPr>
          <w:rFonts w:ascii="Calibri" w:eastAsia="Calibri" w:hAnsi="Calibri" w:cs="Times New Roman"/>
          <w:lang w:val="en-GB"/>
        </w:rPr>
        <w:t xml:space="preserve">; </w:t>
      </w:r>
      <w:r w:rsidR="00AF7B7D">
        <w:rPr>
          <w:rFonts w:ascii="Calibri" w:eastAsia="Calibri" w:hAnsi="Calibri" w:cs="Times New Roman"/>
          <w:lang w:val="en-GB"/>
        </w:rPr>
        <w:t xml:space="preserve">it </w:t>
      </w:r>
      <w:r w:rsidR="008D1813" w:rsidRPr="002623AB">
        <w:rPr>
          <w:rFonts w:ascii="Calibri" w:eastAsia="Calibri" w:hAnsi="Calibri" w:cs="Times New Roman"/>
          <w:lang w:val="en-GB"/>
        </w:rPr>
        <w:t xml:space="preserve">is basically composed by three </w:t>
      </w:r>
      <w:r w:rsidR="002623AB" w:rsidRPr="002623AB">
        <w:rPr>
          <w:rFonts w:ascii="Calibri" w:eastAsia="Calibri" w:hAnsi="Calibri" w:cs="Times New Roman"/>
          <w:lang w:val="en-GB"/>
        </w:rPr>
        <w:t>areas</w:t>
      </w:r>
      <w:r w:rsidR="008D1813" w:rsidRPr="002623AB">
        <w:rPr>
          <w:rFonts w:ascii="Calibri" w:eastAsia="Calibri" w:hAnsi="Calibri" w:cs="Times New Roman"/>
          <w:lang w:val="en-GB"/>
        </w:rPr>
        <w:t>: 1) training provided and financed by the private sector; 2) training financed by public funding (at national or regional level) and delivered by accredited public and private providers; 3) training funded by the so-called Inter-professional Funds (private organisations funded by employees’ and employers’ but whose structure and activities are regulated by the law</w:t>
      </w:r>
      <w:r w:rsidR="00E85517">
        <w:rPr>
          <w:rFonts w:ascii="Calibri" w:eastAsia="Calibri" w:hAnsi="Calibri" w:cs="Times New Roman"/>
          <w:lang w:val="en-GB"/>
        </w:rPr>
        <w:t xml:space="preserve"> and controlled by public authorities</w:t>
      </w:r>
      <w:r w:rsidR="008D1813" w:rsidRPr="002623AB">
        <w:rPr>
          <w:rFonts w:ascii="Calibri" w:eastAsia="Calibri" w:hAnsi="Calibri" w:cs="Times New Roman"/>
          <w:lang w:val="en-GB"/>
        </w:rPr>
        <w:t>)</w:t>
      </w:r>
      <w:r w:rsidR="002623AB" w:rsidRPr="002623AB">
        <w:rPr>
          <w:rFonts w:ascii="Calibri" w:eastAsia="Calibri" w:hAnsi="Calibri" w:cs="Times New Roman"/>
          <w:lang w:val="en-GB"/>
        </w:rPr>
        <w:t>”</w:t>
      </w:r>
      <w:r w:rsidR="008D1813" w:rsidRPr="002623AB">
        <w:rPr>
          <w:rFonts w:ascii="Calibri" w:eastAsia="Calibri" w:hAnsi="Calibri" w:cs="Times New Roman"/>
          <w:lang w:val="en-GB"/>
        </w:rPr>
        <w:t>.</w:t>
      </w:r>
      <w:r w:rsidR="00E85517">
        <w:rPr>
          <w:rFonts w:ascii="Calibri" w:eastAsia="Calibri" w:hAnsi="Calibri" w:cs="Times New Roman"/>
          <w:lang w:val="en-GB"/>
        </w:rPr>
        <w:t xml:space="preserve"> All this assumed, </w:t>
      </w:r>
      <w:r w:rsidR="008D1813" w:rsidRPr="00E85517">
        <w:rPr>
          <w:rFonts w:ascii="Calibri" w:eastAsia="Calibri" w:hAnsi="Calibri" w:cs="Times New Roman"/>
          <w:lang w:val="en-GB"/>
        </w:rPr>
        <w:t xml:space="preserve">CVT </w:t>
      </w:r>
      <w:r w:rsidR="00AF6CA0">
        <w:rPr>
          <w:rFonts w:ascii="Calibri" w:eastAsia="Calibri" w:hAnsi="Calibri" w:cs="Times New Roman"/>
          <w:lang w:val="en-GB"/>
        </w:rPr>
        <w:t xml:space="preserve">in Italy </w:t>
      </w:r>
      <w:r w:rsidR="008D1813" w:rsidRPr="00E85517">
        <w:rPr>
          <w:rFonts w:ascii="Calibri" w:eastAsia="Calibri" w:hAnsi="Calibri" w:cs="Times New Roman"/>
          <w:lang w:val="en-GB"/>
        </w:rPr>
        <w:t xml:space="preserve">is </w:t>
      </w:r>
      <w:r w:rsidR="00752279">
        <w:rPr>
          <w:rFonts w:ascii="Calibri" w:eastAsia="Calibri" w:hAnsi="Calibri" w:cs="Times New Roman"/>
          <w:lang w:val="en-GB"/>
        </w:rPr>
        <w:t xml:space="preserve">mostly </w:t>
      </w:r>
      <w:r w:rsidR="008D1813" w:rsidRPr="00E85517">
        <w:rPr>
          <w:rFonts w:ascii="Calibri" w:eastAsia="Calibri" w:hAnsi="Calibri" w:cs="Times New Roman"/>
          <w:lang w:val="en-GB"/>
        </w:rPr>
        <w:t xml:space="preserve">identified </w:t>
      </w:r>
      <w:r w:rsidR="008D1813" w:rsidRPr="00B62406">
        <w:rPr>
          <w:rFonts w:ascii="Calibri" w:eastAsia="Calibri" w:hAnsi="Calibri" w:cs="Times New Roman"/>
          <w:lang w:val="en-GB"/>
        </w:rPr>
        <w:t>with “job-related training”</w:t>
      </w:r>
      <w:r w:rsidR="00E85517" w:rsidRPr="00B62406">
        <w:rPr>
          <w:rFonts w:ascii="Calibri" w:eastAsia="Calibri" w:hAnsi="Calibri" w:cs="Times New Roman"/>
          <w:lang w:val="en-GB"/>
        </w:rPr>
        <w:t xml:space="preserve"> </w:t>
      </w:r>
      <w:r w:rsidR="00E85517" w:rsidRPr="00B62406">
        <w:rPr>
          <w:rFonts w:ascii="Calibri" w:eastAsia="Calibri" w:hAnsi="Calibri" w:cs="Times New Roman"/>
          <w:i/>
          <w:lang w:val="en-GB"/>
        </w:rPr>
        <w:t>(</w:t>
      </w:r>
      <w:r w:rsidR="004E3D34" w:rsidRPr="00B62406">
        <w:rPr>
          <w:rFonts w:ascii="Calibri" w:eastAsia="Calibri" w:hAnsi="Calibri" w:cs="Times New Roman"/>
          <w:i/>
          <w:lang w:val="en-GB"/>
        </w:rPr>
        <w:t>Ibid.)</w:t>
      </w:r>
      <w:r w:rsidR="00E85517" w:rsidRPr="00B62406">
        <w:rPr>
          <w:rFonts w:ascii="Calibri" w:eastAsia="Calibri" w:hAnsi="Calibri" w:cs="Times New Roman"/>
          <w:lang w:val="en-GB"/>
        </w:rPr>
        <w:t xml:space="preserve">. In recent years, </w:t>
      </w:r>
      <w:r w:rsidR="00752279" w:rsidRPr="00B62406">
        <w:rPr>
          <w:rFonts w:ascii="Calibri" w:eastAsia="Calibri" w:hAnsi="Calibri" w:cs="Times New Roman"/>
          <w:lang w:val="en-GB"/>
        </w:rPr>
        <w:t xml:space="preserve">so-called </w:t>
      </w:r>
      <w:r w:rsidR="008D1813" w:rsidRPr="00B62406">
        <w:rPr>
          <w:rFonts w:ascii="Calibri" w:eastAsia="Calibri" w:hAnsi="Calibri" w:cs="Times New Roman"/>
          <w:i/>
          <w:lang w:val="en-GB"/>
        </w:rPr>
        <w:t>Inter-professional Funds</w:t>
      </w:r>
      <w:r w:rsidR="008D1813" w:rsidRPr="00B62406">
        <w:rPr>
          <w:rFonts w:ascii="Calibri" w:eastAsia="Calibri" w:hAnsi="Calibri" w:cs="Times New Roman"/>
          <w:lang w:val="en-GB"/>
        </w:rPr>
        <w:t xml:space="preserve"> </w:t>
      </w:r>
      <w:r w:rsidR="00F43EC0" w:rsidRPr="00B62406">
        <w:rPr>
          <w:rFonts w:ascii="Calibri" w:eastAsia="Calibri" w:hAnsi="Calibri" w:cs="Times New Roman"/>
          <w:lang w:val="en-GB"/>
        </w:rPr>
        <w:t>(managed</w:t>
      </w:r>
      <w:r w:rsidR="00F43EC0" w:rsidRPr="000B5FEB">
        <w:rPr>
          <w:rFonts w:ascii="Calibri" w:eastAsia="Calibri" w:hAnsi="Calibri" w:cs="Times New Roman"/>
          <w:lang w:val="en-GB"/>
        </w:rPr>
        <w:t xml:space="preserve"> by Social Partners) </w:t>
      </w:r>
      <w:r w:rsidR="0009149D" w:rsidRPr="000B5FEB">
        <w:rPr>
          <w:rFonts w:ascii="Calibri" w:eastAsia="Calibri" w:hAnsi="Calibri" w:cs="Times New Roman"/>
          <w:lang w:val="en-GB"/>
        </w:rPr>
        <w:t xml:space="preserve">played a crucial role </w:t>
      </w:r>
      <w:r w:rsidR="008D1813" w:rsidRPr="000B5FEB">
        <w:rPr>
          <w:rFonts w:ascii="Calibri" w:eastAsia="Calibri" w:hAnsi="Calibri" w:cs="Times New Roman"/>
          <w:lang w:val="en-GB"/>
        </w:rPr>
        <w:t xml:space="preserve">in promoting and implementing CVT (1,300,000 companies and more than 10,000,000 employees are actually enrolled in the 19 funds actually operating: </w:t>
      </w:r>
      <w:r w:rsidR="0009149D" w:rsidRPr="000B5FEB">
        <w:rPr>
          <w:rFonts w:ascii="Calibri" w:eastAsia="Calibri" w:hAnsi="Calibri" w:cs="Times New Roman"/>
          <w:lang w:val="en-GB"/>
        </w:rPr>
        <w:t xml:space="preserve">ANPAL, 2018, p. 33 and </w:t>
      </w:r>
      <w:proofErr w:type="spellStart"/>
      <w:r w:rsidR="0009149D" w:rsidRPr="000B5FEB">
        <w:rPr>
          <w:rFonts w:ascii="Calibri" w:eastAsia="Calibri" w:hAnsi="Calibri" w:cs="Times New Roman"/>
          <w:lang w:val="en-GB"/>
        </w:rPr>
        <w:t>foll</w:t>
      </w:r>
      <w:proofErr w:type="spellEnd"/>
      <w:r w:rsidR="0009149D" w:rsidRPr="000B5FEB">
        <w:rPr>
          <w:rFonts w:ascii="Calibri" w:eastAsia="Calibri" w:hAnsi="Calibri" w:cs="Times New Roman"/>
          <w:lang w:val="en-GB"/>
        </w:rPr>
        <w:t>.). T</w:t>
      </w:r>
      <w:r w:rsidR="008D1813" w:rsidRPr="000B5FEB">
        <w:rPr>
          <w:rFonts w:ascii="Calibri" w:eastAsia="Calibri" w:hAnsi="Calibri" w:cs="Times New Roman"/>
          <w:lang w:val="en-GB"/>
        </w:rPr>
        <w:t xml:space="preserve">he </w:t>
      </w:r>
      <w:r w:rsidR="00AF7B7D" w:rsidRPr="000B5FEB">
        <w:rPr>
          <w:rFonts w:ascii="Calibri" w:eastAsia="Calibri" w:hAnsi="Calibri" w:cs="Times New Roman"/>
          <w:lang w:val="en-GB"/>
        </w:rPr>
        <w:t>already</w:t>
      </w:r>
      <w:r w:rsidR="00AF7B7D">
        <w:rPr>
          <w:rFonts w:ascii="Calibri" w:eastAsia="Calibri" w:hAnsi="Calibri" w:cs="Times New Roman"/>
          <w:lang w:val="en-GB"/>
        </w:rPr>
        <w:t xml:space="preserve"> mentioned (although insufficient) </w:t>
      </w:r>
      <w:r w:rsidR="008D1813" w:rsidRPr="00A51859">
        <w:rPr>
          <w:rFonts w:ascii="Calibri" w:eastAsia="Calibri" w:hAnsi="Calibri" w:cs="Times New Roman"/>
          <w:lang w:val="en-GB"/>
        </w:rPr>
        <w:t xml:space="preserve">increase of the involvement of small and micro </w:t>
      </w:r>
      <w:proofErr w:type="gramStart"/>
      <w:r w:rsidR="008D1813" w:rsidRPr="00A51859">
        <w:rPr>
          <w:rFonts w:ascii="Calibri" w:eastAsia="Calibri" w:hAnsi="Calibri" w:cs="Times New Roman"/>
          <w:lang w:val="en-GB"/>
        </w:rPr>
        <w:t>companies</w:t>
      </w:r>
      <w:proofErr w:type="gramEnd"/>
      <w:r w:rsidR="008D1813" w:rsidRPr="00A51859">
        <w:rPr>
          <w:rFonts w:ascii="Calibri" w:eastAsia="Calibri" w:hAnsi="Calibri" w:cs="Times New Roman"/>
          <w:lang w:val="en-GB"/>
        </w:rPr>
        <w:t xml:space="preserve"> employers and employees</w:t>
      </w:r>
      <w:r w:rsidR="00605695" w:rsidRPr="00A51859">
        <w:rPr>
          <w:rFonts w:ascii="Calibri" w:eastAsia="Calibri" w:hAnsi="Calibri" w:cs="Times New Roman"/>
          <w:lang w:val="en-GB"/>
        </w:rPr>
        <w:t xml:space="preserve"> as well as the use of </w:t>
      </w:r>
      <w:r w:rsidR="008D1813" w:rsidRPr="00A51859">
        <w:rPr>
          <w:rFonts w:ascii="Calibri" w:eastAsia="Calibri" w:hAnsi="Calibri" w:cs="Times New Roman"/>
          <w:lang w:val="en-GB"/>
        </w:rPr>
        <w:t xml:space="preserve">training as </w:t>
      </w:r>
      <w:r w:rsidR="00605695" w:rsidRPr="00A51859">
        <w:rPr>
          <w:rFonts w:ascii="Calibri" w:eastAsia="Calibri" w:hAnsi="Calibri" w:cs="Times New Roman"/>
          <w:lang w:val="en-GB"/>
        </w:rPr>
        <w:t xml:space="preserve">a </w:t>
      </w:r>
      <w:r w:rsidR="008D1813" w:rsidRPr="00A51859">
        <w:rPr>
          <w:rFonts w:ascii="Calibri" w:eastAsia="Calibri" w:hAnsi="Calibri" w:cs="Times New Roman"/>
          <w:lang w:val="en-GB"/>
        </w:rPr>
        <w:t>“customer fidelity strategy” by technologies</w:t>
      </w:r>
      <w:r w:rsidR="00F43EC0">
        <w:rPr>
          <w:rFonts w:ascii="Calibri" w:eastAsia="Calibri" w:hAnsi="Calibri" w:cs="Times New Roman"/>
          <w:lang w:val="en-GB"/>
        </w:rPr>
        <w:t xml:space="preserve"> suppliers</w:t>
      </w:r>
      <w:r w:rsidR="00605695" w:rsidRPr="00A51859">
        <w:rPr>
          <w:rFonts w:ascii="Calibri" w:eastAsia="Calibri" w:hAnsi="Calibri" w:cs="Times New Roman"/>
          <w:lang w:val="en-GB"/>
        </w:rPr>
        <w:t xml:space="preserve"> were two other factors characterizing CVT development</w:t>
      </w:r>
      <w:r w:rsidR="00F43EC0">
        <w:rPr>
          <w:rFonts w:ascii="Calibri" w:eastAsia="Calibri" w:hAnsi="Calibri" w:cs="Times New Roman"/>
          <w:lang w:val="en-GB"/>
        </w:rPr>
        <w:t xml:space="preserve"> since 2000</w:t>
      </w:r>
      <w:r w:rsidR="00605695" w:rsidRPr="00A51859">
        <w:rPr>
          <w:rFonts w:ascii="Calibri" w:eastAsia="Calibri" w:hAnsi="Calibri" w:cs="Times New Roman"/>
          <w:lang w:val="en-GB"/>
        </w:rPr>
        <w:t xml:space="preserve">. </w:t>
      </w:r>
      <w:proofErr w:type="gramStart"/>
      <w:r w:rsidR="00F43EC0">
        <w:rPr>
          <w:rFonts w:ascii="Calibri" w:eastAsia="Calibri" w:hAnsi="Calibri" w:cs="Times New Roman"/>
          <w:lang w:val="en-GB"/>
        </w:rPr>
        <w:t>A</w:t>
      </w:r>
      <w:r w:rsidR="00605695" w:rsidRPr="00A51859">
        <w:rPr>
          <w:rFonts w:ascii="Calibri" w:eastAsia="Calibri" w:hAnsi="Calibri" w:cs="Times New Roman"/>
          <w:lang w:val="en-GB"/>
        </w:rPr>
        <w:t>lso</w:t>
      </w:r>
      <w:proofErr w:type="gramEnd"/>
      <w:r w:rsidR="00605695" w:rsidRPr="00A51859">
        <w:rPr>
          <w:rFonts w:ascii="Calibri" w:eastAsia="Calibri" w:hAnsi="Calibri" w:cs="Times New Roman"/>
          <w:lang w:val="en-GB"/>
        </w:rPr>
        <w:t xml:space="preserve"> the </w:t>
      </w:r>
      <w:r w:rsidR="008D1813" w:rsidRPr="00A51859">
        <w:rPr>
          <w:rFonts w:ascii="Calibri" w:eastAsia="Calibri" w:hAnsi="Calibri" w:cs="Times New Roman"/>
          <w:lang w:val="en-GB"/>
        </w:rPr>
        <w:t xml:space="preserve">improvement of Public Administrations’ </w:t>
      </w:r>
      <w:r w:rsidR="00605695" w:rsidRPr="00A51859">
        <w:rPr>
          <w:rFonts w:ascii="Calibri" w:eastAsia="Calibri" w:hAnsi="Calibri" w:cs="Times New Roman"/>
          <w:lang w:val="en-GB"/>
        </w:rPr>
        <w:t xml:space="preserve">(as employers) </w:t>
      </w:r>
      <w:r w:rsidR="008D1813" w:rsidRPr="00A51859">
        <w:rPr>
          <w:rFonts w:ascii="Calibri" w:eastAsia="Calibri" w:hAnsi="Calibri" w:cs="Times New Roman"/>
          <w:lang w:val="en-GB"/>
        </w:rPr>
        <w:t>investment on em</w:t>
      </w:r>
      <w:r w:rsidR="00605695" w:rsidRPr="00A51859">
        <w:rPr>
          <w:rFonts w:ascii="Calibri" w:eastAsia="Calibri" w:hAnsi="Calibri" w:cs="Times New Roman"/>
          <w:lang w:val="en-GB"/>
        </w:rPr>
        <w:t xml:space="preserve">ployees’ skills and competences </w:t>
      </w:r>
      <w:r w:rsidR="00F43EC0">
        <w:rPr>
          <w:rFonts w:ascii="Calibri" w:eastAsia="Calibri" w:hAnsi="Calibri" w:cs="Times New Roman"/>
          <w:lang w:val="en-GB"/>
        </w:rPr>
        <w:t xml:space="preserve">played a role </w:t>
      </w:r>
      <w:r w:rsidR="00605695" w:rsidRPr="00A51859">
        <w:rPr>
          <w:rFonts w:ascii="Calibri" w:eastAsia="Calibri" w:hAnsi="Calibri" w:cs="Times New Roman"/>
          <w:lang w:val="en-GB"/>
        </w:rPr>
        <w:t xml:space="preserve">together with the </w:t>
      </w:r>
      <w:r w:rsidR="008D1813" w:rsidRPr="00A51859">
        <w:rPr>
          <w:rFonts w:ascii="Calibri" w:eastAsia="Calibri" w:hAnsi="Calibri" w:cs="Times New Roman"/>
          <w:lang w:val="en-GB"/>
        </w:rPr>
        <w:t>i</w:t>
      </w:r>
      <w:r w:rsidR="00A51859" w:rsidRPr="00A51859">
        <w:rPr>
          <w:rFonts w:ascii="Calibri" w:eastAsia="Calibri" w:hAnsi="Calibri" w:cs="Times New Roman"/>
          <w:lang w:val="en-GB"/>
        </w:rPr>
        <w:t xml:space="preserve">ntroduction </w:t>
      </w:r>
      <w:r w:rsidR="008D1813" w:rsidRPr="00A51859">
        <w:rPr>
          <w:rFonts w:ascii="Calibri" w:eastAsia="Calibri" w:hAnsi="Calibri" w:cs="Times New Roman"/>
          <w:lang w:val="en-GB"/>
        </w:rPr>
        <w:t>of sectors’ laws envisaging an obligation for regular training attendance (e.g. a certain number of hours every year</w:t>
      </w:r>
      <w:r w:rsidR="007F435E">
        <w:rPr>
          <w:rFonts w:ascii="Calibri" w:eastAsia="Calibri" w:hAnsi="Calibri" w:cs="Times New Roman"/>
          <w:lang w:val="en-GB"/>
        </w:rPr>
        <w:t xml:space="preserve"> </w:t>
      </w:r>
      <w:r w:rsidR="008D1813" w:rsidRPr="00A51859">
        <w:rPr>
          <w:rFonts w:ascii="Calibri" w:eastAsia="Calibri" w:hAnsi="Calibri" w:cs="Times New Roman"/>
          <w:lang w:val="en-GB"/>
        </w:rPr>
        <w:t>in the health or legal professions</w:t>
      </w:r>
      <w:r w:rsidR="007F435E">
        <w:rPr>
          <w:rFonts w:ascii="Calibri" w:eastAsia="Calibri" w:hAnsi="Calibri" w:cs="Times New Roman"/>
          <w:lang w:val="en-GB"/>
        </w:rPr>
        <w:t xml:space="preserve"> or on topics like </w:t>
      </w:r>
      <w:r w:rsidR="00605695" w:rsidRPr="00A51859">
        <w:rPr>
          <w:rFonts w:ascii="Calibri" w:eastAsia="Calibri" w:hAnsi="Calibri" w:cs="Times New Roman"/>
          <w:lang w:val="en-GB"/>
        </w:rPr>
        <w:t xml:space="preserve">safety at work). Finally, a relevant </w:t>
      </w:r>
      <w:r w:rsidR="00A51859" w:rsidRPr="00A51859">
        <w:rPr>
          <w:rFonts w:ascii="Calibri" w:eastAsia="Calibri" w:hAnsi="Calibri" w:cs="Times New Roman"/>
          <w:lang w:val="en-GB"/>
        </w:rPr>
        <w:t>CVT development lever was the “</w:t>
      </w:r>
      <w:r w:rsidR="008D1813" w:rsidRPr="00A51859">
        <w:rPr>
          <w:rFonts w:ascii="Calibri" w:eastAsia="Calibri" w:hAnsi="Calibri" w:cs="Times New Roman"/>
          <w:lang w:val="en-GB"/>
        </w:rPr>
        <w:t xml:space="preserve">involvement </w:t>
      </w:r>
      <w:r w:rsidR="00A51859" w:rsidRPr="00A51859">
        <w:rPr>
          <w:rFonts w:ascii="Calibri" w:eastAsia="Calibri" w:hAnsi="Calibri" w:cs="Times New Roman"/>
          <w:lang w:val="en-GB"/>
        </w:rPr>
        <w:t>….</w:t>
      </w:r>
      <w:r w:rsidR="008D1813" w:rsidRPr="00A51859">
        <w:rPr>
          <w:rFonts w:ascii="Calibri" w:eastAsia="Calibri" w:hAnsi="Calibri" w:cs="Times New Roman"/>
          <w:lang w:val="en-GB"/>
        </w:rPr>
        <w:t xml:space="preserve">, especially as a response to 2008-2013 crisis, of low/middle skilled workers as </w:t>
      </w:r>
      <w:r w:rsidR="008D1813" w:rsidRPr="00B62406">
        <w:rPr>
          <w:rFonts w:ascii="Calibri" w:eastAsia="Calibri" w:hAnsi="Calibri" w:cs="Times New Roman"/>
          <w:lang w:val="en-GB"/>
        </w:rPr>
        <w:t>a way for contrasting</w:t>
      </w:r>
      <w:r w:rsidR="00A51859" w:rsidRPr="00B62406">
        <w:rPr>
          <w:rFonts w:ascii="Calibri" w:eastAsia="Calibri" w:hAnsi="Calibri" w:cs="Times New Roman"/>
          <w:lang w:val="en-GB"/>
        </w:rPr>
        <w:t xml:space="preserve"> and/or </w:t>
      </w:r>
      <w:r w:rsidR="008D1813" w:rsidRPr="00B62406">
        <w:rPr>
          <w:rFonts w:ascii="Calibri" w:eastAsia="Calibri" w:hAnsi="Calibri" w:cs="Times New Roman"/>
          <w:lang w:val="en-GB"/>
        </w:rPr>
        <w:t>preventing their unemployment</w:t>
      </w:r>
      <w:r w:rsidR="00A51859" w:rsidRPr="00B62406">
        <w:rPr>
          <w:rFonts w:ascii="Calibri" w:eastAsia="Calibri" w:hAnsi="Calibri" w:cs="Times New Roman"/>
          <w:lang w:val="en-GB"/>
        </w:rPr>
        <w:t>” (</w:t>
      </w:r>
      <w:proofErr w:type="spellStart"/>
      <w:r w:rsidR="00B62406" w:rsidRPr="00B62406">
        <w:rPr>
          <w:rFonts w:ascii="Calibri" w:eastAsia="Calibri" w:hAnsi="Calibri" w:cs="Times New Roman"/>
          <w:lang w:val="en-GB"/>
        </w:rPr>
        <w:t>Cedefop</w:t>
      </w:r>
      <w:proofErr w:type="spellEnd"/>
      <w:r w:rsidR="00B62406" w:rsidRPr="00B62406">
        <w:rPr>
          <w:rFonts w:ascii="Calibri" w:eastAsia="Calibri" w:hAnsi="Calibri" w:cs="Times New Roman"/>
          <w:lang w:val="en-GB"/>
        </w:rPr>
        <w:t xml:space="preserve">, </w:t>
      </w:r>
      <w:r w:rsidR="00B62406" w:rsidRPr="00B62406">
        <w:rPr>
          <w:rFonts w:ascii="Calibri" w:eastAsia="Calibri" w:hAnsi="Calibri" w:cs="Times New Roman"/>
          <w:i/>
          <w:lang w:val="en-GB"/>
        </w:rPr>
        <w:t>under publication</w:t>
      </w:r>
      <w:r w:rsidR="00B62406" w:rsidRPr="00B62406">
        <w:rPr>
          <w:rFonts w:ascii="Calibri" w:eastAsia="Calibri" w:hAnsi="Calibri" w:cs="Times New Roman"/>
          <w:lang w:val="en-GB"/>
        </w:rPr>
        <w:t>, p.</w:t>
      </w:r>
      <w:r w:rsidR="00A51859" w:rsidRPr="00B62406">
        <w:rPr>
          <w:rFonts w:ascii="Calibri" w:eastAsia="Calibri" w:hAnsi="Calibri" w:cs="Times New Roman"/>
          <w:lang w:val="en-GB"/>
        </w:rPr>
        <w:t xml:space="preserve"> p. </w:t>
      </w:r>
      <w:r w:rsidR="007F435E" w:rsidRPr="00B62406">
        <w:rPr>
          <w:rFonts w:ascii="Calibri" w:eastAsia="Calibri" w:hAnsi="Calibri" w:cs="Times New Roman"/>
          <w:lang w:val="en-GB"/>
        </w:rPr>
        <w:t>12</w:t>
      </w:r>
      <w:r w:rsidR="00A51859" w:rsidRPr="00B62406">
        <w:rPr>
          <w:rFonts w:ascii="Calibri" w:eastAsia="Calibri" w:hAnsi="Calibri" w:cs="Times New Roman"/>
          <w:lang w:val="en-GB"/>
        </w:rPr>
        <w:t>).</w:t>
      </w:r>
      <w:r w:rsidR="00A51859">
        <w:rPr>
          <w:rFonts w:ascii="Calibri" w:eastAsia="Calibri" w:hAnsi="Calibri" w:cs="Times New Roman"/>
          <w:lang w:val="en-GB"/>
        </w:rPr>
        <w:t xml:space="preserve"> </w:t>
      </w:r>
    </w:p>
    <w:p w:rsidR="00033D15" w:rsidRPr="00CE7666" w:rsidRDefault="00033D15" w:rsidP="00056294">
      <w:pPr>
        <w:pStyle w:val="Paragraphedeliste"/>
        <w:spacing w:after="0"/>
        <w:ind w:left="0"/>
        <w:rPr>
          <w:i/>
          <w:lang w:val="en-GB"/>
        </w:rPr>
      </w:pPr>
    </w:p>
    <w:p w:rsidR="002615AF" w:rsidRDefault="002615AF" w:rsidP="00D237F4">
      <w:pPr>
        <w:spacing w:after="0"/>
        <w:rPr>
          <w:b/>
          <w:lang w:val="en-GB"/>
        </w:rPr>
      </w:pPr>
      <w:r>
        <w:rPr>
          <w:b/>
          <w:lang w:val="en-GB"/>
        </w:rPr>
        <w:t>4.V</w:t>
      </w:r>
      <w:r w:rsidR="000B5FEB">
        <w:rPr>
          <w:b/>
          <w:lang w:val="en-GB"/>
        </w:rPr>
        <w:t xml:space="preserve">ocational </w:t>
      </w:r>
      <w:r>
        <w:rPr>
          <w:b/>
          <w:lang w:val="en-GB"/>
        </w:rPr>
        <w:t>T</w:t>
      </w:r>
      <w:r w:rsidR="000B5FEB">
        <w:rPr>
          <w:b/>
          <w:lang w:val="en-GB"/>
        </w:rPr>
        <w:t xml:space="preserve">raining </w:t>
      </w:r>
      <w:r>
        <w:rPr>
          <w:b/>
          <w:lang w:val="en-GB"/>
        </w:rPr>
        <w:t>S</w:t>
      </w:r>
      <w:r w:rsidR="000B5FEB">
        <w:rPr>
          <w:b/>
          <w:lang w:val="en-GB"/>
        </w:rPr>
        <w:t>ystem</w:t>
      </w:r>
      <w:r w:rsidR="00502B71">
        <w:rPr>
          <w:b/>
          <w:lang w:val="en-GB"/>
        </w:rPr>
        <w:t>, labour markets</w:t>
      </w:r>
      <w:r>
        <w:rPr>
          <w:b/>
          <w:lang w:val="en-GB"/>
        </w:rPr>
        <w:t xml:space="preserve"> and (internal) mobility for work in Italy: </w:t>
      </w:r>
      <w:r w:rsidR="00807838">
        <w:rPr>
          <w:b/>
          <w:lang w:val="en-GB"/>
        </w:rPr>
        <w:t xml:space="preserve">some </w:t>
      </w:r>
      <w:r>
        <w:rPr>
          <w:b/>
          <w:lang w:val="en-GB"/>
        </w:rPr>
        <w:t xml:space="preserve">final considerations </w:t>
      </w:r>
    </w:p>
    <w:p w:rsidR="00671644" w:rsidRPr="00502B71" w:rsidRDefault="004D7224" w:rsidP="00671644">
      <w:pPr>
        <w:spacing w:after="0"/>
        <w:jc w:val="both"/>
        <w:rPr>
          <w:lang w:val="en-GB"/>
        </w:rPr>
      </w:pPr>
      <w:r>
        <w:rPr>
          <w:lang w:val="en-GB"/>
        </w:rPr>
        <w:t xml:space="preserve">Italian internal </w:t>
      </w:r>
      <w:r w:rsidR="00813E12">
        <w:rPr>
          <w:lang w:val="en-GB"/>
        </w:rPr>
        <w:t>“</w:t>
      </w:r>
      <w:r>
        <w:rPr>
          <w:lang w:val="en-GB"/>
        </w:rPr>
        <w:t>mobility for work</w:t>
      </w:r>
      <w:r w:rsidR="00813E12">
        <w:rPr>
          <w:lang w:val="en-GB"/>
        </w:rPr>
        <w:t>”</w:t>
      </w:r>
      <w:r>
        <w:rPr>
          <w:lang w:val="en-GB"/>
        </w:rPr>
        <w:t xml:space="preserve"> is, since 1990, </w:t>
      </w:r>
      <w:r w:rsidR="00437C26">
        <w:rPr>
          <w:lang w:val="en-GB"/>
        </w:rPr>
        <w:t xml:space="preserve">mostly from Southern to Northern (largely) and Centre regions (see </w:t>
      </w:r>
      <w:r w:rsidR="0061772A">
        <w:rPr>
          <w:lang w:val="en-GB"/>
        </w:rPr>
        <w:t>P</w:t>
      </w:r>
      <w:r w:rsidR="00437C26">
        <w:rPr>
          <w:lang w:val="en-GB"/>
        </w:rPr>
        <w:t>ar. 1 above); in more recent years</w:t>
      </w:r>
      <w:r w:rsidR="00DD37C9">
        <w:rPr>
          <w:lang w:val="en-GB"/>
        </w:rPr>
        <w:t>,</w:t>
      </w:r>
      <w:r w:rsidR="00437C26">
        <w:rPr>
          <w:lang w:val="en-GB"/>
        </w:rPr>
        <w:t xml:space="preserve"> this mobility involved a considerable flow of high-skilled </w:t>
      </w:r>
      <w:r w:rsidR="00DD37C9">
        <w:rPr>
          <w:lang w:val="en-GB"/>
        </w:rPr>
        <w:t xml:space="preserve">and young </w:t>
      </w:r>
      <w:r w:rsidR="00437C26">
        <w:rPr>
          <w:lang w:val="en-GB"/>
        </w:rPr>
        <w:t>people</w:t>
      </w:r>
      <w:r w:rsidR="00DD37C9">
        <w:rPr>
          <w:lang w:val="en-GB"/>
        </w:rPr>
        <w:t xml:space="preserve"> that move in search of higher productive and dynamic contexts. Better employment chances existing in Northern regions are the most relevant factor pulling migrations from Southern regions. An effect of South-North internal migrations for work (and, </w:t>
      </w:r>
      <w:r w:rsidR="0061772A">
        <w:rPr>
          <w:lang w:val="en-GB"/>
        </w:rPr>
        <w:t>in a lesser extent</w:t>
      </w:r>
      <w:r w:rsidR="00DD37C9">
        <w:rPr>
          <w:lang w:val="en-GB"/>
        </w:rPr>
        <w:t>, for graduating) is the depletion of Southern regions human capital</w:t>
      </w:r>
      <w:r w:rsidR="00671644">
        <w:rPr>
          <w:lang w:val="en-GB"/>
        </w:rPr>
        <w:t>. In the last 15 years (</w:t>
      </w:r>
      <w:proofErr w:type="spellStart"/>
      <w:r w:rsidR="00671644">
        <w:rPr>
          <w:lang w:val="en-GB"/>
        </w:rPr>
        <w:t>Svimez</w:t>
      </w:r>
      <w:proofErr w:type="spellEnd"/>
      <w:r w:rsidR="00671644">
        <w:rPr>
          <w:lang w:val="en-GB"/>
        </w:rPr>
        <w:t>, 2017, p. 29)</w:t>
      </w:r>
      <w:r w:rsidR="007F2970">
        <w:rPr>
          <w:lang w:val="en-GB"/>
        </w:rPr>
        <w:t>,</w:t>
      </w:r>
      <w:r w:rsidR="00671644">
        <w:rPr>
          <w:lang w:val="en-GB"/>
        </w:rPr>
        <w:t xml:space="preserve"> “1,7 Million people emigrated from Southern regions opposite to one million of returns </w:t>
      </w:r>
      <w:proofErr w:type="gramStart"/>
      <w:r w:rsidR="00671644">
        <w:rPr>
          <w:lang w:val="en-GB"/>
        </w:rPr>
        <w:t>… :</w:t>
      </w:r>
      <w:proofErr w:type="gramEnd"/>
      <w:r w:rsidR="00671644">
        <w:rPr>
          <w:lang w:val="en-GB"/>
        </w:rPr>
        <w:t xml:space="preserve"> they are mostly 15-34 years old young (72.4%) and academic graduates – who are 1/3 of the total – “. The Italian </w:t>
      </w:r>
      <w:r w:rsidR="00671644">
        <w:rPr>
          <w:rFonts w:cstheme="minorHAnsi"/>
          <w:lang w:val="en-GB"/>
        </w:rPr>
        <w:t xml:space="preserve">National </w:t>
      </w:r>
      <w:r w:rsidR="00671644">
        <w:rPr>
          <w:rFonts w:cstheme="minorHAnsi"/>
          <w:lang w:val="en-GB"/>
        </w:rPr>
        <w:lastRenderedPageBreak/>
        <w:t xml:space="preserve">Institute of Statistics (ISTAT) </w:t>
      </w:r>
      <w:r w:rsidR="008A6C15">
        <w:rPr>
          <w:rFonts w:cstheme="minorHAnsi"/>
          <w:lang w:val="en-GB"/>
        </w:rPr>
        <w:t xml:space="preserve">envisages, </w:t>
      </w:r>
      <w:r w:rsidR="00671644">
        <w:rPr>
          <w:rFonts w:cstheme="minorHAnsi"/>
          <w:lang w:val="en-GB"/>
        </w:rPr>
        <w:t>for the next 50 years</w:t>
      </w:r>
      <w:r w:rsidR="008A6C15">
        <w:rPr>
          <w:rFonts w:cstheme="minorHAnsi"/>
          <w:lang w:val="en-GB"/>
        </w:rPr>
        <w:t xml:space="preserve">, </w:t>
      </w:r>
      <w:r w:rsidR="00671644">
        <w:rPr>
          <w:rFonts w:cstheme="minorHAnsi"/>
          <w:lang w:val="en-GB"/>
        </w:rPr>
        <w:t>a relevant reduction of the population in Italy, more accentuated in Southern regions (5 million</w:t>
      </w:r>
      <w:r w:rsidR="00863B2A">
        <w:rPr>
          <w:rFonts w:cstheme="minorHAnsi"/>
          <w:lang w:val="en-GB"/>
        </w:rPr>
        <w:t xml:space="preserve"> </w:t>
      </w:r>
      <w:r w:rsidR="00671644">
        <w:rPr>
          <w:rFonts w:cstheme="minorHAnsi"/>
          <w:lang w:val="en-GB"/>
        </w:rPr>
        <w:t>people</w:t>
      </w:r>
      <w:r w:rsidR="00863B2A">
        <w:rPr>
          <w:rFonts w:cstheme="minorHAnsi"/>
          <w:lang w:val="en-GB"/>
        </w:rPr>
        <w:t xml:space="preserve"> less</w:t>
      </w:r>
      <w:r w:rsidR="00671644">
        <w:rPr>
          <w:rFonts w:cstheme="minorHAnsi"/>
          <w:lang w:val="en-GB"/>
        </w:rPr>
        <w:t>) than in the rest of the Country (</w:t>
      </w:r>
      <w:r w:rsidR="00863B2A">
        <w:rPr>
          <w:rFonts w:cstheme="minorHAnsi"/>
          <w:lang w:val="en-GB"/>
        </w:rPr>
        <w:t>one</w:t>
      </w:r>
      <w:r w:rsidR="00671644">
        <w:rPr>
          <w:rFonts w:cstheme="minorHAnsi"/>
          <w:lang w:val="en-GB"/>
        </w:rPr>
        <w:t xml:space="preserve"> million</w:t>
      </w:r>
      <w:r w:rsidR="00863B2A">
        <w:rPr>
          <w:rFonts w:cstheme="minorHAnsi"/>
          <w:lang w:val="en-GB"/>
        </w:rPr>
        <w:t xml:space="preserve"> less</w:t>
      </w:r>
      <w:r w:rsidR="00671644">
        <w:rPr>
          <w:rFonts w:cstheme="minorHAnsi"/>
          <w:lang w:val="en-GB"/>
        </w:rPr>
        <w:t>) (</w:t>
      </w:r>
      <w:proofErr w:type="spellStart"/>
      <w:r w:rsidR="00671644">
        <w:rPr>
          <w:rFonts w:cstheme="minorHAnsi"/>
          <w:lang w:val="en-GB"/>
        </w:rPr>
        <w:t>Svimez</w:t>
      </w:r>
      <w:proofErr w:type="spellEnd"/>
      <w:r w:rsidR="00671644">
        <w:rPr>
          <w:rFonts w:cstheme="minorHAnsi"/>
          <w:lang w:val="en-GB"/>
        </w:rPr>
        <w:t>, 2018, p. 28). In addition, there will probably be a “relevant spatial re-distribution of the existing population in favour of North-Centre Regions. Southern regions will lose an important share of its … 15-64 years old population (-5,278,000 individuals) as a consequence of a persistent migration-related loss” (</w:t>
      </w:r>
      <w:r w:rsidR="00671644" w:rsidRPr="00327F8E">
        <w:rPr>
          <w:rFonts w:cstheme="minorHAnsi"/>
          <w:i/>
          <w:lang w:val="en-GB"/>
        </w:rPr>
        <w:t>Ibid</w:t>
      </w:r>
      <w:r w:rsidR="00327F8E" w:rsidRPr="00327F8E">
        <w:rPr>
          <w:rFonts w:cstheme="minorHAnsi"/>
          <w:i/>
          <w:lang w:val="en-GB"/>
        </w:rPr>
        <w:t>.</w:t>
      </w:r>
      <w:r w:rsidR="00671644">
        <w:rPr>
          <w:rFonts w:cstheme="minorHAnsi"/>
          <w:lang w:val="en-GB"/>
        </w:rPr>
        <w:t>).</w:t>
      </w:r>
    </w:p>
    <w:p w:rsidR="00813E12" w:rsidRDefault="00813E12" w:rsidP="00813E12">
      <w:pPr>
        <w:spacing w:after="0"/>
        <w:jc w:val="both"/>
        <w:rPr>
          <w:lang w:val="en-GB"/>
        </w:rPr>
      </w:pPr>
    </w:p>
    <w:p w:rsidR="00AA7EC1" w:rsidRDefault="008A6C15" w:rsidP="00813E12">
      <w:pPr>
        <w:spacing w:after="0"/>
        <w:jc w:val="both"/>
        <w:rPr>
          <w:lang w:val="en-GB"/>
        </w:rPr>
      </w:pPr>
      <w:r>
        <w:rPr>
          <w:lang w:val="en-GB"/>
        </w:rPr>
        <w:t>Recent i</w:t>
      </w:r>
      <w:r w:rsidR="00813E12">
        <w:rPr>
          <w:lang w:val="en-GB"/>
        </w:rPr>
        <w:t>nternal “mobility for work” occurred in a labour market</w:t>
      </w:r>
      <w:r w:rsidR="00AE14EB">
        <w:rPr>
          <w:lang w:val="en-GB"/>
        </w:rPr>
        <w:t>, comparing the pre-post crisis situation</w:t>
      </w:r>
      <w:r>
        <w:rPr>
          <w:lang w:val="en-GB"/>
        </w:rPr>
        <w:t>s</w:t>
      </w:r>
      <w:r w:rsidR="0091080E">
        <w:rPr>
          <w:lang w:val="en-GB"/>
        </w:rPr>
        <w:t xml:space="preserve"> (OCED, 2018)</w:t>
      </w:r>
      <w:r w:rsidR="00AE14EB">
        <w:rPr>
          <w:lang w:val="en-GB"/>
        </w:rPr>
        <w:t>,</w:t>
      </w:r>
      <w:r w:rsidR="0091080E">
        <w:rPr>
          <w:lang w:val="en-GB"/>
        </w:rPr>
        <w:t xml:space="preserve"> whose main indicators “</w:t>
      </w:r>
      <w:r w:rsidR="00AE14EB" w:rsidRPr="00F43AAB">
        <w:rPr>
          <w:rFonts w:ascii="Calibri" w:hAnsi="Calibri" w:cs="Calibri"/>
          <w:color w:val="000000"/>
          <w:lang w:val="en-GB"/>
        </w:rPr>
        <w:t>improved over the past years but at a slower pace than in other OECD countries</w:t>
      </w:r>
      <w:r w:rsidR="0091080E">
        <w:rPr>
          <w:rFonts w:ascii="Calibri" w:hAnsi="Calibri" w:cs="Calibri"/>
          <w:color w:val="000000"/>
          <w:lang w:val="en-GB"/>
        </w:rPr>
        <w:t>”</w:t>
      </w:r>
      <w:r w:rsidR="00DF53C3">
        <w:rPr>
          <w:rStyle w:val="Appelnotedebasdep"/>
          <w:rFonts w:ascii="Calibri" w:hAnsi="Calibri" w:cs="Calibri"/>
          <w:color w:val="000000"/>
          <w:lang w:val="en-GB"/>
        </w:rPr>
        <w:footnoteReference w:id="14"/>
      </w:r>
      <w:r w:rsidR="0091080E">
        <w:rPr>
          <w:rFonts w:ascii="Calibri" w:hAnsi="Calibri" w:cs="Calibri"/>
          <w:color w:val="000000"/>
          <w:lang w:val="en-GB"/>
        </w:rPr>
        <w:t xml:space="preserve">: </w:t>
      </w:r>
      <w:r w:rsidR="00DF53C3">
        <w:rPr>
          <w:rFonts w:ascii="Calibri" w:hAnsi="Calibri" w:cs="Calibri"/>
          <w:color w:val="000000"/>
          <w:lang w:val="en-GB"/>
        </w:rPr>
        <w:t xml:space="preserve">it is </w:t>
      </w:r>
      <w:r w:rsidR="00AA7EC1">
        <w:rPr>
          <w:rFonts w:ascii="Calibri" w:hAnsi="Calibri" w:cs="Calibri"/>
          <w:color w:val="000000"/>
          <w:lang w:val="en-GB"/>
        </w:rPr>
        <w:t xml:space="preserve">relevant, for our purposes, </w:t>
      </w:r>
      <w:r w:rsidR="00AE14EB">
        <w:rPr>
          <w:rFonts w:ascii="Calibri" w:hAnsi="Calibri" w:cs="Calibri"/>
          <w:color w:val="000000"/>
          <w:lang w:val="en-GB"/>
        </w:rPr>
        <w:t>that (OECD, cit.) “t</w:t>
      </w:r>
      <w:r w:rsidR="00AE14EB" w:rsidRPr="00F10359">
        <w:rPr>
          <w:rFonts w:ascii="Calibri" w:hAnsi="Calibri" w:cs="Calibri"/>
          <w:color w:val="000000"/>
          <w:lang w:val="en-GB"/>
        </w:rPr>
        <w:t>he Italian labour market performs below the OECD average in all key indicators of job quality and inclusiveness, except earnings quality</w:t>
      </w:r>
      <w:r w:rsidR="00AA7EC1">
        <w:rPr>
          <w:rFonts w:ascii="Calibri" w:hAnsi="Calibri" w:cs="Calibri"/>
          <w:color w:val="000000"/>
          <w:lang w:val="en-GB"/>
        </w:rPr>
        <w:t xml:space="preserve">: […..] </w:t>
      </w:r>
      <w:r w:rsidR="00AE14EB" w:rsidRPr="00F10359">
        <w:rPr>
          <w:rFonts w:ascii="Calibri" w:hAnsi="Calibri" w:cs="Calibri"/>
          <w:color w:val="000000"/>
          <w:lang w:val="en-GB"/>
        </w:rPr>
        <w:t>the degree of labour market security of Italian workers is the fourth lowest in the OECD, after Greece, Spain and Turkey</w:t>
      </w:r>
      <w:r w:rsidR="00AE14EB">
        <w:rPr>
          <w:rFonts w:ascii="Calibri" w:hAnsi="Calibri" w:cs="Calibri"/>
          <w:color w:val="000000"/>
          <w:lang w:val="en-GB"/>
        </w:rPr>
        <w:t>”</w:t>
      </w:r>
      <w:r w:rsidR="00AE14EB" w:rsidRPr="00F10359">
        <w:rPr>
          <w:rFonts w:ascii="Calibri" w:hAnsi="Calibri" w:cs="Calibri"/>
          <w:color w:val="000000"/>
          <w:lang w:val="en-GB"/>
        </w:rPr>
        <w:t>.</w:t>
      </w:r>
      <w:r w:rsidR="00AE14EB">
        <w:rPr>
          <w:rFonts w:ascii="Calibri" w:hAnsi="Calibri" w:cs="Calibri"/>
          <w:color w:val="000000"/>
          <w:lang w:val="en-GB"/>
        </w:rPr>
        <w:t xml:space="preserve"> </w:t>
      </w:r>
      <w:r>
        <w:rPr>
          <w:rFonts w:ascii="Calibri" w:hAnsi="Calibri" w:cs="Calibri"/>
          <w:color w:val="000000"/>
          <w:lang w:val="en-GB"/>
        </w:rPr>
        <w:t>A</w:t>
      </w:r>
      <w:r w:rsidR="00AE14EB">
        <w:rPr>
          <w:rFonts w:ascii="Calibri" w:hAnsi="Calibri" w:cs="Calibri"/>
          <w:color w:val="000000"/>
          <w:lang w:val="en-GB"/>
        </w:rPr>
        <w:t>lso as a consequence of the long and severe economic crisis, “p</w:t>
      </w:r>
      <w:r w:rsidR="00AE14EB" w:rsidRPr="00F10359">
        <w:rPr>
          <w:rFonts w:ascii="Calibri" w:hAnsi="Calibri" w:cs="Calibri"/>
          <w:color w:val="000000"/>
          <w:lang w:val="en-GB"/>
        </w:rPr>
        <w:t>overty has increased: 13.6% of working-age persons live in households with less than 50% of the median income, up from 10.7% in 2006</w:t>
      </w:r>
      <w:r w:rsidR="00AE14EB">
        <w:rPr>
          <w:rFonts w:ascii="Calibri" w:hAnsi="Calibri" w:cs="Calibri"/>
          <w:color w:val="000000"/>
          <w:lang w:val="en-GB"/>
        </w:rPr>
        <w:t>”</w:t>
      </w:r>
      <w:r>
        <w:rPr>
          <w:rFonts w:ascii="Calibri" w:hAnsi="Calibri" w:cs="Calibri"/>
          <w:color w:val="000000"/>
          <w:lang w:val="en-GB"/>
        </w:rPr>
        <w:t xml:space="preserve">: the same trend </w:t>
      </w:r>
      <w:proofErr w:type="gramStart"/>
      <w:r>
        <w:rPr>
          <w:rFonts w:ascii="Calibri" w:hAnsi="Calibri" w:cs="Calibri"/>
          <w:color w:val="000000"/>
          <w:lang w:val="en-GB"/>
        </w:rPr>
        <w:t xml:space="preserve">is </w:t>
      </w:r>
      <w:r w:rsidR="00AE14EB">
        <w:rPr>
          <w:rFonts w:ascii="Calibri" w:hAnsi="Calibri" w:cs="Calibri"/>
          <w:color w:val="000000"/>
          <w:lang w:val="en-GB"/>
        </w:rPr>
        <w:t xml:space="preserve"> </w:t>
      </w:r>
      <w:r>
        <w:rPr>
          <w:rFonts w:ascii="Calibri" w:hAnsi="Calibri" w:cs="Calibri"/>
          <w:color w:val="000000"/>
          <w:lang w:val="en-GB"/>
        </w:rPr>
        <w:t>for</w:t>
      </w:r>
      <w:proofErr w:type="gramEnd"/>
      <w:r>
        <w:rPr>
          <w:rFonts w:ascii="Calibri" w:hAnsi="Calibri" w:cs="Calibri"/>
          <w:color w:val="000000"/>
          <w:lang w:val="en-GB"/>
        </w:rPr>
        <w:t xml:space="preserve"> </w:t>
      </w:r>
      <w:r w:rsidR="00AE14EB">
        <w:rPr>
          <w:rFonts w:ascii="Calibri" w:hAnsi="Calibri" w:cs="Calibri"/>
          <w:color w:val="000000"/>
          <w:lang w:val="en-GB"/>
        </w:rPr>
        <w:t>“t</w:t>
      </w:r>
      <w:r w:rsidR="00AE14EB" w:rsidRPr="00F10359">
        <w:rPr>
          <w:rFonts w:ascii="Calibri" w:hAnsi="Calibri" w:cs="Calibri"/>
          <w:color w:val="000000"/>
          <w:lang w:val="en-GB"/>
        </w:rPr>
        <w:t>he employment gap for disadvantaged groups, such as mothers with children, youth, older workers, non-natives, and persons with partial disabilities</w:t>
      </w:r>
      <w:r w:rsidR="00AE14EB">
        <w:rPr>
          <w:rFonts w:ascii="Calibri" w:hAnsi="Calibri" w:cs="Calibri"/>
          <w:color w:val="000000"/>
          <w:lang w:val="en-GB"/>
        </w:rPr>
        <w:t>”.</w:t>
      </w:r>
      <w:r w:rsidR="00F43DD1">
        <w:rPr>
          <w:rFonts w:ascii="Calibri" w:hAnsi="Calibri" w:cs="Calibri"/>
          <w:color w:val="000000"/>
          <w:lang w:val="en-GB"/>
        </w:rPr>
        <w:t xml:space="preserve"> </w:t>
      </w:r>
      <w:r w:rsidR="00AA7EC1" w:rsidRPr="000C104B">
        <w:rPr>
          <w:lang w:val="en-GB"/>
        </w:rPr>
        <w:t xml:space="preserve">Italian labour market </w:t>
      </w:r>
      <w:r w:rsidR="00AA7EC1">
        <w:rPr>
          <w:lang w:val="en-GB"/>
        </w:rPr>
        <w:t xml:space="preserve">performance </w:t>
      </w:r>
      <w:r w:rsidR="00AA7EC1" w:rsidRPr="000C104B">
        <w:rPr>
          <w:lang w:val="en-GB"/>
        </w:rPr>
        <w:t xml:space="preserve">in the last 15 years </w:t>
      </w:r>
      <w:r w:rsidR="00F43DD1">
        <w:rPr>
          <w:lang w:val="en-GB"/>
        </w:rPr>
        <w:t xml:space="preserve">presents three relevant issues </w:t>
      </w:r>
      <w:r w:rsidR="00AA7EC1" w:rsidRPr="000C104B">
        <w:rPr>
          <w:lang w:val="en-GB"/>
        </w:rPr>
        <w:t xml:space="preserve">(Marino and </w:t>
      </w:r>
      <w:proofErr w:type="spellStart"/>
      <w:r w:rsidR="00AA7EC1" w:rsidRPr="000C104B">
        <w:rPr>
          <w:lang w:val="en-GB"/>
        </w:rPr>
        <w:t>Nunziata</w:t>
      </w:r>
      <w:proofErr w:type="spellEnd"/>
      <w:r w:rsidR="00AA7EC1" w:rsidRPr="000C104B">
        <w:rPr>
          <w:lang w:val="en-GB"/>
        </w:rPr>
        <w:t>, 2017)</w:t>
      </w:r>
      <w:r w:rsidR="00F43DD1">
        <w:rPr>
          <w:lang w:val="en-GB"/>
        </w:rPr>
        <w:t>:</w:t>
      </w:r>
      <w:r w:rsidR="00AA7EC1">
        <w:rPr>
          <w:lang w:val="en-GB"/>
        </w:rPr>
        <w:t xml:space="preserve"> “pronounced differences across age groups: young individuals are facing high unemployment and low participation rates while older individuals have seen their participation and employment level increase” (cit., p. 1)</w:t>
      </w:r>
      <w:r w:rsidR="00F43DD1">
        <w:rPr>
          <w:lang w:val="en-GB"/>
        </w:rPr>
        <w:t>;</w:t>
      </w:r>
      <w:r w:rsidR="00AA7EC1">
        <w:rPr>
          <w:lang w:val="en-GB"/>
        </w:rPr>
        <w:t xml:space="preserve"> “regional differences </w:t>
      </w:r>
      <w:r w:rsidR="00F43DD1">
        <w:rPr>
          <w:rFonts w:cstheme="minorHAnsi"/>
          <w:lang w:val="en-GB"/>
        </w:rPr>
        <w:t>[</w:t>
      </w:r>
      <w:r w:rsidR="00F43DD1">
        <w:rPr>
          <w:lang w:val="en-GB"/>
        </w:rPr>
        <w:t>….</w:t>
      </w:r>
      <w:r w:rsidR="00F43DD1">
        <w:rPr>
          <w:rFonts w:cstheme="minorHAnsi"/>
          <w:lang w:val="en-GB"/>
        </w:rPr>
        <w:t>]</w:t>
      </w:r>
      <w:r w:rsidR="00AA7EC1">
        <w:rPr>
          <w:lang w:val="en-GB"/>
        </w:rPr>
        <w:t xml:space="preserve"> still significant, </w:t>
      </w:r>
      <w:r w:rsidR="00F43DD1">
        <w:rPr>
          <w:rFonts w:cstheme="minorHAnsi"/>
          <w:lang w:val="en-GB"/>
        </w:rPr>
        <w:t>[</w:t>
      </w:r>
      <w:r w:rsidR="00F43DD1">
        <w:rPr>
          <w:lang w:val="en-GB"/>
        </w:rPr>
        <w:t>with</w:t>
      </w:r>
      <w:r w:rsidR="00F43DD1">
        <w:rPr>
          <w:rFonts w:cstheme="minorHAnsi"/>
          <w:lang w:val="en-GB"/>
        </w:rPr>
        <w:t>]</w:t>
      </w:r>
      <w:r w:rsidR="00F43DD1">
        <w:rPr>
          <w:lang w:val="en-GB"/>
        </w:rPr>
        <w:t xml:space="preserve"> </w:t>
      </w:r>
      <w:r w:rsidR="00AA7EC1">
        <w:rPr>
          <w:lang w:val="en-GB"/>
        </w:rPr>
        <w:t>a more dynamic North</w:t>
      </w:r>
      <w:r w:rsidR="00F43DD1">
        <w:rPr>
          <w:lang w:val="en-GB"/>
        </w:rPr>
        <w:t xml:space="preserve"> and a stagnant South” (</w:t>
      </w:r>
      <w:r w:rsidR="00F43DD1" w:rsidRPr="00327F8E">
        <w:rPr>
          <w:i/>
          <w:lang w:val="en-GB"/>
        </w:rPr>
        <w:t>Ibid</w:t>
      </w:r>
      <w:r w:rsidR="00327F8E" w:rsidRPr="00327F8E">
        <w:rPr>
          <w:i/>
          <w:lang w:val="en-GB"/>
        </w:rPr>
        <w:t>.</w:t>
      </w:r>
      <w:r w:rsidR="00F43DD1">
        <w:rPr>
          <w:lang w:val="en-GB"/>
        </w:rPr>
        <w:t>); a high level of</w:t>
      </w:r>
      <w:r w:rsidR="00AA7EC1">
        <w:rPr>
          <w:lang w:val="en-GB"/>
        </w:rPr>
        <w:t xml:space="preserve"> “undeclared employment </w:t>
      </w:r>
      <w:r w:rsidR="00F43DD1">
        <w:rPr>
          <w:rFonts w:cstheme="minorHAnsi"/>
          <w:lang w:val="en-GB"/>
        </w:rPr>
        <w:t>[</w:t>
      </w:r>
      <w:r w:rsidR="00F43DD1">
        <w:rPr>
          <w:lang w:val="en-GB"/>
        </w:rPr>
        <w:t>….</w:t>
      </w:r>
      <w:r w:rsidR="00F43DD1">
        <w:rPr>
          <w:rFonts w:cstheme="minorHAnsi"/>
          <w:lang w:val="en-GB"/>
        </w:rPr>
        <w:t>]</w:t>
      </w:r>
      <w:r w:rsidR="00AA7EC1">
        <w:rPr>
          <w:lang w:val="en-GB"/>
        </w:rPr>
        <w:t>, especially in the South” (</w:t>
      </w:r>
      <w:r w:rsidR="00AA7EC1" w:rsidRPr="00327F8E">
        <w:rPr>
          <w:i/>
          <w:lang w:val="en-GB"/>
        </w:rPr>
        <w:t>Ibid</w:t>
      </w:r>
      <w:r w:rsidR="00327F8E" w:rsidRPr="00327F8E">
        <w:rPr>
          <w:i/>
          <w:lang w:val="en-GB"/>
        </w:rPr>
        <w:t>.</w:t>
      </w:r>
      <w:r w:rsidR="00327F8E">
        <w:rPr>
          <w:lang w:val="en-GB"/>
        </w:rPr>
        <w:t>)</w:t>
      </w:r>
      <w:r w:rsidR="00AA7EC1">
        <w:rPr>
          <w:lang w:val="en-GB"/>
        </w:rPr>
        <w:t>.</w:t>
      </w:r>
    </w:p>
    <w:p w:rsidR="001D1FB9" w:rsidRDefault="001D1FB9" w:rsidP="00813E12">
      <w:pPr>
        <w:spacing w:after="0"/>
        <w:jc w:val="both"/>
        <w:rPr>
          <w:lang w:val="en-GB"/>
        </w:rPr>
      </w:pPr>
    </w:p>
    <w:p w:rsidR="00AA7EC1" w:rsidRDefault="00D85830" w:rsidP="00813E12">
      <w:pPr>
        <w:spacing w:after="0"/>
        <w:jc w:val="both"/>
        <w:rPr>
          <w:lang w:val="en-GB"/>
        </w:rPr>
      </w:pPr>
      <w:r>
        <w:rPr>
          <w:lang w:val="en-GB"/>
        </w:rPr>
        <w:t xml:space="preserve">The relationship </w:t>
      </w:r>
      <w:r w:rsidR="00921D1B">
        <w:rPr>
          <w:lang w:val="en-GB"/>
        </w:rPr>
        <w:t>among mobility “for work” and labour market developments, on one side, and Vocation</w:t>
      </w:r>
      <w:r w:rsidR="00E57E52">
        <w:rPr>
          <w:lang w:val="en-GB"/>
        </w:rPr>
        <w:t>al</w:t>
      </w:r>
      <w:r w:rsidR="00921D1B">
        <w:rPr>
          <w:lang w:val="en-GB"/>
        </w:rPr>
        <w:t xml:space="preserve"> Training System, on the other side, is</w:t>
      </w:r>
      <w:r w:rsidR="00BA1C8A">
        <w:rPr>
          <w:lang w:val="en-GB"/>
        </w:rPr>
        <w:t xml:space="preserve"> strongly </w:t>
      </w:r>
      <w:r w:rsidR="00BA1C8A">
        <w:rPr>
          <w:i/>
          <w:lang w:val="en-GB"/>
        </w:rPr>
        <w:t xml:space="preserve">shaped </w:t>
      </w:r>
      <w:r w:rsidR="00BA1C8A">
        <w:rPr>
          <w:lang w:val="en-GB"/>
        </w:rPr>
        <w:t xml:space="preserve">in the Italian experience </w:t>
      </w:r>
      <w:r w:rsidR="00260870">
        <w:rPr>
          <w:lang w:val="en-GB"/>
        </w:rPr>
        <w:t xml:space="preserve">by </w:t>
      </w:r>
      <w:r w:rsidR="00E57E52">
        <w:rPr>
          <w:lang w:val="en-GB"/>
        </w:rPr>
        <w:t xml:space="preserve">the system’s </w:t>
      </w:r>
      <w:r w:rsidR="00260870">
        <w:rPr>
          <w:lang w:val="en-GB"/>
        </w:rPr>
        <w:t xml:space="preserve">structure and </w:t>
      </w:r>
      <w:r w:rsidR="0082255B">
        <w:rPr>
          <w:lang w:val="en-GB"/>
        </w:rPr>
        <w:t>size</w:t>
      </w:r>
      <w:r w:rsidR="00260870">
        <w:rPr>
          <w:lang w:val="en-GB"/>
        </w:rPr>
        <w:t xml:space="preserve">. </w:t>
      </w:r>
      <w:r w:rsidR="00C40898">
        <w:rPr>
          <w:lang w:val="en-GB"/>
        </w:rPr>
        <w:t xml:space="preserve">As for the structure, </w:t>
      </w:r>
      <w:r w:rsidR="00E57E52">
        <w:rPr>
          <w:lang w:val="en-GB"/>
        </w:rPr>
        <w:t xml:space="preserve">Vocational Training </w:t>
      </w:r>
      <w:r w:rsidR="00C40898">
        <w:rPr>
          <w:lang w:val="en-GB"/>
        </w:rPr>
        <w:t xml:space="preserve">is definitely divided in an </w:t>
      </w:r>
      <w:r w:rsidR="00C40898" w:rsidRPr="00C40898">
        <w:rPr>
          <w:i/>
          <w:lang w:val="en-GB"/>
        </w:rPr>
        <w:t>Initial</w:t>
      </w:r>
      <w:r w:rsidR="00C40898">
        <w:rPr>
          <w:lang w:val="en-GB"/>
        </w:rPr>
        <w:t xml:space="preserve"> sub-system (</w:t>
      </w:r>
      <w:r w:rsidR="00A152B0">
        <w:rPr>
          <w:lang w:val="en-GB"/>
        </w:rPr>
        <w:t xml:space="preserve">which extends till the non-academic tertiary level) and a </w:t>
      </w:r>
      <w:r w:rsidR="00A152B0">
        <w:rPr>
          <w:i/>
          <w:lang w:val="en-GB"/>
        </w:rPr>
        <w:t xml:space="preserve">Continuous </w:t>
      </w:r>
      <w:r w:rsidR="00A152B0">
        <w:rPr>
          <w:lang w:val="en-GB"/>
        </w:rPr>
        <w:t xml:space="preserve">sub-system (targeted to employed and unemployed); in addition, the Initial sub-system </w:t>
      </w:r>
      <w:r w:rsidR="0038669C">
        <w:rPr>
          <w:lang w:val="en-GB"/>
        </w:rPr>
        <w:t xml:space="preserve">– which is under the responsibility of Regions/Autonomous Provinces - </w:t>
      </w:r>
      <w:r w:rsidR="00996FBD">
        <w:rPr>
          <w:lang w:val="en-GB"/>
        </w:rPr>
        <w:t xml:space="preserve">does not </w:t>
      </w:r>
      <w:r w:rsidR="0038669C">
        <w:rPr>
          <w:lang w:val="en-GB"/>
        </w:rPr>
        <w:t xml:space="preserve">formally </w:t>
      </w:r>
      <w:r w:rsidR="00996FBD">
        <w:rPr>
          <w:lang w:val="en-GB"/>
        </w:rPr>
        <w:t xml:space="preserve">include </w:t>
      </w:r>
      <w:r w:rsidR="0038669C">
        <w:rPr>
          <w:i/>
          <w:lang w:val="en-GB"/>
        </w:rPr>
        <w:t xml:space="preserve">Upper Secondary </w:t>
      </w:r>
      <w:r w:rsidR="007541EF">
        <w:rPr>
          <w:i/>
          <w:lang w:val="en-GB"/>
        </w:rPr>
        <w:t xml:space="preserve">Vocational </w:t>
      </w:r>
      <w:r w:rsidR="0038669C" w:rsidRPr="0038669C">
        <w:rPr>
          <w:i/>
          <w:lang w:val="en-GB"/>
        </w:rPr>
        <w:t>Education</w:t>
      </w:r>
      <w:r w:rsidR="0038669C">
        <w:rPr>
          <w:lang w:val="en-GB"/>
        </w:rPr>
        <w:t xml:space="preserve"> programs (which are under the State’s responsibility). As for </w:t>
      </w:r>
      <w:r w:rsidR="0082255B">
        <w:rPr>
          <w:lang w:val="en-GB"/>
        </w:rPr>
        <w:t>the size</w:t>
      </w:r>
      <w:r w:rsidR="0038669C">
        <w:rPr>
          <w:lang w:val="en-GB"/>
        </w:rPr>
        <w:t xml:space="preserve">, </w:t>
      </w:r>
      <w:r w:rsidR="00692392">
        <w:rPr>
          <w:lang w:val="en-GB"/>
        </w:rPr>
        <w:t xml:space="preserve">as shown in Par. 3, the Initial sub-system </w:t>
      </w:r>
      <w:r w:rsidR="00183E67">
        <w:rPr>
          <w:lang w:val="en-GB"/>
        </w:rPr>
        <w:t xml:space="preserve">involves </w:t>
      </w:r>
      <w:r w:rsidR="000B7ABF">
        <w:rPr>
          <w:lang w:val="en-GB"/>
        </w:rPr>
        <w:t xml:space="preserve">an absolute minority of the total students </w:t>
      </w:r>
      <w:r w:rsidR="00150DA8">
        <w:rPr>
          <w:lang w:val="en-GB"/>
        </w:rPr>
        <w:t xml:space="preserve">of the corresponding age </w:t>
      </w:r>
      <w:r w:rsidR="000B7ABF">
        <w:rPr>
          <w:lang w:val="en-GB"/>
        </w:rPr>
        <w:t>(about 11%</w:t>
      </w:r>
      <w:r w:rsidR="00EB56BF">
        <w:rPr>
          <w:lang w:val="en-GB"/>
        </w:rPr>
        <w:t xml:space="preserve"> but 21% including also </w:t>
      </w:r>
      <w:r w:rsidR="00EB56BF" w:rsidRPr="00EB56BF">
        <w:rPr>
          <w:i/>
          <w:lang w:val="en-GB"/>
        </w:rPr>
        <w:t>Vocational Education</w:t>
      </w:r>
      <w:r w:rsidR="00EB56BF">
        <w:rPr>
          <w:lang w:val="en-GB"/>
        </w:rPr>
        <w:t xml:space="preserve"> programmes</w:t>
      </w:r>
      <w:r w:rsidR="000B7ABF">
        <w:rPr>
          <w:lang w:val="en-GB"/>
        </w:rPr>
        <w:t xml:space="preserve">) while </w:t>
      </w:r>
      <w:r w:rsidR="00BB488C">
        <w:rPr>
          <w:lang w:val="en-GB"/>
        </w:rPr>
        <w:t xml:space="preserve">the </w:t>
      </w:r>
      <w:r w:rsidR="00BB488C" w:rsidRPr="00BB488C">
        <w:rPr>
          <w:i/>
          <w:lang w:val="en-GB"/>
        </w:rPr>
        <w:t>Continuous V</w:t>
      </w:r>
      <w:r w:rsidR="00150DA8">
        <w:rPr>
          <w:i/>
          <w:lang w:val="en-GB"/>
        </w:rPr>
        <w:t xml:space="preserve">ocational </w:t>
      </w:r>
      <w:r w:rsidR="00BB488C" w:rsidRPr="00BB488C">
        <w:rPr>
          <w:i/>
          <w:lang w:val="en-GB"/>
        </w:rPr>
        <w:t>T</w:t>
      </w:r>
      <w:r w:rsidR="00150DA8">
        <w:rPr>
          <w:i/>
          <w:lang w:val="en-GB"/>
        </w:rPr>
        <w:t>raining</w:t>
      </w:r>
      <w:r w:rsidR="00BB488C">
        <w:rPr>
          <w:lang w:val="en-GB"/>
        </w:rPr>
        <w:t xml:space="preserve"> sub-system</w:t>
      </w:r>
      <w:r w:rsidR="00EB56BF">
        <w:rPr>
          <w:lang w:val="en-GB"/>
        </w:rPr>
        <w:t xml:space="preserve"> </w:t>
      </w:r>
      <w:r w:rsidR="00150DA8">
        <w:rPr>
          <w:lang w:val="en-GB"/>
        </w:rPr>
        <w:t xml:space="preserve">involvement </w:t>
      </w:r>
      <w:r w:rsidR="00EB56BF">
        <w:rPr>
          <w:lang w:val="en-GB"/>
        </w:rPr>
        <w:t xml:space="preserve">rate (calculated on employed) is about 16-17%. </w:t>
      </w:r>
      <w:r w:rsidR="006A27C7">
        <w:rPr>
          <w:lang w:val="en-GB"/>
        </w:rPr>
        <w:t xml:space="preserve">In addition, </w:t>
      </w:r>
      <w:r w:rsidR="00682160">
        <w:rPr>
          <w:lang w:val="en-GB"/>
        </w:rPr>
        <w:t xml:space="preserve">relevant internal differences affect both </w:t>
      </w:r>
      <w:r w:rsidR="00682160" w:rsidRPr="00682160">
        <w:rPr>
          <w:i/>
          <w:lang w:val="en-GB"/>
        </w:rPr>
        <w:t>Initial</w:t>
      </w:r>
      <w:r w:rsidR="00682160">
        <w:rPr>
          <w:lang w:val="en-GB"/>
        </w:rPr>
        <w:t xml:space="preserve"> and </w:t>
      </w:r>
      <w:r w:rsidR="00682160" w:rsidRPr="00682160">
        <w:rPr>
          <w:i/>
          <w:lang w:val="en-GB"/>
        </w:rPr>
        <w:t>Continuous</w:t>
      </w:r>
      <w:r w:rsidR="00682160">
        <w:rPr>
          <w:lang w:val="en-GB"/>
        </w:rPr>
        <w:t xml:space="preserve"> VT sub-systems (where Initial VT sub-system is largely concentrated in North/Centre regions while Continuous VT participation mostly involves large companies and medium-high skilled employees).  </w:t>
      </w:r>
    </w:p>
    <w:p w:rsidR="00D85830" w:rsidRDefault="00D85830" w:rsidP="00813E12">
      <w:pPr>
        <w:spacing w:after="0"/>
        <w:jc w:val="both"/>
        <w:rPr>
          <w:lang w:val="en-GB"/>
        </w:rPr>
      </w:pPr>
    </w:p>
    <w:p w:rsidR="00E356E9" w:rsidRDefault="00E178A4" w:rsidP="00E356E9">
      <w:pPr>
        <w:spacing w:after="0"/>
        <w:jc w:val="both"/>
        <w:rPr>
          <w:lang w:val="en-GB"/>
        </w:rPr>
      </w:pPr>
      <w:r>
        <w:rPr>
          <w:lang w:val="en-GB"/>
        </w:rPr>
        <w:t xml:space="preserve">Therefore, </w:t>
      </w:r>
      <w:r w:rsidR="00E356E9">
        <w:rPr>
          <w:lang w:val="en-GB"/>
        </w:rPr>
        <w:t xml:space="preserve">in the light of what has just been summarized (and more extensively presented in Parr. 1, 2, 3), </w:t>
      </w:r>
      <w:r w:rsidR="004F2254">
        <w:rPr>
          <w:lang w:val="en-GB"/>
        </w:rPr>
        <w:t xml:space="preserve">the role of </w:t>
      </w:r>
      <w:r w:rsidR="00E356E9">
        <w:rPr>
          <w:lang w:val="en-GB"/>
        </w:rPr>
        <w:t xml:space="preserve">Italian </w:t>
      </w:r>
      <w:r w:rsidR="004F2254">
        <w:rPr>
          <w:lang w:val="en-GB"/>
        </w:rPr>
        <w:t xml:space="preserve">Vocational Training System </w:t>
      </w:r>
      <w:r w:rsidR="001B3C8B">
        <w:rPr>
          <w:lang w:val="en-GB"/>
        </w:rPr>
        <w:t>with regard to</w:t>
      </w:r>
      <w:r w:rsidR="004F2254">
        <w:rPr>
          <w:lang w:val="en-GB"/>
        </w:rPr>
        <w:t xml:space="preserve"> </w:t>
      </w:r>
      <w:r w:rsidR="001B3C8B">
        <w:rPr>
          <w:lang w:val="en-GB"/>
        </w:rPr>
        <w:t xml:space="preserve">population “mobility </w:t>
      </w:r>
      <w:r w:rsidR="001B3C8B">
        <w:rPr>
          <w:lang w:val="en-GB"/>
        </w:rPr>
        <w:lastRenderedPageBreak/>
        <w:t xml:space="preserve">for work” </w:t>
      </w:r>
      <w:r w:rsidR="004F2254">
        <w:rPr>
          <w:lang w:val="en-GB"/>
        </w:rPr>
        <w:t>(</w:t>
      </w:r>
      <w:r w:rsidR="00E356E9">
        <w:rPr>
          <w:lang w:val="en-GB"/>
        </w:rPr>
        <w:t xml:space="preserve">that is </w:t>
      </w:r>
      <w:r w:rsidR="004F2254">
        <w:rPr>
          <w:lang w:val="en-GB"/>
        </w:rPr>
        <w:t>supporting</w:t>
      </w:r>
      <w:r w:rsidR="00E356E9">
        <w:rPr>
          <w:lang w:val="en-GB"/>
        </w:rPr>
        <w:t xml:space="preserve"> or </w:t>
      </w:r>
      <w:r w:rsidR="004F2254">
        <w:rPr>
          <w:lang w:val="en-GB"/>
        </w:rPr>
        <w:t xml:space="preserve">impeding or being indifferent) </w:t>
      </w:r>
      <w:r w:rsidR="00E356E9">
        <w:rPr>
          <w:lang w:val="en-GB"/>
        </w:rPr>
        <w:t xml:space="preserve">may be defined – with reference to the last 15 years - as </w:t>
      </w:r>
    </w:p>
    <w:p w:rsidR="00E356E9" w:rsidRDefault="00E356E9" w:rsidP="00E356E9">
      <w:pPr>
        <w:pStyle w:val="Paragraphedeliste"/>
        <w:numPr>
          <w:ilvl w:val="0"/>
          <w:numId w:val="1"/>
        </w:numPr>
        <w:spacing w:after="0"/>
        <w:jc w:val="both"/>
        <w:rPr>
          <w:lang w:val="en-GB"/>
        </w:rPr>
      </w:pPr>
      <w:r>
        <w:rPr>
          <w:lang w:val="en-GB"/>
        </w:rPr>
        <w:t xml:space="preserve">largely indifferent for </w:t>
      </w:r>
      <w:r w:rsidRPr="00E356E9">
        <w:rPr>
          <w:i/>
          <w:lang w:val="en-GB"/>
        </w:rPr>
        <w:t>Initial Vocational Training</w:t>
      </w:r>
      <w:r>
        <w:rPr>
          <w:lang w:val="en-GB"/>
        </w:rPr>
        <w:t xml:space="preserve"> </w:t>
      </w:r>
      <w:r w:rsidR="00001FA1">
        <w:rPr>
          <w:lang w:val="en-GB"/>
        </w:rPr>
        <w:t xml:space="preserve">(because of its limited </w:t>
      </w:r>
      <w:r w:rsidR="00635A61">
        <w:rPr>
          <w:lang w:val="en-GB"/>
        </w:rPr>
        <w:t xml:space="preserve">size </w:t>
      </w:r>
      <w:r w:rsidR="00001FA1">
        <w:rPr>
          <w:lang w:val="en-GB"/>
        </w:rPr>
        <w:t xml:space="preserve">and </w:t>
      </w:r>
      <w:r w:rsidR="007541EF">
        <w:rPr>
          <w:lang w:val="en-GB"/>
        </w:rPr>
        <w:t xml:space="preserve">uneven territorial diffusion – </w:t>
      </w:r>
      <w:r w:rsidR="00635A61">
        <w:rPr>
          <w:lang w:val="en-GB"/>
        </w:rPr>
        <w:t xml:space="preserve">this is largely true also </w:t>
      </w:r>
      <w:r w:rsidR="007541EF">
        <w:rPr>
          <w:lang w:val="en-GB"/>
        </w:rPr>
        <w:t xml:space="preserve">if </w:t>
      </w:r>
      <w:r w:rsidR="007541EF" w:rsidRPr="007541EF">
        <w:rPr>
          <w:i/>
          <w:lang w:val="en-GB"/>
        </w:rPr>
        <w:t>Upper Secondary Vocational Education</w:t>
      </w:r>
      <w:r w:rsidR="007541EF">
        <w:rPr>
          <w:lang w:val="en-GB"/>
        </w:rPr>
        <w:t xml:space="preserve"> is included – but also because “mobility</w:t>
      </w:r>
      <w:r>
        <w:rPr>
          <w:lang w:val="en-GB"/>
        </w:rPr>
        <w:t xml:space="preserve"> </w:t>
      </w:r>
      <w:r w:rsidR="007541EF">
        <w:rPr>
          <w:lang w:val="en-GB"/>
        </w:rPr>
        <w:t>for studying”, basically from South to North, involves young who moves for studying at university and not in Vocational Training System);</w:t>
      </w:r>
    </w:p>
    <w:p w:rsidR="007541EF" w:rsidRPr="00E356E9" w:rsidRDefault="00EC7C4E" w:rsidP="00E356E9">
      <w:pPr>
        <w:pStyle w:val="Paragraphedeliste"/>
        <w:numPr>
          <w:ilvl w:val="0"/>
          <w:numId w:val="1"/>
        </w:numPr>
        <w:spacing w:after="0"/>
        <w:jc w:val="both"/>
        <w:rPr>
          <w:lang w:val="en-GB"/>
        </w:rPr>
      </w:pPr>
      <w:r>
        <w:rPr>
          <w:lang w:val="en-GB"/>
        </w:rPr>
        <w:t xml:space="preserve">slightly supportive, especially in the more recent years and with an increasing trend, for </w:t>
      </w:r>
      <w:r w:rsidRPr="00EC7C4E">
        <w:rPr>
          <w:i/>
          <w:lang w:val="en-GB"/>
        </w:rPr>
        <w:t>Continuous Vocational Training</w:t>
      </w:r>
      <w:r>
        <w:rPr>
          <w:lang w:val="en-GB"/>
        </w:rPr>
        <w:t xml:space="preserve"> (within a </w:t>
      </w:r>
      <w:r w:rsidR="00941041">
        <w:rPr>
          <w:lang w:val="en-GB"/>
        </w:rPr>
        <w:t xml:space="preserve">general </w:t>
      </w:r>
      <w:r>
        <w:rPr>
          <w:lang w:val="en-GB"/>
        </w:rPr>
        <w:t xml:space="preserve">framework for which </w:t>
      </w:r>
      <w:r w:rsidR="005C3DDF">
        <w:rPr>
          <w:lang w:val="en-GB"/>
        </w:rPr>
        <w:t xml:space="preserve">those who “move for work” already have initial education/vocational training qualifications, also medium-high level qualifications, </w:t>
      </w:r>
      <w:r w:rsidR="00F4102D">
        <w:rPr>
          <w:lang w:val="en-GB"/>
        </w:rPr>
        <w:t xml:space="preserve">and CVT </w:t>
      </w:r>
      <w:r w:rsidR="00333F6C">
        <w:rPr>
          <w:lang w:val="en-GB"/>
        </w:rPr>
        <w:t xml:space="preserve">is used for supporting their </w:t>
      </w:r>
      <w:r w:rsidR="001B58FB">
        <w:rPr>
          <w:lang w:val="en-GB"/>
        </w:rPr>
        <w:t>re-</w:t>
      </w:r>
      <w:r w:rsidR="00333F6C">
        <w:rPr>
          <w:lang w:val="en-GB"/>
        </w:rPr>
        <w:t>employment</w:t>
      </w:r>
      <w:r w:rsidR="001B58FB">
        <w:rPr>
          <w:lang w:val="en-GB"/>
        </w:rPr>
        <w:t xml:space="preserve">, e.g. after a </w:t>
      </w:r>
      <w:r w:rsidR="006435D1">
        <w:rPr>
          <w:lang w:val="en-GB"/>
        </w:rPr>
        <w:t xml:space="preserve">company or sector’s crises, </w:t>
      </w:r>
      <w:r w:rsidR="00333F6C">
        <w:rPr>
          <w:lang w:val="en-GB"/>
        </w:rPr>
        <w:t xml:space="preserve">or </w:t>
      </w:r>
      <w:r w:rsidR="00627490">
        <w:rPr>
          <w:lang w:val="en-GB"/>
        </w:rPr>
        <w:t xml:space="preserve">- more </w:t>
      </w:r>
      <w:r w:rsidR="00635A61">
        <w:rPr>
          <w:lang w:val="en-GB"/>
        </w:rPr>
        <w:t xml:space="preserve">usually </w:t>
      </w:r>
      <w:r w:rsidR="00627490">
        <w:rPr>
          <w:lang w:val="en-GB"/>
        </w:rPr>
        <w:t xml:space="preserve">- </w:t>
      </w:r>
      <w:r w:rsidR="00333F6C">
        <w:rPr>
          <w:lang w:val="en-GB"/>
        </w:rPr>
        <w:t>career paths</w:t>
      </w:r>
      <w:r w:rsidR="00AB317B">
        <w:rPr>
          <w:lang w:val="en-GB"/>
        </w:rPr>
        <w:t>,</w:t>
      </w:r>
      <w:r w:rsidR="00333F6C">
        <w:rPr>
          <w:lang w:val="en-GB"/>
        </w:rPr>
        <w:t xml:space="preserve"> </w:t>
      </w:r>
      <w:r w:rsidR="00635A61">
        <w:rPr>
          <w:lang w:val="en-GB"/>
        </w:rPr>
        <w:t xml:space="preserve">but </w:t>
      </w:r>
      <w:r w:rsidR="00333F6C">
        <w:rPr>
          <w:lang w:val="en-GB"/>
        </w:rPr>
        <w:t>once moved</w:t>
      </w:r>
      <w:r w:rsidR="00455BD7">
        <w:rPr>
          <w:lang w:val="en-GB"/>
        </w:rPr>
        <w:t xml:space="preserve">; in addition, </w:t>
      </w:r>
      <w:r w:rsidR="009E1EBA">
        <w:rPr>
          <w:lang w:val="en-GB"/>
        </w:rPr>
        <w:t>organisations</w:t>
      </w:r>
      <w:r w:rsidR="00360257">
        <w:rPr>
          <w:lang w:val="en-GB"/>
        </w:rPr>
        <w:t xml:space="preserve">, </w:t>
      </w:r>
      <w:r w:rsidR="00635A61">
        <w:rPr>
          <w:lang w:val="en-GB"/>
        </w:rPr>
        <w:t xml:space="preserve">also </w:t>
      </w:r>
      <w:r w:rsidR="00360257">
        <w:rPr>
          <w:lang w:val="en-GB"/>
        </w:rPr>
        <w:t xml:space="preserve">concentrated in the same territorial area, which have a positive reputation in human resources development </w:t>
      </w:r>
      <w:r w:rsidR="00CA339E">
        <w:rPr>
          <w:lang w:val="en-GB"/>
        </w:rPr>
        <w:t xml:space="preserve">through CVT </w:t>
      </w:r>
      <w:r w:rsidR="00360257">
        <w:rPr>
          <w:lang w:val="en-GB"/>
        </w:rPr>
        <w:t xml:space="preserve">may be an “attractor” for </w:t>
      </w:r>
      <w:r w:rsidR="00CA339E">
        <w:rPr>
          <w:lang w:val="en-GB"/>
        </w:rPr>
        <w:t xml:space="preserve">medium-high skilled </w:t>
      </w:r>
      <w:r w:rsidR="00251A12">
        <w:rPr>
          <w:lang w:val="en-GB"/>
        </w:rPr>
        <w:t>workforce</w:t>
      </w:r>
      <w:r w:rsidR="00333F6C">
        <w:rPr>
          <w:lang w:val="en-GB"/>
        </w:rPr>
        <w:t>)</w:t>
      </w:r>
      <w:r w:rsidR="00941041">
        <w:rPr>
          <w:lang w:val="en-GB"/>
        </w:rPr>
        <w:t xml:space="preserve">. </w:t>
      </w:r>
      <w:r w:rsidR="005C3DDF">
        <w:rPr>
          <w:lang w:val="en-GB"/>
        </w:rPr>
        <w:t xml:space="preserve"> </w:t>
      </w:r>
      <w:r>
        <w:rPr>
          <w:lang w:val="en-GB"/>
        </w:rPr>
        <w:t xml:space="preserve"> </w:t>
      </w:r>
    </w:p>
    <w:p w:rsidR="00E356E9" w:rsidRDefault="00E356E9" w:rsidP="00E356E9">
      <w:pPr>
        <w:spacing w:after="0"/>
        <w:jc w:val="both"/>
        <w:rPr>
          <w:lang w:val="en-GB"/>
        </w:rPr>
      </w:pPr>
    </w:p>
    <w:p w:rsidR="00BC5357" w:rsidRPr="00BC5357" w:rsidRDefault="007C3616" w:rsidP="00BC5357">
      <w:pPr>
        <w:spacing w:after="0"/>
        <w:jc w:val="both"/>
        <w:rPr>
          <w:lang w:val="en-GB"/>
        </w:rPr>
      </w:pPr>
      <w:r>
        <w:rPr>
          <w:lang w:val="en-GB"/>
        </w:rPr>
        <w:t xml:space="preserve">Assuming this </w:t>
      </w:r>
      <w:r w:rsidR="00946A2B">
        <w:rPr>
          <w:lang w:val="en-GB"/>
        </w:rPr>
        <w:t xml:space="preserve">increasing </w:t>
      </w:r>
      <w:r>
        <w:rPr>
          <w:lang w:val="en-GB"/>
        </w:rPr>
        <w:t xml:space="preserve">role of CVT </w:t>
      </w:r>
      <w:r w:rsidR="00946A2B">
        <w:rPr>
          <w:lang w:val="en-GB"/>
        </w:rPr>
        <w:t xml:space="preserve">in supporting, or maybe better: </w:t>
      </w:r>
      <w:r w:rsidR="00946A2B" w:rsidRPr="00946A2B">
        <w:rPr>
          <w:i/>
          <w:lang w:val="en-GB"/>
        </w:rPr>
        <w:t>consolidating</w:t>
      </w:r>
      <w:r w:rsidR="00946A2B">
        <w:rPr>
          <w:lang w:val="en-GB"/>
        </w:rPr>
        <w:t xml:space="preserve"> and </w:t>
      </w:r>
      <w:r w:rsidR="00946A2B" w:rsidRPr="00946A2B">
        <w:rPr>
          <w:i/>
          <w:lang w:val="en-GB"/>
        </w:rPr>
        <w:t>adapting</w:t>
      </w:r>
      <w:r w:rsidR="00946A2B">
        <w:rPr>
          <w:lang w:val="en-GB"/>
        </w:rPr>
        <w:t xml:space="preserve">, “mobility for work” in Italy, an important distinction – which also reflects in different ways of accessing CVT opportunities – is between </w:t>
      </w:r>
      <w:r w:rsidR="002D042E" w:rsidRPr="002D042E">
        <w:rPr>
          <w:i/>
          <w:lang w:val="en-GB"/>
        </w:rPr>
        <w:t xml:space="preserve">pure </w:t>
      </w:r>
      <w:r w:rsidR="00946A2B" w:rsidRPr="00946A2B">
        <w:rPr>
          <w:i/>
          <w:lang w:val="en-GB"/>
        </w:rPr>
        <w:t>company-driven</w:t>
      </w:r>
      <w:r w:rsidR="00946A2B">
        <w:rPr>
          <w:lang w:val="en-GB"/>
        </w:rPr>
        <w:t xml:space="preserve"> training </w:t>
      </w:r>
      <w:r w:rsidR="002D042E">
        <w:rPr>
          <w:lang w:val="en-GB"/>
        </w:rPr>
        <w:t>(</w:t>
      </w:r>
      <w:r w:rsidR="00B44C61">
        <w:rPr>
          <w:lang w:val="en-GB"/>
        </w:rPr>
        <w:t xml:space="preserve">totally paid </w:t>
      </w:r>
      <w:r w:rsidR="00BC5357">
        <w:rPr>
          <w:lang w:val="en-GB"/>
        </w:rPr>
        <w:t xml:space="preserve">by </w:t>
      </w:r>
      <w:r w:rsidR="00B44C61">
        <w:rPr>
          <w:lang w:val="en-GB"/>
        </w:rPr>
        <w:t xml:space="preserve">companies’ funds), </w:t>
      </w:r>
      <w:r w:rsidR="00BC5357" w:rsidRPr="00BC5357">
        <w:rPr>
          <w:i/>
          <w:lang w:val="en-GB"/>
        </w:rPr>
        <w:t xml:space="preserve">Social Parts agreed </w:t>
      </w:r>
      <w:r w:rsidR="00BC5357" w:rsidRPr="00BC5357">
        <w:rPr>
          <w:lang w:val="en-GB"/>
        </w:rPr>
        <w:t>training</w:t>
      </w:r>
      <w:r w:rsidR="00BC5357">
        <w:rPr>
          <w:lang w:val="en-GB"/>
        </w:rPr>
        <w:t xml:space="preserve"> (funded through the so-called </w:t>
      </w:r>
      <w:r w:rsidR="00BC5357" w:rsidRPr="00E70938">
        <w:rPr>
          <w:i/>
          <w:lang w:val="en-GB"/>
        </w:rPr>
        <w:t>Inter-professional Funds</w:t>
      </w:r>
      <w:r w:rsidR="00E70938">
        <w:rPr>
          <w:lang w:val="en-GB"/>
        </w:rPr>
        <w:t>, operating since 2005</w:t>
      </w:r>
      <w:r w:rsidR="00BC5357">
        <w:rPr>
          <w:lang w:val="en-GB"/>
        </w:rPr>
        <w:t xml:space="preserve">) and </w:t>
      </w:r>
      <w:r w:rsidR="00BC5357" w:rsidRPr="00BC5357">
        <w:rPr>
          <w:i/>
          <w:lang w:val="en-GB"/>
        </w:rPr>
        <w:t>Individual Access</w:t>
      </w:r>
      <w:r w:rsidR="00BC5357">
        <w:rPr>
          <w:lang w:val="en-GB"/>
        </w:rPr>
        <w:t xml:space="preserve"> training (</w:t>
      </w:r>
      <w:r w:rsidR="00BC5357" w:rsidRPr="00BC5357">
        <w:rPr>
          <w:lang w:val="en-GB"/>
        </w:rPr>
        <w:t xml:space="preserve">introduced in 2000 and </w:t>
      </w:r>
      <w:r w:rsidR="00BC5357">
        <w:rPr>
          <w:lang w:val="en-GB"/>
        </w:rPr>
        <w:t xml:space="preserve">paid by public funds or by trainees). </w:t>
      </w:r>
      <w:r w:rsidR="00E70938">
        <w:rPr>
          <w:lang w:val="en-GB"/>
        </w:rPr>
        <w:t xml:space="preserve">It is important </w:t>
      </w:r>
      <w:r w:rsidR="001B58FB">
        <w:rPr>
          <w:lang w:val="en-GB"/>
        </w:rPr>
        <w:t xml:space="preserve">here </w:t>
      </w:r>
      <w:r w:rsidR="00E70938">
        <w:rPr>
          <w:lang w:val="en-GB"/>
        </w:rPr>
        <w:t xml:space="preserve">to </w:t>
      </w:r>
      <w:r w:rsidR="001B58FB">
        <w:rPr>
          <w:lang w:val="en-GB"/>
        </w:rPr>
        <w:t xml:space="preserve">underline that </w:t>
      </w:r>
      <w:r w:rsidR="00627490">
        <w:rPr>
          <w:lang w:val="en-GB"/>
        </w:rPr>
        <w:t xml:space="preserve">CVT increasing supportive role </w:t>
      </w:r>
      <w:r w:rsidR="00251A12">
        <w:rPr>
          <w:lang w:val="en-GB"/>
        </w:rPr>
        <w:t>in “mobility for work” remains</w:t>
      </w:r>
      <w:r w:rsidR="00E24452">
        <w:rPr>
          <w:lang w:val="en-GB"/>
        </w:rPr>
        <w:t xml:space="preserve"> in Italy</w:t>
      </w:r>
      <w:r w:rsidR="00251A12">
        <w:rPr>
          <w:lang w:val="en-GB"/>
        </w:rPr>
        <w:t xml:space="preserve">, as already mentioned, quite differentiated </w:t>
      </w:r>
      <w:r w:rsidR="00124BD9">
        <w:rPr>
          <w:lang w:val="en-GB"/>
        </w:rPr>
        <w:t>by organisations’ dimension, gender, sector, trainee’</w:t>
      </w:r>
      <w:r w:rsidR="003C37D2">
        <w:rPr>
          <w:lang w:val="en-GB"/>
        </w:rPr>
        <w:t>s</w:t>
      </w:r>
      <w:r w:rsidR="00124BD9">
        <w:rPr>
          <w:lang w:val="en-GB"/>
        </w:rPr>
        <w:t xml:space="preserve"> formal qualification and occupational position. </w:t>
      </w:r>
      <w:r w:rsidR="00E24452">
        <w:rPr>
          <w:lang w:val="en-GB"/>
        </w:rPr>
        <w:t xml:space="preserve">An effort for reducing these differences is actually undergoing </w:t>
      </w:r>
      <w:r w:rsidR="00C165E4">
        <w:rPr>
          <w:lang w:val="en-GB"/>
        </w:rPr>
        <w:t xml:space="preserve">but it requires time, resources and </w:t>
      </w:r>
      <w:r w:rsidR="00536B00">
        <w:rPr>
          <w:lang w:val="en-GB"/>
        </w:rPr>
        <w:t xml:space="preserve">– above all - </w:t>
      </w:r>
      <w:r w:rsidR="00B0267C">
        <w:rPr>
          <w:lang w:val="en-GB"/>
        </w:rPr>
        <w:t xml:space="preserve">a coherent institutional and cultural environment to be satisfactorily implemented. </w:t>
      </w:r>
      <w:r w:rsidR="00F433CF">
        <w:rPr>
          <w:lang w:val="en-GB"/>
        </w:rPr>
        <w:t>Not surprisingly</w:t>
      </w:r>
      <w:r w:rsidR="00536B00">
        <w:rPr>
          <w:lang w:val="en-GB"/>
        </w:rPr>
        <w:t>,</w:t>
      </w:r>
      <w:r w:rsidR="00627490">
        <w:rPr>
          <w:lang w:val="en-GB"/>
        </w:rPr>
        <w:t xml:space="preserve"> </w:t>
      </w:r>
      <w:r w:rsidR="00F433CF">
        <w:rPr>
          <w:lang w:val="en-GB"/>
        </w:rPr>
        <w:t xml:space="preserve">access to CVT opportunities is one the main issues still </w:t>
      </w:r>
      <w:r w:rsidR="00F433CF" w:rsidRPr="00F433CF">
        <w:rPr>
          <w:i/>
          <w:lang w:val="en-GB"/>
        </w:rPr>
        <w:t>open</w:t>
      </w:r>
      <w:r w:rsidR="00F433CF">
        <w:rPr>
          <w:lang w:val="en-GB"/>
        </w:rPr>
        <w:t xml:space="preserve"> for CVT in Italy together with those regarding </w:t>
      </w:r>
      <w:r w:rsidR="00D74A57">
        <w:rPr>
          <w:lang w:val="en-GB"/>
        </w:rPr>
        <w:t xml:space="preserve">i) </w:t>
      </w:r>
      <w:r w:rsidR="00F433CF">
        <w:rPr>
          <w:lang w:val="en-GB"/>
        </w:rPr>
        <w:t>training/learning methods (</w:t>
      </w:r>
      <w:r w:rsidR="006672E1">
        <w:rPr>
          <w:lang w:val="en-GB"/>
        </w:rPr>
        <w:t>with the quest for moving from traditional forms/setting to</w:t>
      </w:r>
      <w:r w:rsidR="00D74A57">
        <w:rPr>
          <w:lang w:val="en-GB"/>
        </w:rPr>
        <w:t xml:space="preserve"> </w:t>
      </w:r>
      <w:r w:rsidR="003C4548" w:rsidRPr="003C4548">
        <w:rPr>
          <w:i/>
          <w:lang w:val="en-GB"/>
        </w:rPr>
        <w:t>different-from-classroom</w:t>
      </w:r>
      <w:r w:rsidR="003C4548">
        <w:rPr>
          <w:lang w:val="en-GB"/>
        </w:rPr>
        <w:t xml:space="preserve"> </w:t>
      </w:r>
      <w:r w:rsidR="00D74A57">
        <w:rPr>
          <w:lang w:val="en-GB"/>
        </w:rPr>
        <w:t xml:space="preserve"> settings), ii) learning outcomes formal recognition/certification (an issue which is strictly related to labour mobility) and iii) the quality of training suppliers</w:t>
      </w:r>
      <w:r w:rsidR="00BB7E3F">
        <w:rPr>
          <w:lang w:val="en-GB"/>
        </w:rPr>
        <w:t xml:space="preserve"> (a crucial element for the quality of training</w:t>
      </w:r>
      <w:r w:rsidR="00F866A6">
        <w:rPr>
          <w:lang w:val="en-GB"/>
        </w:rPr>
        <w:t xml:space="preserve"> and of learning outcomes as well</w:t>
      </w:r>
      <w:r w:rsidR="00BB7E3F">
        <w:rPr>
          <w:lang w:val="en-GB"/>
        </w:rPr>
        <w:t>)</w:t>
      </w:r>
      <w:r w:rsidR="00D74A57">
        <w:rPr>
          <w:lang w:val="en-GB"/>
        </w:rPr>
        <w:t xml:space="preserve">.  </w:t>
      </w:r>
      <w:r w:rsidR="00BC5357">
        <w:rPr>
          <w:lang w:val="en-GB"/>
        </w:rPr>
        <w:t xml:space="preserve"> </w:t>
      </w:r>
    </w:p>
    <w:p w:rsidR="005C3639" w:rsidRDefault="005C3639" w:rsidP="00BC5357">
      <w:pPr>
        <w:spacing w:after="0"/>
        <w:jc w:val="both"/>
        <w:rPr>
          <w:lang w:val="en-GB"/>
        </w:rPr>
      </w:pPr>
    </w:p>
    <w:p w:rsidR="00040B47" w:rsidRPr="00700C14" w:rsidRDefault="005C3639" w:rsidP="00AB13D2">
      <w:pPr>
        <w:spacing w:after="0"/>
        <w:jc w:val="both"/>
        <w:rPr>
          <w:rFonts w:cstheme="minorHAnsi"/>
          <w:lang w:val="en-GB"/>
        </w:rPr>
      </w:pPr>
      <w:r>
        <w:rPr>
          <w:lang w:val="en-GB"/>
        </w:rPr>
        <w:t xml:space="preserve">Going back to </w:t>
      </w:r>
      <w:r w:rsidRPr="005C3639">
        <w:rPr>
          <w:i/>
          <w:lang w:val="en-GB"/>
        </w:rPr>
        <w:t>Initial Vocation Training</w:t>
      </w:r>
      <w:r w:rsidR="00F866A6">
        <w:rPr>
          <w:lang w:val="en-GB"/>
        </w:rPr>
        <w:t xml:space="preserve">, two exceptions to the “indifference” judgement </w:t>
      </w:r>
      <w:r w:rsidR="008B1566">
        <w:rPr>
          <w:lang w:val="en-GB"/>
        </w:rPr>
        <w:t xml:space="preserve">above </w:t>
      </w:r>
      <w:r w:rsidR="00F866A6">
        <w:rPr>
          <w:lang w:val="en-GB"/>
        </w:rPr>
        <w:t>expressed may be the following (</w:t>
      </w:r>
      <w:r w:rsidR="008B1566">
        <w:rPr>
          <w:lang w:val="en-GB"/>
        </w:rPr>
        <w:t xml:space="preserve">they do not modify the general </w:t>
      </w:r>
      <w:proofErr w:type="gramStart"/>
      <w:r w:rsidR="008B1566">
        <w:rPr>
          <w:lang w:val="en-GB"/>
        </w:rPr>
        <w:t>picture</w:t>
      </w:r>
      <w:proofErr w:type="gramEnd"/>
      <w:r w:rsidR="008B1566">
        <w:rPr>
          <w:lang w:val="en-GB"/>
        </w:rPr>
        <w:t xml:space="preserve"> but it is important, also in pe</w:t>
      </w:r>
      <w:r w:rsidR="006F0CB6">
        <w:rPr>
          <w:lang w:val="en-GB"/>
        </w:rPr>
        <w:t xml:space="preserve">rspective, not to forget them). The first one is represented by </w:t>
      </w:r>
      <w:r w:rsidR="00FE2CE6">
        <w:rPr>
          <w:lang w:val="en-GB"/>
        </w:rPr>
        <w:t>apprenticeship</w:t>
      </w:r>
      <w:r w:rsidR="00A7408C">
        <w:rPr>
          <w:lang w:val="en-GB"/>
        </w:rPr>
        <w:t>s</w:t>
      </w:r>
      <w:r w:rsidR="00FE2CE6">
        <w:rPr>
          <w:lang w:val="en-GB"/>
        </w:rPr>
        <w:t xml:space="preserve"> </w:t>
      </w:r>
      <w:r w:rsidR="00A7408C">
        <w:rPr>
          <w:lang w:val="en-GB"/>
        </w:rPr>
        <w:t>aimed at achieving formal Vocational Training qualifications at upper secondary or tertiary level</w:t>
      </w:r>
      <w:r w:rsidR="003159C8">
        <w:rPr>
          <w:lang w:val="en-GB"/>
        </w:rPr>
        <w:t xml:space="preserve">, </w:t>
      </w:r>
      <w:r w:rsidR="00A7408C">
        <w:rPr>
          <w:lang w:val="en-GB"/>
        </w:rPr>
        <w:t>under the so-called Types 1 and 3 Apprenticeships</w:t>
      </w:r>
      <w:r w:rsidR="003159C8">
        <w:rPr>
          <w:lang w:val="en-GB"/>
        </w:rPr>
        <w:t xml:space="preserve">. Nonetheless, </w:t>
      </w:r>
      <w:r w:rsidR="00294344">
        <w:rPr>
          <w:lang w:val="en-GB"/>
        </w:rPr>
        <w:t>the</w:t>
      </w:r>
      <w:r w:rsidR="003159C8">
        <w:rPr>
          <w:lang w:val="en-GB"/>
        </w:rPr>
        <w:t xml:space="preserve"> two Types </w:t>
      </w:r>
      <w:r w:rsidR="00294344">
        <w:rPr>
          <w:lang w:val="en-GB"/>
        </w:rPr>
        <w:t xml:space="preserve">represent less than 5% of the total </w:t>
      </w:r>
      <w:proofErr w:type="gramStart"/>
      <w:r w:rsidR="00294344">
        <w:rPr>
          <w:lang w:val="en-GB"/>
        </w:rPr>
        <w:t>apprenticeships</w:t>
      </w:r>
      <w:proofErr w:type="gramEnd"/>
      <w:r w:rsidR="00294344">
        <w:rPr>
          <w:lang w:val="en-GB"/>
        </w:rPr>
        <w:t xml:space="preserve"> contracts and</w:t>
      </w:r>
      <w:r w:rsidR="00400838">
        <w:rPr>
          <w:lang w:val="en-GB"/>
        </w:rPr>
        <w:t>,</w:t>
      </w:r>
      <w:r w:rsidR="00294344">
        <w:rPr>
          <w:lang w:val="en-GB"/>
        </w:rPr>
        <w:t xml:space="preserve"> </w:t>
      </w:r>
      <w:r w:rsidR="003236CD">
        <w:rPr>
          <w:lang w:val="en-GB"/>
        </w:rPr>
        <w:t>above all</w:t>
      </w:r>
      <w:r w:rsidR="00400838">
        <w:rPr>
          <w:lang w:val="en-GB"/>
        </w:rPr>
        <w:t>,</w:t>
      </w:r>
      <w:r w:rsidR="003236CD">
        <w:rPr>
          <w:lang w:val="en-GB"/>
        </w:rPr>
        <w:t xml:space="preserve"> </w:t>
      </w:r>
      <w:r w:rsidR="0049567E">
        <w:rPr>
          <w:lang w:val="en-GB"/>
        </w:rPr>
        <w:t xml:space="preserve">the attendance of specific training </w:t>
      </w:r>
      <w:r w:rsidR="00400838">
        <w:rPr>
          <w:lang w:val="en-GB"/>
        </w:rPr>
        <w:t xml:space="preserve">is the </w:t>
      </w:r>
      <w:r w:rsidR="00400838" w:rsidRPr="003159C8">
        <w:rPr>
          <w:i/>
          <w:lang w:val="en-GB"/>
        </w:rPr>
        <w:t>consequence</w:t>
      </w:r>
      <w:r w:rsidR="00400838">
        <w:rPr>
          <w:lang w:val="en-GB"/>
        </w:rPr>
        <w:t xml:space="preserve"> of having an apprenticeship contract that is to be employed as apprentice</w:t>
      </w:r>
      <w:r w:rsidR="002F598F">
        <w:rPr>
          <w:lang w:val="en-GB"/>
        </w:rPr>
        <w:t xml:space="preserve"> (</w:t>
      </w:r>
      <w:r w:rsidR="006D010F">
        <w:rPr>
          <w:lang w:val="en-GB"/>
        </w:rPr>
        <w:t>the lever is therefore the employment and not the training)</w:t>
      </w:r>
      <w:r w:rsidR="006F0CB6">
        <w:rPr>
          <w:lang w:val="en-GB"/>
        </w:rPr>
        <w:t xml:space="preserve">. The second one, </w:t>
      </w:r>
      <w:r w:rsidR="006F0CB6" w:rsidRPr="006F0CB6">
        <w:rPr>
          <w:lang w:val="en-GB"/>
        </w:rPr>
        <w:t xml:space="preserve">more relevant in Italian experience, consists in the so-called </w:t>
      </w:r>
      <w:r w:rsidR="004463F8" w:rsidRPr="006F0CB6">
        <w:rPr>
          <w:i/>
          <w:lang w:val="en-GB"/>
        </w:rPr>
        <w:t xml:space="preserve">industrial </w:t>
      </w:r>
      <w:proofErr w:type="gramStart"/>
      <w:r w:rsidR="004463F8" w:rsidRPr="006F0CB6">
        <w:rPr>
          <w:i/>
          <w:lang w:val="en-GB"/>
        </w:rPr>
        <w:t>districts</w:t>
      </w:r>
      <w:r w:rsidR="004463F8" w:rsidRPr="006F0CB6">
        <w:rPr>
          <w:lang w:val="en-GB"/>
        </w:rPr>
        <w:t xml:space="preserve">  where</w:t>
      </w:r>
      <w:proofErr w:type="gramEnd"/>
      <w:r w:rsidR="006F0CB6">
        <w:rPr>
          <w:lang w:val="en-GB"/>
        </w:rPr>
        <w:t xml:space="preserve">, </w:t>
      </w:r>
      <w:r w:rsidR="00680969">
        <w:rPr>
          <w:lang w:val="en-GB"/>
        </w:rPr>
        <w:t>in general</w:t>
      </w:r>
      <w:r w:rsidR="006F0CB6">
        <w:rPr>
          <w:lang w:val="en-GB"/>
        </w:rPr>
        <w:t xml:space="preserve">, </w:t>
      </w:r>
      <w:r w:rsidR="004463F8" w:rsidRPr="006F0CB6">
        <w:rPr>
          <w:lang w:val="en-GB"/>
        </w:rPr>
        <w:t xml:space="preserve">the connection </w:t>
      </w:r>
      <w:r w:rsidR="006F0CB6">
        <w:rPr>
          <w:lang w:val="en-GB"/>
        </w:rPr>
        <w:t xml:space="preserve">and interaction </w:t>
      </w:r>
      <w:r w:rsidR="004463F8" w:rsidRPr="006F0CB6">
        <w:rPr>
          <w:lang w:val="en-GB"/>
        </w:rPr>
        <w:t xml:space="preserve">between the productive structure and the initial VT </w:t>
      </w:r>
      <w:r w:rsidR="00680969">
        <w:rPr>
          <w:lang w:val="en-GB"/>
        </w:rPr>
        <w:t>sub-</w:t>
      </w:r>
      <w:r w:rsidR="004463F8" w:rsidRPr="006F0CB6">
        <w:rPr>
          <w:lang w:val="en-GB"/>
        </w:rPr>
        <w:t xml:space="preserve">system </w:t>
      </w:r>
      <w:r w:rsidR="0008188C">
        <w:rPr>
          <w:lang w:val="en-GB"/>
        </w:rPr>
        <w:t xml:space="preserve">are </w:t>
      </w:r>
      <w:r w:rsidR="004463F8" w:rsidRPr="006F0CB6">
        <w:rPr>
          <w:lang w:val="en-GB"/>
        </w:rPr>
        <w:t>particularly strong</w:t>
      </w:r>
      <w:r w:rsidR="00680969">
        <w:rPr>
          <w:lang w:val="en-GB"/>
        </w:rPr>
        <w:t xml:space="preserve"> (but</w:t>
      </w:r>
      <w:r w:rsidR="00700C14">
        <w:rPr>
          <w:lang w:val="en-GB"/>
        </w:rPr>
        <w:t xml:space="preserve"> however less relevant than those </w:t>
      </w:r>
      <w:r w:rsidR="00700C14" w:rsidRPr="00700C14">
        <w:rPr>
          <w:rFonts w:cstheme="minorHAnsi"/>
          <w:lang w:val="en-GB"/>
        </w:rPr>
        <w:t xml:space="preserve">involving upper secondary </w:t>
      </w:r>
      <w:r w:rsidR="00700C14" w:rsidRPr="00700C14">
        <w:rPr>
          <w:rFonts w:cstheme="minorHAnsi"/>
          <w:lang w:val="en-GB"/>
        </w:rPr>
        <w:lastRenderedPageBreak/>
        <w:t>vocational and technical education or universities)</w:t>
      </w:r>
      <w:r w:rsidR="004463F8" w:rsidRPr="00700C14">
        <w:rPr>
          <w:rFonts w:cstheme="minorHAnsi"/>
          <w:lang w:val="en-GB"/>
        </w:rPr>
        <w:t>.</w:t>
      </w:r>
      <w:r w:rsidR="00700C14" w:rsidRPr="00700C14">
        <w:rPr>
          <w:rFonts w:cstheme="minorHAnsi"/>
          <w:lang w:val="en-GB"/>
        </w:rPr>
        <w:t xml:space="preserve"> </w:t>
      </w:r>
      <w:r w:rsidR="00040B47" w:rsidRPr="00700C14">
        <w:rPr>
          <w:rFonts w:eastAsia="Times New Roman" w:cstheme="minorHAnsi"/>
          <w:lang w:val="en-GB" w:eastAsia="it-IT"/>
        </w:rPr>
        <w:t xml:space="preserve">Industrial districts </w:t>
      </w:r>
      <w:r w:rsidR="00700C14">
        <w:rPr>
          <w:rFonts w:eastAsia="Times New Roman" w:cstheme="minorHAnsi"/>
          <w:lang w:val="en-GB" w:eastAsia="it-IT"/>
        </w:rPr>
        <w:t>“</w:t>
      </w:r>
      <w:r w:rsidR="00040B47" w:rsidRPr="00700C14">
        <w:rPr>
          <w:rFonts w:eastAsia="Times New Roman" w:cstheme="minorHAnsi"/>
          <w:lang w:val="en-GB" w:eastAsia="it-IT"/>
        </w:rPr>
        <w:t>are dense centres of</w:t>
      </w:r>
      <w:r w:rsidR="00700C14">
        <w:rPr>
          <w:rFonts w:eastAsia="Times New Roman" w:cstheme="minorHAnsi"/>
          <w:lang w:val="en-GB" w:eastAsia="it-IT"/>
        </w:rPr>
        <w:t xml:space="preserve"> </w:t>
      </w:r>
      <w:r w:rsidR="00040B47" w:rsidRPr="00700C14">
        <w:rPr>
          <w:rFonts w:eastAsia="Times New Roman" w:cstheme="minorHAnsi"/>
          <w:lang w:val="en-GB" w:eastAsia="it-IT"/>
        </w:rPr>
        <w:t>life and work, characterised by one or a few related localised industries tightly</w:t>
      </w:r>
      <w:r w:rsidR="00700C14" w:rsidRPr="00700C14">
        <w:rPr>
          <w:rFonts w:eastAsia="Times New Roman" w:cstheme="minorHAnsi"/>
          <w:lang w:val="en-GB" w:eastAsia="it-IT"/>
        </w:rPr>
        <w:t xml:space="preserve"> </w:t>
      </w:r>
      <w:r w:rsidR="00040B47" w:rsidRPr="00700C14">
        <w:rPr>
          <w:rFonts w:eastAsia="Times New Roman" w:cstheme="minorHAnsi"/>
          <w:lang w:val="en-GB" w:eastAsia="it-IT"/>
        </w:rPr>
        <w:t>intertwined with the local society and the local institutional setup (</w:t>
      </w:r>
      <w:proofErr w:type="spellStart"/>
      <w:r w:rsidR="00040B47" w:rsidRPr="00700C14">
        <w:rPr>
          <w:rFonts w:eastAsia="Times New Roman" w:cstheme="minorHAnsi"/>
          <w:lang w:val="en-GB" w:eastAsia="it-IT"/>
        </w:rPr>
        <w:t>Becattini</w:t>
      </w:r>
      <w:proofErr w:type="spellEnd"/>
      <w:r w:rsidR="00040B47" w:rsidRPr="00700C14">
        <w:rPr>
          <w:rFonts w:eastAsia="Times New Roman" w:cstheme="minorHAnsi"/>
          <w:lang w:val="en-GB" w:eastAsia="it-IT"/>
        </w:rPr>
        <w:t xml:space="preserve"> et al.,</w:t>
      </w:r>
      <w:r w:rsidR="00700C14" w:rsidRPr="00700C14">
        <w:rPr>
          <w:rFonts w:eastAsia="Times New Roman" w:cstheme="minorHAnsi"/>
          <w:lang w:val="en-GB" w:eastAsia="it-IT"/>
        </w:rPr>
        <w:t xml:space="preserve"> </w:t>
      </w:r>
      <w:r w:rsidR="002B0728" w:rsidRPr="00700C14">
        <w:rPr>
          <w:rFonts w:eastAsia="Times New Roman" w:cstheme="minorHAnsi"/>
          <w:lang w:val="en-GB" w:eastAsia="it-IT"/>
        </w:rPr>
        <w:t xml:space="preserve">2009): they are “a socio-economic construct” (Dei </w:t>
      </w:r>
      <w:proofErr w:type="spellStart"/>
      <w:r w:rsidR="002B0728" w:rsidRPr="00700C14">
        <w:rPr>
          <w:rFonts w:eastAsia="Times New Roman" w:cstheme="minorHAnsi"/>
          <w:lang w:val="en-GB" w:eastAsia="it-IT"/>
        </w:rPr>
        <w:t>Ottati</w:t>
      </w:r>
      <w:proofErr w:type="spellEnd"/>
      <w:r w:rsidR="002B0728" w:rsidRPr="00700C14">
        <w:rPr>
          <w:rFonts w:eastAsia="Times New Roman" w:cstheme="minorHAnsi"/>
          <w:lang w:val="en-GB" w:eastAsia="it-IT"/>
        </w:rPr>
        <w:t>, 20</w:t>
      </w:r>
      <w:r w:rsidR="006F0CB6" w:rsidRPr="00700C14">
        <w:rPr>
          <w:rFonts w:eastAsia="Times New Roman" w:cstheme="minorHAnsi"/>
          <w:lang w:val="en-GB" w:eastAsia="it-IT"/>
        </w:rPr>
        <w:t>06</w:t>
      </w:r>
      <w:r w:rsidR="002B0728" w:rsidRPr="00700C14">
        <w:rPr>
          <w:rFonts w:eastAsia="Times New Roman" w:cstheme="minorHAnsi"/>
          <w:lang w:val="en-GB" w:eastAsia="it-IT"/>
        </w:rPr>
        <w:t xml:space="preserve">; </w:t>
      </w:r>
      <w:proofErr w:type="spellStart"/>
      <w:r w:rsidR="002B0728" w:rsidRPr="00700C14">
        <w:rPr>
          <w:rFonts w:eastAsia="Times New Roman" w:cstheme="minorHAnsi"/>
          <w:lang w:val="en-GB" w:eastAsia="it-IT"/>
        </w:rPr>
        <w:t>Sforzi</w:t>
      </w:r>
      <w:proofErr w:type="spellEnd"/>
      <w:r w:rsidR="002B0728" w:rsidRPr="00700C14">
        <w:rPr>
          <w:rFonts w:eastAsia="Times New Roman" w:cstheme="minorHAnsi"/>
          <w:lang w:val="en-GB" w:eastAsia="it-IT"/>
        </w:rPr>
        <w:t>, 2015)</w:t>
      </w:r>
      <w:r w:rsidR="002B0728" w:rsidRPr="00700C14">
        <w:rPr>
          <w:rStyle w:val="Appelnotedebasdep"/>
          <w:rFonts w:eastAsia="Times New Roman" w:cstheme="minorHAnsi"/>
          <w:lang w:eastAsia="it-IT"/>
        </w:rPr>
        <w:footnoteReference w:id="15"/>
      </w:r>
      <w:r w:rsidR="00700C14" w:rsidRPr="00700C14">
        <w:rPr>
          <w:rFonts w:eastAsia="Times New Roman" w:cstheme="minorHAnsi"/>
          <w:lang w:val="en-GB" w:eastAsia="it-IT"/>
        </w:rPr>
        <w:t>.</w:t>
      </w:r>
      <w:r w:rsidR="00700C14">
        <w:rPr>
          <w:rFonts w:eastAsia="Times New Roman" w:cstheme="minorHAnsi"/>
          <w:lang w:val="en-GB" w:eastAsia="it-IT"/>
        </w:rPr>
        <w:t xml:space="preserve"> </w:t>
      </w:r>
      <w:r w:rsidR="003A1C7C">
        <w:rPr>
          <w:rFonts w:eastAsia="Times New Roman" w:cstheme="minorHAnsi"/>
          <w:lang w:val="en-GB" w:eastAsia="it-IT"/>
        </w:rPr>
        <w:t>In accordance with the literature, “</w:t>
      </w:r>
      <w:r w:rsidR="003A1C7C">
        <w:rPr>
          <w:rFonts w:cstheme="minorHAnsi"/>
          <w:i/>
          <w:iCs/>
          <w:lang w:val="en-GB"/>
        </w:rPr>
        <w:t>e</w:t>
      </w:r>
      <w:r w:rsidR="002B0728" w:rsidRPr="00700C14">
        <w:rPr>
          <w:rFonts w:cstheme="minorHAnsi"/>
          <w:i/>
          <w:iCs/>
          <w:lang w:val="en-GB"/>
        </w:rPr>
        <w:t xml:space="preserve">xternal economies </w:t>
      </w:r>
      <w:r w:rsidR="002B0728" w:rsidRPr="00700C14">
        <w:rPr>
          <w:rFonts w:cstheme="minorHAnsi"/>
          <w:lang w:val="en-GB"/>
        </w:rPr>
        <w:t>play a key role in the success of industrial districts. These are advantages not internal</w:t>
      </w:r>
      <w:r w:rsidR="003A1C7C">
        <w:rPr>
          <w:rFonts w:cstheme="minorHAnsi"/>
          <w:lang w:val="en-GB"/>
        </w:rPr>
        <w:t xml:space="preserve"> </w:t>
      </w:r>
      <w:r w:rsidR="002B0728" w:rsidRPr="00700C14">
        <w:rPr>
          <w:rFonts w:cstheme="minorHAnsi"/>
          <w:lang w:val="en-GB"/>
        </w:rPr>
        <w:t>to the individual company, but internal to the local system involving the same businesses, and therefore</w:t>
      </w:r>
      <w:r w:rsidR="003A1C7C">
        <w:rPr>
          <w:rFonts w:cstheme="minorHAnsi"/>
          <w:lang w:val="en-GB"/>
        </w:rPr>
        <w:t xml:space="preserve"> </w:t>
      </w:r>
      <w:r w:rsidR="002B0728" w:rsidRPr="00700C14">
        <w:rPr>
          <w:rFonts w:cstheme="minorHAnsi"/>
          <w:lang w:val="en-GB"/>
        </w:rPr>
        <w:t>external to the single firm. In fact, industrial districts enjoy external economies due to the advantages of</w:t>
      </w:r>
      <w:r w:rsidR="003A1C7C">
        <w:rPr>
          <w:rFonts w:cstheme="minorHAnsi"/>
          <w:lang w:val="en-GB"/>
        </w:rPr>
        <w:t xml:space="preserve"> </w:t>
      </w:r>
      <w:r w:rsidR="002B0728" w:rsidRPr="00700C14">
        <w:rPr>
          <w:rFonts w:cstheme="minorHAnsi"/>
          <w:lang w:val="en-GB"/>
        </w:rPr>
        <w:t>agglomeration, and rising returns due to the widening demand. So, the advantages of external economies</w:t>
      </w:r>
      <w:r w:rsidR="003A1C7C">
        <w:rPr>
          <w:rFonts w:cstheme="minorHAnsi"/>
          <w:lang w:val="en-GB"/>
        </w:rPr>
        <w:t xml:space="preserve"> </w:t>
      </w:r>
      <w:r w:rsidR="002B0728" w:rsidRPr="00700C14">
        <w:rPr>
          <w:rFonts w:cstheme="minorHAnsi"/>
          <w:lang w:val="en-GB"/>
        </w:rPr>
        <w:t>are due to the industrial district as a whole. Examples of such advantages include the presence of a large</w:t>
      </w:r>
      <w:r w:rsidR="003A1C7C">
        <w:rPr>
          <w:rFonts w:cstheme="minorHAnsi"/>
          <w:lang w:val="en-GB"/>
        </w:rPr>
        <w:t xml:space="preserve"> </w:t>
      </w:r>
      <w:r w:rsidR="002B0728" w:rsidRPr="00700C14">
        <w:rPr>
          <w:rFonts w:cstheme="minorHAnsi"/>
          <w:lang w:val="en-GB"/>
        </w:rPr>
        <w:t>and stable skilled workforce</w:t>
      </w:r>
      <w:r w:rsidR="006B3224">
        <w:rPr>
          <w:rFonts w:cstheme="minorHAnsi"/>
          <w:lang w:val="en-GB"/>
        </w:rPr>
        <w:t xml:space="preserve"> [….]</w:t>
      </w:r>
      <w:r w:rsidR="003A1C7C">
        <w:rPr>
          <w:rFonts w:cstheme="minorHAnsi"/>
          <w:lang w:val="en-GB"/>
        </w:rPr>
        <w:t>”</w:t>
      </w:r>
      <w:r w:rsidR="002B0728" w:rsidRPr="00700C14">
        <w:rPr>
          <w:rFonts w:cstheme="minorHAnsi"/>
          <w:lang w:val="en-GB"/>
        </w:rPr>
        <w:t xml:space="preserve"> (</w:t>
      </w:r>
      <w:proofErr w:type="spellStart"/>
      <w:r w:rsidR="002B0728" w:rsidRPr="00700C14">
        <w:rPr>
          <w:rFonts w:cstheme="minorHAnsi"/>
          <w:lang w:val="en-GB"/>
        </w:rPr>
        <w:t>Schilirò</w:t>
      </w:r>
      <w:proofErr w:type="spellEnd"/>
      <w:r w:rsidR="002B0728" w:rsidRPr="00700C14">
        <w:rPr>
          <w:rFonts w:cstheme="minorHAnsi"/>
          <w:lang w:val="en-GB"/>
        </w:rPr>
        <w:t xml:space="preserve">, 2017, p. 2). </w:t>
      </w:r>
      <w:r w:rsidR="006B3224">
        <w:rPr>
          <w:rFonts w:cstheme="minorHAnsi"/>
          <w:lang w:val="en-GB"/>
        </w:rPr>
        <w:t>This is the point of interest here: s</w:t>
      </w:r>
      <w:r w:rsidR="002B0728" w:rsidRPr="00700C14">
        <w:rPr>
          <w:rFonts w:cstheme="minorHAnsi"/>
          <w:lang w:val="en-GB"/>
        </w:rPr>
        <w:t>killed w</w:t>
      </w:r>
      <w:r w:rsidR="006B3224">
        <w:rPr>
          <w:rFonts w:cstheme="minorHAnsi"/>
          <w:lang w:val="en-GB"/>
        </w:rPr>
        <w:t xml:space="preserve">orkforce may </w:t>
      </w:r>
      <w:r w:rsidR="004D4C0D">
        <w:rPr>
          <w:rFonts w:cstheme="minorHAnsi"/>
          <w:lang w:val="en-GB"/>
        </w:rPr>
        <w:t xml:space="preserve">certainly </w:t>
      </w:r>
      <w:r w:rsidR="006B3224">
        <w:rPr>
          <w:rFonts w:cstheme="minorHAnsi"/>
          <w:lang w:val="en-GB"/>
        </w:rPr>
        <w:t xml:space="preserve">be </w:t>
      </w:r>
      <w:r w:rsidR="007E1889">
        <w:rPr>
          <w:rFonts w:cstheme="minorHAnsi"/>
          <w:lang w:val="en-GB"/>
        </w:rPr>
        <w:t xml:space="preserve">attracted </w:t>
      </w:r>
      <w:r w:rsidR="007E1889" w:rsidRPr="007E1889">
        <w:rPr>
          <w:rFonts w:cstheme="minorHAnsi"/>
          <w:i/>
          <w:lang w:val="en-GB"/>
        </w:rPr>
        <w:t>already trained</w:t>
      </w:r>
      <w:r w:rsidR="007E1889">
        <w:rPr>
          <w:rFonts w:cstheme="minorHAnsi"/>
          <w:lang w:val="en-GB"/>
        </w:rPr>
        <w:t xml:space="preserve"> from outside </w:t>
      </w:r>
      <w:r w:rsidR="004D4C0D">
        <w:rPr>
          <w:rFonts w:cstheme="minorHAnsi"/>
          <w:lang w:val="en-GB"/>
        </w:rPr>
        <w:t xml:space="preserve">the </w:t>
      </w:r>
      <w:proofErr w:type="gramStart"/>
      <w:r w:rsidR="004D4C0D">
        <w:rPr>
          <w:rFonts w:cstheme="minorHAnsi"/>
          <w:lang w:val="en-GB"/>
        </w:rPr>
        <w:t>district</w:t>
      </w:r>
      <w:proofErr w:type="gramEnd"/>
      <w:r w:rsidR="004D4C0D">
        <w:rPr>
          <w:rFonts w:cstheme="minorHAnsi"/>
          <w:lang w:val="en-GB"/>
        </w:rPr>
        <w:t xml:space="preserve"> but it </w:t>
      </w:r>
      <w:r w:rsidR="007E1889">
        <w:rPr>
          <w:rFonts w:cstheme="minorHAnsi"/>
          <w:lang w:val="en-GB"/>
        </w:rPr>
        <w:t xml:space="preserve">may be </w:t>
      </w:r>
      <w:r w:rsidR="004D4C0D">
        <w:rPr>
          <w:rFonts w:cstheme="minorHAnsi"/>
          <w:lang w:val="en-GB"/>
        </w:rPr>
        <w:t xml:space="preserve">as well </w:t>
      </w:r>
      <w:r w:rsidR="007E1889">
        <w:rPr>
          <w:rFonts w:cstheme="minorHAnsi"/>
          <w:lang w:val="en-GB"/>
        </w:rPr>
        <w:t xml:space="preserve">locally trained </w:t>
      </w:r>
      <w:r w:rsidR="007E1889" w:rsidRPr="007E1889">
        <w:rPr>
          <w:rFonts w:cstheme="minorHAnsi"/>
          <w:i/>
          <w:lang w:val="en-GB"/>
        </w:rPr>
        <w:t>also</w:t>
      </w:r>
      <w:r w:rsidR="007E1889">
        <w:rPr>
          <w:rFonts w:cstheme="minorHAnsi"/>
          <w:lang w:val="en-GB"/>
        </w:rPr>
        <w:t xml:space="preserve"> through initial Vocational Training (</w:t>
      </w:r>
      <w:r w:rsidR="004D4C0D">
        <w:rPr>
          <w:rFonts w:cstheme="minorHAnsi"/>
          <w:lang w:val="en-GB"/>
        </w:rPr>
        <w:t xml:space="preserve">we use </w:t>
      </w:r>
      <w:r w:rsidR="007E1889">
        <w:rPr>
          <w:rFonts w:cstheme="minorHAnsi"/>
          <w:lang w:val="en-GB"/>
        </w:rPr>
        <w:t>“also” because on-the-job training, Continuous Vocational Training, upper secondary vocational and technical education</w:t>
      </w:r>
      <w:r w:rsidR="004D4C0D">
        <w:rPr>
          <w:rFonts w:cstheme="minorHAnsi"/>
          <w:lang w:val="en-GB"/>
        </w:rPr>
        <w:t xml:space="preserve">, </w:t>
      </w:r>
      <w:r w:rsidR="007E1889">
        <w:rPr>
          <w:rFonts w:cstheme="minorHAnsi"/>
          <w:lang w:val="en-GB"/>
        </w:rPr>
        <w:t xml:space="preserve">universities generally </w:t>
      </w:r>
      <w:r w:rsidR="00CA3FEF">
        <w:rPr>
          <w:rFonts w:cstheme="minorHAnsi"/>
          <w:lang w:val="en-GB"/>
        </w:rPr>
        <w:t xml:space="preserve">give the most relevant contribution in training skilled workforce). </w:t>
      </w:r>
      <w:r w:rsidR="00F97BCC">
        <w:rPr>
          <w:rFonts w:cstheme="minorHAnsi"/>
          <w:lang w:val="en-GB"/>
        </w:rPr>
        <w:t>I</w:t>
      </w:r>
      <w:r w:rsidR="00CA3FEF">
        <w:rPr>
          <w:rFonts w:cstheme="minorHAnsi"/>
          <w:lang w:val="en-GB"/>
        </w:rPr>
        <w:t xml:space="preserve">nitial Vocational Training </w:t>
      </w:r>
      <w:r w:rsidR="00F97BCC">
        <w:rPr>
          <w:rFonts w:cstheme="minorHAnsi"/>
          <w:lang w:val="en-GB"/>
        </w:rPr>
        <w:t xml:space="preserve">in industrial districts </w:t>
      </w:r>
      <w:r w:rsidR="00C04B61">
        <w:rPr>
          <w:rFonts w:cstheme="minorHAnsi"/>
          <w:lang w:val="en-GB"/>
        </w:rPr>
        <w:t xml:space="preserve">is </w:t>
      </w:r>
      <w:r w:rsidR="006F6134">
        <w:rPr>
          <w:rFonts w:cstheme="minorHAnsi"/>
          <w:lang w:val="en-GB"/>
        </w:rPr>
        <w:t xml:space="preserve">targeted to under-18 or to </w:t>
      </w:r>
      <w:r w:rsidR="00D61CF5">
        <w:rPr>
          <w:rFonts w:cstheme="minorHAnsi"/>
          <w:lang w:val="en-GB"/>
        </w:rPr>
        <w:t xml:space="preserve">over-18 attending non-academic </w:t>
      </w:r>
      <w:r w:rsidR="00F965EE">
        <w:rPr>
          <w:rFonts w:cstheme="minorHAnsi"/>
          <w:lang w:val="en-GB"/>
        </w:rPr>
        <w:t>t</w:t>
      </w:r>
      <w:r w:rsidR="00D61CF5">
        <w:rPr>
          <w:rFonts w:cstheme="minorHAnsi"/>
          <w:lang w:val="en-GB"/>
        </w:rPr>
        <w:t xml:space="preserve">ertiary level education/training: </w:t>
      </w:r>
      <w:r w:rsidR="00AB13D2">
        <w:rPr>
          <w:rFonts w:cstheme="minorHAnsi"/>
          <w:lang w:val="en-GB"/>
        </w:rPr>
        <w:t>the most consistent experiences</w:t>
      </w:r>
      <w:r w:rsidR="00676BD1">
        <w:rPr>
          <w:rFonts w:cstheme="minorHAnsi"/>
          <w:lang w:val="en-GB"/>
        </w:rPr>
        <w:t xml:space="preserve">, also historically rooted, </w:t>
      </w:r>
      <w:r w:rsidR="00AB13D2">
        <w:rPr>
          <w:rFonts w:cstheme="minorHAnsi"/>
          <w:lang w:val="en-GB"/>
        </w:rPr>
        <w:t xml:space="preserve">are those of districts </w:t>
      </w:r>
      <w:r w:rsidR="00607F5A">
        <w:rPr>
          <w:rFonts w:cstheme="minorHAnsi"/>
          <w:lang w:val="en-GB"/>
        </w:rPr>
        <w:t xml:space="preserve">focused on </w:t>
      </w:r>
      <w:r w:rsidR="00676BD1">
        <w:rPr>
          <w:rFonts w:cstheme="minorHAnsi"/>
          <w:lang w:val="en-GB"/>
        </w:rPr>
        <w:t xml:space="preserve">typical Italian </w:t>
      </w:r>
      <w:r w:rsidR="00676BD1" w:rsidRPr="00676BD1">
        <w:rPr>
          <w:rFonts w:cstheme="minorHAnsi"/>
          <w:i/>
          <w:lang w:val="en-GB"/>
        </w:rPr>
        <w:t>excellences</w:t>
      </w:r>
      <w:r w:rsidR="00676BD1">
        <w:rPr>
          <w:rFonts w:cstheme="minorHAnsi"/>
          <w:lang w:val="en-GB"/>
        </w:rPr>
        <w:t xml:space="preserve"> like mechanics, clothing, textile and wear, leather and footwear, ceramics, wood and furniture, metals and metal products, food. </w:t>
      </w:r>
      <w:r w:rsidR="009F7265">
        <w:rPr>
          <w:rFonts w:cstheme="minorHAnsi"/>
          <w:lang w:val="en-GB"/>
        </w:rPr>
        <w:t xml:space="preserve">In these districts, albeit with </w:t>
      </w:r>
      <w:r w:rsidR="003D2FBD">
        <w:rPr>
          <w:rFonts w:cstheme="minorHAnsi"/>
          <w:lang w:val="en-GB"/>
        </w:rPr>
        <w:t>the limits deriving from its small dimension</w:t>
      </w:r>
      <w:r w:rsidR="009F7265">
        <w:rPr>
          <w:rFonts w:cstheme="minorHAnsi"/>
          <w:lang w:val="en-GB"/>
        </w:rPr>
        <w:t xml:space="preserve">, </w:t>
      </w:r>
      <w:r w:rsidR="003D2FBD">
        <w:rPr>
          <w:rFonts w:cstheme="minorHAnsi"/>
          <w:lang w:val="en-GB"/>
        </w:rPr>
        <w:t xml:space="preserve">also initial Vocational Training - deeply embedded in local economic culture and strongly linked to productive processes - plays a slightly supportive role (although indirectly) for </w:t>
      </w:r>
      <w:r w:rsidR="00485031">
        <w:rPr>
          <w:rFonts w:cstheme="minorHAnsi"/>
          <w:lang w:val="en-GB"/>
        </w:rPr>
        <w:t xml:space="preserve">incoming </w:t>
      </w:r>
      <w:r w:rsidR="003D2FBD">
        <w:rPr>
          <w:rFonts w:cstheme="minorHAnsi"/>
          <w:lang w:val="en-GB"/>
        </w:rPr>
        <w:t xml:space="preserve">“mobility for work”. </w:t>
      </w:r>
      <w:r w:rsidR="00676BD1">
        <w:rPr>
          <w:rFonts w:cstheme="minorHAnsi"/>
          <w:lang w:val="en-GB"/>
        </w:rPr>
        <w:t xml:space="preserve"> </w:t>
      </w:r>
      <w:r w:rsidR="00700C14" w:rsidRPr="00700C14">
        <w:rPr>
          <w:rFonts w:cstheme="minorHAnsi"/>
          <w:lang w:val="en-GB"/>
        </w:rPr>
        <w:t xml:space="preserve"> </w:t>
      </w:r>
    </w:p>
    <w:p w:rsidR="005763ED" w:rsidRPr="00AB13D2" w:rsidRDefault="005763ED" w:rsidP="005763ED">
      <w:pPr>
        <w:pStyle w:val="Paragraphedeliste"/>
        <w:spacing w:after="0"/>
        <w:ind w:left="360"/>
        <w:rPr>
          <w:lang w:val="en-GB"/>
        </w:rPr>
      </w:pPr>
    </w:p>
    <w:p w:rsidR="004463F8" w:rsidRPr="00AB13D2" w:rsidRDefault="004463F8" w:rsidP="005763ED">
      <w:pPr>
        <w:pStyle w:val="Paragraphedeliste"/>
        <w:spacing w:after="0"/>
        <w:ind w:left="360"/>
        <w:rPr>
          <w:lang w:val="en-GB"/>
        </w:rPr>
      </w:pPr>
    </w:p>
    <w:p w:rsidR="002615AF" w:rsidRPr="008E6CD0" w:rsidRDefault="002615AF" w:rsidP="00B63FDA">
      <w:pPr>
        <w:spacing w:after="0"/>
        <w:rPr>
          <w:b/>
          <w:sz w:val="20"/>
          <w:szCs w:val="20"/>
        </w:rPr>
      </w:pPr>
      <w:proofErr w:type="spellStart"/>
      <w:r w:rsidRPr="008E6CD0">
        <w:rPr>
          <w:b/>
          <w:sz w:val="20"/>
          <w:szCs w:val="20"/>
        </w:rPr>
        <w:t>References</w:t>
      </w:r>
      <w:proofErr w:type="spellEnd"/>
      <w:r w:rsidRPr="008E6CD0">
        <w:rPr>
          <w:b/>
          <w:sz w:val="20"/>
          <w:szCs w:val="20"/>
        </w:rPr>
        <w:t xml:space="preserve">  </w:t>
      </w:r>
    </w:p>
    <w:p w:rsidR="00F65C33" w:rsidRPr="008E6CD0" w:rsidRDefault="00F65C33" w:rsidP="00B63FDA">
      <w:pPr>
        <w:spacing w:after="0"/>
        <w:rPr>
          <w:b/>
          <w:sz w:val="20"/>
          <w:szCs w:val="20"/>
        </w:rPr>
      </w:pPr>
    </w:p>
    <w:p w:rsidR="00DC44FC" w:rsidRPr="008E6CD0" w:rsidRDefault="00DC44FC" w:rsidP="00004006">
      <w:pPr>
        <w:spacing w:after="0"/>
        <w:rPr>
          <w:sz w:val="20"/>
          <w:szCs w:val="20"/>
        </w:rPr>
      </w:pPr>
      <w:r w:rsidRPr="008E6CD0">
        <w:rPr>
          <w:sz w:val="20"/>
          <w:szCs w:val="20"/>
        </w:rPr>
        <w:t>ANPAL</w:t>
      </w:r>
      <w:r w:rsidR="000E1733" w:rsidRPr="008E6CD0">
        <w:rPr>
          <w:sz w:val="20"/>
          <w:szCs w:val="20"/>
        </w:rPr>
        <w:t xml:space="preserve"> (2018)</w:t>
      </w:r>
      <w:r w:rsidRPr="008E6CD0">
        <w:rPr>
          <w:sz w:val="20"/>
          <w:szCs w:val="20"/>
        </w:rPr>
        <w:t xml:space="preserve">, </w:t>
      </w:r>
      <w:r w:rsidRPr="008E6CD0">
        <w:rPr>
          <w:i/>
          <w:sz w:val="20"/>
          <w:szCs w:val="20"/>
        </w:rPr>
        <w:t>XVIII Rapporto Annuale sulla Formazione Continua</w:t>
      </w:r>
      <w:r w:rsidRPr="008E6CD0">
        <w:rPr>
          <w:sz w:val="20"/>
          <w:szCs w:val="20"/>
        </w:rPr>
        <w:t xml:space="preserve">, </w:t>
      </w:r>
      <w:r w:rsidR="005A19A9" w:rsidRPr="008E6CD0">
        <w:rPr>
          <w:sz w:val="20"/>
          <w:szCs w:val="20"/>
        </w:rPr>
        <w:t>ANPAL Publications, Rome</w:t>
      </w:r>
    </w:p>
    <w:p w:rsidR="006D010F" w:rsidRPr="008E6CD0" w:rsidRDefault="006D010F" w:rsidP="006D010F">
      <w:pPr>
        <w:spacing w:after="0"/>
        <w:rPr>
          <w:rFonts w:cstheme="minorHAnsi"/>
          <w:sz w:val="20"/>
          <w:szCs w:val="20"/>
        </w:rPr>
      </w:pPr>
      <w:proofErr w:type="spellStart"/>
      <w:r w:rsidRPr="008E6CD0">
        <w:rPr>
          <w:rFonts w:cstheme="minorHAnsi"/>
          <w:sz w:val="20"/>
          <w:szCs w:val="20"/>
        </w:rPr>
        <w:t>Becattini</w:t>
      </w:r>
      <w:proofErr w:type="spellEnd"/>
      <w:r w:rsidRPr="008E6CD0">
        <w:rPr>
          <w:rFonts w:cstheme="minorHAnsi"/>
          <w:sz w:val="20"/>
          <w:szCs w:val="20"/>
        </w:rPr>
        <w:t xml:space="preserve"> G. (ed.) (1987)</w:t>
      </w:r>
      <w:r w:rsidR="000E1733" w:rsidRPr="008E6CD0">
        <w:rPr>
          <w:rFonts w:cstheme="minorHAnsi"/>
          <w:sz w:val="20"/>
          <w:szCs w:val="20"/>
        </w:rPr>
        <w:t xml:space="preserve">, </w:t>
      </w:r>
      <w:r w:rsidR="000E1733" w:rsidRPr="008E6CD0">
        <w:rPr>
          <w:rFonts w:cstheme="minorHAnsi"/>
          <w:i/>
          <w:sz w:val="20"/>
          <w:szCs w:val="20"/>
        </w:rPr>
        <w:t>M</w:t>
      </w:r>
      <w:r w:rsidRPr="008E6CD0">
        <w:rPr>
          <w:rFonts w:cstheme="minorHAnsi"/>
          <w:i/>
          <w:sz w:val="20"/>
          <w:szCs w:val="20"/>
        </w:rPr>
        <w:t>ercato e forze locali: il distretto industriale</w:t>
      </w:r>
      <w:r w:rsidR="000E1733" w:rsidRPr="008E6CD0">
        <w:rPr>
          <w:rFonts w:cstheme="minorHAnsi"/>
          <w:sz w:val="20"/>
          <w:szCs w:val="20"/>
        </w:rPr>
        <w:t>,</w:t>
      </w:r>
      <w:r w:rsidR="00FF41DF" w:rsidRPr="008E6CD0">
        <w:rPr>
          <w:rFonts w:cstheme="minorHAnsi"/>
          <w:sz w:val="20"/>
          <w:szCs w:val="20"/>
        </w:rPr>
        <w:t xml:space="preserve"> Il Mulino</w:t>
      </w:r>
      <w:r w:rsidR="000E1733" w:rsidRPr="008E6CD0">
        <w:rPr>
          <w:rFonts w:cstheme="minorHAnsi"/>
          <w:sz w:val="20"/>
          <w:szCs w:val="20"/>
        </w:rPr>
        <w:t>, Bologna</w:t>
      </w:r>
    </w:p>
    <w:p w:rsidR="00040B47" w:rsidRPr="008E6CD0" w:rsidRDefault="00040B47" w:rsidP="000E1733">
      <w:pPr>
        <w:spacing w:after="0" w:line="240" w:lineRule="auto"/>
        <w:ind w:left="284" w:hanging="284"/>
        <w:rPr>
          <w:rFonts w:eastAsia="Times New Roman" w:cstheme="minorHAnsi"/>
          <w:sz w:val="20"/>
          <w:szCs w:val="20"/>
          <w:lang w:val="en-GB" w:eastAsia="it-IT"/>
        </w:rPr>
      </w:pPr>
      <w:proofErr w:type="spellStart"/>
      <w:r w:rsidRPr="008E6CD0">
        <w:rPr>
          <w:rFonts w:eastAsia="Times New Roman" w:cstheme="minorHAnsi"/>
          <w:sz w:val="20"/>
          <w:szCs w:val="20"/>
          <w:lang w:val="en-GB" w:eastAsia="it-IT"/>
        </w:rPr>
        <w:t>Becattini</w:t>
      </w:r>
      <w:proofErr w:type="spellEnd"/>
      <w:r w:rsidRPr="008E6CD0">
        <w:rPr>
          <w:rFonts w:eastAsia="Times New Roman" w:cstheme="minorHAnsi"/>
          <w:sz w:val="20"/>
          <w:szCs w:val="20"/>
          <w:lang w:val="en-GB" w:eastAsia="it-IT"/>
        </w:rPr>
        <w:t xml:space="preserve"> G., </w:t>
      </w:r>
      <w:proofErr w:type="spellStart"/>
      <w:r w:rsidRPr="008E6CD0">
        <w:rPr>
          <w:rFonts w:eastAsia="Times New Roman" w:cstheme="minorHAnsi"/>
          <w:sz w:val="20"/>
          <w:szCs w:val="20"/>
          <w:lang w:val="en-GB" w:eastAsia="it-IT"/>
        </w:rPr>
        <w:t>Bellandi</w:t>
      </w:r>
      <w:proofErr w:type="spellEnd"/>
      <w:r w:rsidRPr="008E6CD0">
        <w:rPr>
          <w:rFonts w:eastAsia="Times New Roman" w:cstheme="minorHAnsi"/>
          <w:sz w:val="20"/>
          <w:szCs w:val="20"/>
          <w:lang w:val="en-GB" w:eastAsia="it-IT"/>
        </w:rPr>
        <w:t xml:space="preserve"> M.</w:t>
      </w:r>
      <w:r w:rsidR="007E2716" w:rsidRPr="008E6CD0">
        <w:rPr>
          <w:rFonts w:eastAsia="Times New Roman" w:cstheme="minorHAnsi"/>
          <w:sz w:val="20"/>
          <w:szCs w:val="20"/>
          <w:lang w:val="en-GB" w:eastAsia="it-IT"/>
        </w:rPr>
        <w:t xml:space="preserve">, </w:t>
      </w:r>
      <w:r w:rsidRPr="008E6CD0">
        <w:rPr>
          <w:rFonts w:eastAsia="Times New Roman" w:cstheme="minorHAnsi"/>
          <w:sz w:val="20"/>
          <w:szCs w:val="20"/>
          <w:lang w:val="en-GB" w:eastAsia="it-IT"/>
        </w:rPr>
        <w:t xml:space="preserve">De </w:t>
      </w:r>
      <w:proofErr w:type="spellStart"/>
      <w:r w:rsidRPr="008E6CD0">
        <w:rPr>
          <w:rFonts w:eastAsia="Times New Roman" w:cstheme="minorHAnsi"/>
          <w:sz w:val="20"/>
          <w:szCs w:val="20"/>
          <w:lang w:val="en-GB" w:eastAsia="it-IT"/>
        </w:rPr>
        <w:t>Propris</w:t>
      </w:r>
      <w:proofErr w:type="spellEnd"/>
      <w:r w:rsidRPr="008E6CD0">
        <w:rPr>
          <w:rFonts w:eastAsia="Times New Roman" w:cstheme="minorHAnsi"/>
          <w:sz w:val="20"/>
          <w:szCs w:val="20"/>
          <w:lang w:val="en-GB" w:eastAsia="it-IT"/>
        </w:rPr>
        <w:t xml:space="preserve"> L. (2009), </w:t>
      </w:r>
      <w:r w:rsidRPr="008E6CD0">
        <w:rPr>
          <w:rFonts w:eastAsia="Times New Roman" w:cstheme="minorHAnsi"/>
          <w:i/>
          <w:sz w:val="20"/>
          <w:szCs w:val="20"/>
          <w:lang w:val="en-GB" w:eastAsia="it-IT"/>
        </w:rPr>
        <w:t>A Handbook of Industrial Districts</w:t>
      </w:r>
      <w:r w:rsidRPr="008E6CD0">
        <w:rPr>
          <w:rFonts w:eastAsia="Times New Roman" w:cstheme="minorHAnsi"/>
          <w:sz w:val="20"/>
          <w:szCs w:val="20"/>
          <w:lang w:val="en-GB" w:eastAsia="it-IT"/>
        </w:rPr>
        <w:t xml:space="preserve">, </w:t>
      </w:r>
      <w:r w:rsidR="000E1733" w:rsidRPr="008E6CD0">
        <w:rPr>
          <w:rFonts w:eastAsia="Times New Roman" w:cstheme="minorHAnsi"/>
          <w:sz w:val="20"/>
          <w:szCs w:val="20"/>
          <w:lang w:val="en-GB" w:eastAsia="it-IT"/>
        </w:rPr>
        <w:t xml:space="preserve">Edward Elgar, </w:t>
      </w:r>
      <w:r w:rsidRPr="008E6CD0">
        <w:rPr>
          <w:rFonts w:eastAsia="Times New Roman" w:cstheme="minorHAnsi"/>
          <w:sz w:val="20"/>
          <w:szCs w:val="20"/>
          <w:lang w:val="en-GB" w:eastAsia="it-IT"/>
        </w:rPr>
        <w:t>Cheltenham</w:t>
      </w:r>
      <w:r w:rsidR="005A19A9" w:rsidRPr="008E6CD0">
        <w:rPr>
          <w:rFonts w:eastAsia="Times New Roman" w:cstheme="minorHAnsi"/>
          <w:sz w:val="20"/>
          <w:szCs w:val="20"/>
          <w:lang w:val="en-GB" w:eastAsia="it-IT"/>
        </w:rPr>
        <w:t xml:space="preserve"> (UK)</w:t>
      </w:r>
    </w:p>
    <w:p w:rsidR="00FF41DF" w:rsidRPr="008E6CD0" w:rsidRDefault="00FF41DF" w:rsidP="000E1733">
      <w:pPr>
        <w:spacing w:after="0"/>
        <w:ind w:left="284" w:hanging="284"/>
        <w:rPr>
          <w:rFonts w:cstheme="minorHAnsi"/>
          <w:sz w:val="20"/>
          <w:szCs w:val="20"/>
          <w:lang w:val="en-GB"/>
        </w:rPr>
      </w:pPr>
      <w:proofErr w:type="spellStart"/>
      <w:r w:rsidRPr="008E6CD0">
        <w:rPr>
          <w:rFonts w:cstheme="minorHAnsi"/>
          <w:sz w:val="20"/>
          <w:szCs w:val="20"/>
          <w:lang w:val="en-GB"/>
        </w:rPr>
        <w:t>Bellandi</w:t>
      </w:r>
      <w:proofErr w:type="spellEnd"/>
      <w:r w:rsidRPr="008E6CD0">
        <w:rPr>
          <w:rFonts w:cstheme="minorHAnsi"/>
          <w:sz w:val="20"/>
          <w:szCs w:val="20"/>
          <w:lang w:val="en-GB"/>
        </w:rPr>
        <w:t xml:space="preserve"> </w:t>
      </w:r>
      <w:r w:rsidR="006F0CB6" w:rsidRPr="008E6CD0">
        <w:rPr>
          <w:rFonts w:cstheme="minorHAnsi"/>
          <w:sz w:val="20"/>
          <w:szCs w:val="20"/>
          <w:lang w:val="en-GB"/>
        </w:rPr>
        <w:t>M</w:t>
      </w:r>
      <w:r w:rsidR="000E1733" w:rsidRPr="008E6CD0">
        <w:rPr>
          <w:rFonts w:cstheme="minorHAnsi"/>
          <w:sz w:val="20"/>
          <w:szCs w:val="20"/>
          <w:lang w:val="en-GB"/>
        </w:rPr>
        <w:t>.</w:t>
      </w:r>
      <w:r w:rsidRPr="008E6CD0">
        <w:rPr>
          <w:rFonts w:cstheme="minorHAnsi"/>
          <w:sz w:val="20"/>
          <w:szCs w:val="20"/>
          <w:lang w:val="en-GB"/>
        </w:rPr>
        <w:t xml:space="preserve">, De </w:t>
      </w:r>
      <w:proofErr w:type="spellStart"/>
      <w:r w:rsidRPr="008E6CD0">
        <w:rPr>
          <w:rFonts w:cstheme="minorHAnsi"/>
          <w:sz w:val="20"/>
          <w:szCs w:val="20"/>
          <w:lang w:val="en-GB"/>
        </w:rPr>
        <w:t>Propris</w:t>
      </w:r>
      <w:proofErr w:type="spellEnd"/>
      <w:r w:rsidRPr="008E6CD0">
        <w:rPr>
          <w:rFonts w:cstheme="minorHAnsi"/>
          <w:sz w:val="20"/>
          <w:szCs w:val="20"/>
          <w:lang w:val="en-GB"/>
        </w:rPr>
        <w:t xml:space="preserve"> </w:t>
      </w:r>
      <w:r w:rsidR="006F0CB6" w:rsidRPr="008E6CD0">
        <w:rPr>
          <w:rFonts w:cstheme="minorHAnsi"/>
          <w:sz w:val="20"/>
          <w:szCs w:val="20"/>
          <w:lang w:val="en-GB"/>
        </w:rPr>
        <w:t>L. (2008), Small Firms and Industrial Districts, in</w:t>
      </w:r>
      <w:r w:rsidR="000E1733" w:rsidRPr="008E6CD0">
        <w:rPr>
          <w:rFonts w:cstheme="minorHAnsi"/>
          <w:sz w:val="20"/>
          <w:szCs w:val="20"/>
          <w:lang w:val="en-GB"/>
        </w:rPr>
        <w:t>:</w:t>
      </w:r>
      <w:r w:rsidR="006F0CB6" w:rsidRPr="008E6CD0">
        <w:rPr>
          <w:rFonts w:cstheme="minorHAnsi"/>
          <w:sz w:val="20"/>
          <w:szCs w:val="20"/>
          <w:lang w:val="en-GB"/>
        </w:rPr>
        <w:t xml:space="preserve"> </w:t>
      </w:r>
      <w:r w:rsidR="006F0CB6" w:rsidRPr="008E6CD0">
        <w:rPr>
          <w:rFonts w:cstheme="minorHAnsi"/>
          <w:iCs/>
          <w:sz w:val="20"/>
          <w:szCs w:val="20"/>
          <w:lang w:val="en-GB"/>
        </w:rPr>
        <w:t xml:space="preserve">Michael Dietrich and Jackie </w:t>
      </w:r>
      <w:proofErr w:type="spellStart"/>
      <w:r w:rsidR="006F0CB6" w:rsidRPr="008E6CD0">
        <w:rPr>
          <w:rFonts w:cstheme="minorHAnsi"/>
          <w:iCs/>
          <w:sz w:val="20"/>
          <w:szCs w:val="20"/>
          <w:lang w:val="en-GB"/>
        </w:rPr>
        <w:t>Krafft</w:t>
      </w:r>
      <w:proofErr w:type="spellEnd"/>
      <w:r w:rsidR="006F0CB6" w:rsidRPr="008E6CD0">
        <w:rPr>
          <w:rFonts w:cstheme="minorHAnsi"/>
          <w:iCs/>
          <w:sz w:val="20"/>
          <w:szCs w:val="20"/>
          <w:lang w:val="en-GB"/>
        </w:rPr>
        <w:t xml:space="preserve"> (eds.), </w:t>
      </w:r>
      <w:r w:rsidR="006F0CB6" w:rsidRPr="008E6CD0">
        <w:rPr>
          <w:rFonts w:cstheme="minorHAnsi"/>
          <w:i/>
          <w:iCs/>
          <w:sz w:val="20"/>
          <w:szCs w:val="20"/>
          <w:lang w:val="en-GB"/>
        </w:rPr>
        <w:t>Handbook on the Economics and Theory of the Firm</w:t>
      </w:r>
      <w:r w:rsidR="006F0CB6" w:rsidRPr="008E6CD0">
        <w:rPr>
          <w:rFonts w:cstheme="minorHAnsi"/>
          <w:iCs/>
          <w:sz w:val="20"/>
          <w:szCs w:val="20"/>
          <w:lang w:val="en-GB"/>
        </w:rPr>
        <w:t xml:space="preserve">, pp. 375-387, </w:t>
      </w:r>
      <w:r w:rsidR="000E1733" w:rsidRPr="008E6CD0">
        <w:rPr>
          <w:rFonts w:cstheme="minorHAnsi"/>
          <w:iCs/>
          <w:sz w:val="20"/>
          <w:szCs w:val="20"/>
          <w:lang w:val="en-GB"/>
        </w:rPr>
        <w:t xml:space="preserve">Edward Elgar, </w:t>
      </w:r>
      <w:r w:rsidR="006F0CB6" w:rsidRPr="008E6CD0">
        <w:rPr>
          <w:rFonts w:cstheme="minorHAnsi"/>
          <w:iCs/>
          <w:sz w:val="20"/>
          <w:szCs w:val="20"/>
          <w:lang w:val="en-GB"/>
        </w:rPr>
        <w:t>Cheltenham</w:t>
      </w:r>
      <w:r w:rsidR="005A19A9" w:rsidRPr="008E6CD0">
        <w:rPr>
          <w:rFonts w:cstheme="minorHAnsi"/>
          <w:iCs/>
          <w:sz w:val="20"/>
          <w:szCs w:val="20"/>
          <w:lang w:val="en-GB"/>
        </w:rPr>
        <w:t xml:space="preserve"> (UK)</w:t>
      </w:r>
    </w:p>
    <w:p w:rsidR="00B63FDA" w:rsidRPr="008E6CD0" w:rsidRDefault="00B63FDA" w:rsidP="00004006">
      <w:pPr>
        <w:pStyle w:val="Paragraphedeliste"/>
        <w:spacing w:after="0"/>
        <w:ind w:left="0"/>
        <w:rPr>
          <w:rFonts w:ascii="Calibri" w:eastAsia="Calibri" w:hAnsi="Calibri" w:cs="Times New Roman"/>
          <w:sz w:val="20"/>
          <w:szCs w:val="20"/>
          <w:lang w:val="en-GB"/>
        </w:rPr>
      </w:pPr>
      <w:proofErr w:type="spellStart"/>
      <w:r w:rsidRPr="008E6CD0">
        <w:rPr>
          <w:rFonts w:ascii="Calibri" w:eastAsia="Calibri" w:hAnsi="Calibri" w:cs="Times New Roman"/>
          <w:sz w:val="20"/>
          <w:szCs w:val="20"/>
          <w:lang w:val="en-GB"/>
        </w:rPr>
        <w:t>Cedefop</w:t>
      </w:r>
      <w:proofErr w:type="spellEnd"/>
      <w:r w:rsidR="000E1733" w:rsidRPr="008E6CD0">
        <w:rPr>
          <w:rFonts w:ascii="Calibri" w:eastAsia="Calibri" w:hAnsi="Calibri" w:cs="Times New Roman"/>
          <w:sz w:val="20"/>
          <w:szCs w:val="20"/>
          <w:lang w:val="en-GB"/>
        </w:rPr>
        <w:t xml:space="preserve"> (2014, a)</w:t>
      </w:r>
      <w:r w:rsidRPr="008E6CD0">
        <w:rPr>
          <w:rFonts w:ascii="Calibri" w:eastAsia="Calibri" w:hAnsi="Calibri" w:cs="Times New Roman"/>
          <w:sz w:val="20"/>
          <w:szCs w:val="20"/>
          <w:lang w:val="en-GB"/>
        </w:rPr>
        <w:t xml:space="preserve">, </w:t>
      </w:r>
      <w:r w:rsidRPr="008E6CD0">
        <w:rPr>
          <w:rFonts w:ascii="Calibri" w:eastAsia="Calibri" w:hAnsi="Calibri" w:cs="Times New Roman"/>
          <w:i/>
          <w:sz w:val="20"/>
          <w:szCs w:val="20"/>
          <w:lang w:val="en-GB"/>
        </w:rPr>
        <w:t>Spotlight on VET-Italy</w:t>
      </w:r>
      <w:r w:rsidRPr="008E6CD0">
        <w:rPr>
          <w:rFonts w:ascii="Calibri" w:eastAsia="Calibri" w:hAnsi="Calibri" w:cs="Times New Roman"/>
          <w:sz w:val="20"/>
          <w:szCs w:val="20"/>
          <w:lang w:val="en-GB"/>
        </w:rPr>
        <w:t xml:space="preserve">, European Union </w:t>
      </w:r>
      <w:r w:rsidR="000E1733" w:rsidRPr="008E6CD0">
        <w:rPr>
          <w:rFonts w:ascii="Calibri" w:eastAsia="Calibri" w:hAnsi="Calibri" w:cs="Times New Roman"/>
          <w:sz w:val="20"/>
          <w:szCs w:val="20"/>
          <w:lang w:val="en-GB"/>
        </w:rPr>
        <w:t>Publications Office, Luxembourg</w:t>
      </w:r>
      <w:r w:rsidRPr="008E6CD0">
        <w:rPr>
          <w:rFonts w:ascii="Calibri" w:eastAsia="Calibri" w:hAnsi="Calibri" w:cs="Times New Roman"/>
          <w:sz w:val="20"/>
          <w:szCs w:val="20"/>
          <w:lang w:val="en-GB"/>
        </w:rPr>
        <w:t xml:space="preserve"> </w:t>
      </w:r>
    </w:p>
    <w:p w:rsidR="00B63FDA" w:rsidRPr="008E6CD0" w:rsidRDefault="00B63FDA" w:rsidP="00004006">
      <w:pPr>
        <w:pStyle w:val="Paragraphedeliste"/>
        <w:spacing w:after="0"/>
        <w:ind w:left="284" w:hanging="284"/>
        <w:rPr>
          <w:rFonts w:ascii="Calibri" w:eastAsia="Calibri" w:hAnsi="Calibri" w:cs="Times New Roman"/>
          <w:sz w:val="20"/>
          <w:szCs w:val="20"/>
          <w:lang w:val="en-GB"/>
        </w:rPr>
      </w:pPr>
      <w:proofErr w:type="spellStart"/>
      <w:r w:rsidRPr="008E6CD0">
        <w:rPr>
          <w:rFonts w:ascii="Calibri" w:eastAsia="Calibri" w:hAnsi="Calibri" w:cs="Times New Roman"/>
          <w:sz w:val="20"/>
          <w:szCs w:val="20"/>
          <w:lang w:val="en-GB"/>
        </w:rPr>
        <w:t>Cedefop</w:t>
      </w:r>
      <w:proofErr w:type="spellEnd"/>
      <w:r w:rsidR="000E1733" w:rsidRPr="008E6CD0">
        <w:rPr>
          <w:rFonts w:ascii="Calibri" w:eastAsia="Calibri" w:hAnsi="Calibri" w:cs="Times New Roman"/>
          <w:sz w:val="20"/>
          <w:szCs w:val="20"/>
          <w:lang w:val="en-GB"/>
        </w:rPr>
        <w:t xml:space="preserve"> (2014, b)</w:t>
      </w:r>
      <w:r w:rsidRPr="008E6CD0">
        <w:rPr>
          <w:rFonts w:ascii="Calibri" w:eastAsia="Calibri" w:hAnsi="Calibri" w:cs="Times New Roman"/>
          <w:sz w:val="20"/>
          <w:szCs w:val="20"/>
          <w:lang w:val="en-GB"/>
        </w:rPr>
        <w:t xml:space="preserve">, </w:t>
      </w:r>
      <w:r w:rsidRPr="008E6CD0">
        <w:rPr>
          <w:rFonts w:ascii="Calibri" w:eastAsia="Calibri" w:hAnsi="Calibri" w:cs="Times New Roman"/>
          <w:i/>
          <w:sz w:val="20"/>
          <w:szCs w:val="20"/>
          <w:lang w:val="en-GB"/>
        </w:rPr>
        <w:t>Vocational Education and Training in Italy (short description)</w:t>
      </w:r>
      <w:r w:rsidRPr="008E6CD0">
        <w:rPr>
          <w:rFonts w:ascii="Calibri" w:eastAsia="Calibri" w:hAnsi="Calibri" w:cs="Times New Roman"/>
          <w:sz w:val="20"/>
          <w:szCs w:val="20"/>
          <w:lang w:val="en-GB"/>
        </w:rPr>
        <w:t>, European Union Publications Office, Luxembourg</w:t>
      </w:r>
    </w:p>
    <w:p w:rsidR="000936D0" w:rsidRPr="008E6CD0" w:rsidRDefault="00DC44FC" w:rsidP="000E1733">
      <w:pPr>
        <w:autoSpaceDE w:val="0"/>
        <w:autoSpaceDN w:val="0"/>
        <w:adjustRightInd w:val="0"/>
        <w:spacing w:after="0"/>
        <w:ind w:left="284" w:hanging="284"/>
        <w:rPr>
          <w:rFonts w:cstheme="minorHAnsi"/>
          <w:sz w:val="20"/>
          <w:szCs w:val="20"/>
          <w:lang w:val="en-GB"/>
        </w:rPr>
      </w:pPr>
      <w:proofErr w:type="spellStart"/>
      <w:r w:rsidRPr="008E6CD0">
        <w:rPr>
          <w:rFonts w:cstheme="minorHAnsi"/>
          <w:sz w:val="20"/>
          <w:szCs w:val="20"/>
          <w:lang w:val="en-GB"/>
        </w:rPr>
        <w:t>Cedefop</w:t>
      </w:r>
      <w:proofErr w:type="spellEnd"/>
      <w:r w:rsidR="000E1733" w:rsidRPr="008E6CD0">
        <w:rPr>
          <w:rFonts w:cstheme="minorHAnsi"/>
          <w:sz w:val="20"/>
          <w:szCs w:val="20"/>
          <w:lang w:val="en-GB"/>
        </w:rPr>
        <w:t xml:space="preserve"> (2017)</w:t>
      </w:r>
      <w:r w:rsidRPr="008E6CD0">
        <w:rPr>
          <w:rFonts w:cstheme="minorHAnsi"/>
          <w:sz w:val="20"/>
          <w:szCs w:val="20"/>
          <w:lang w:val="en-GB"/>
        </w:rPr>
        <w:t xml:space="preserve">, </w:t>
      </w:r>
      <w:r w:rsidRPr="008E6CD0">
        <w:rPr>
          <w:rFonts w:cstheme="minorHAnsi"/>
          <w:i/>
          <w:sz w:val="20"/>
          <w:szCs w:val="20"/>
          <w:lang w:val="en-GB"/>
        </w:rPr>
        <w:t>Country Statistical Overview</w:t>
      </w:r>
      <w:r w:rsidR="000E1733" w:rsidRPr="008E6CD0">
        <w:rPr>
          <w:rFonts w:cstheme="minorHAnsi"/>
          <w:i/>
          <w:sz w:val="20"/>
          <w:szCs w:val="20"/>
          <w:lang w:val="en-GB"/>
        </w:rPr>
        <w:t>: I</w:t>
      </w:r>
      <w:r w:rsidRPr="008E6CD0">
        <w:rPr>
          <w:rFonts w:cstheme="minorHAnsi"/>
          <w:i/>
          <w:sz w:val="20"/>
          <w:szCs w:val="20"/>
          <w:lang w:val="en-GB"/>
        </w:rPr>
        <w:t>taly</w:t>
      </w:r>
      <w:r w:rsidR="000E1733" w:rsidRPr="008E6CD0">
        <w:rPr>
          <w:rFonts w:cstheme="minorHAnsi"/>
          <w:i/>
          <w:sz w:val="20"/>
          <w:szCs w:val="20"/>
          <w:lang w:val="en-GB"/>
        </w:rPr>
        <w:t xml:space="preserve">, </w:t>
      </w:r>
      <w:r w:rsidR="000E1733" w:rsidRPr="008E6CD0">
        <w:rPr>
          <w:rFonts w:ascii="Calibri" w:eastAsia="Calibri" w:hAnsi="Calibri" w:cs="Times New Roman"/>
          <w:sz w:val="20"/>
          <w:szCs w:val="20"/>
          <w:lang w:val="en-GB"/>
        </w:rPr>
        <w:t>European Union Publications Office, Luxembourg</w:t>
      </w:r>
      <w:r w:rsidR="000E1733" w:rsidRPr="008E6CD0">
        <w:rPr>
          <w:rFonts w:cstheme="minorHAnsi"/>
          <w:i/>
          <w:sz w:val="20"/>
          <w:szCs w:val="20"/>
          <w:lang w:val="en-GB"/>
        </w:rPr>
        <w:t xml:space="preserve"> </w:t>
      </w:r>
      <w:r w:rsidRPr="008E6CD0">
        <w:rPr>
          <w:rFonts w:cstheme="minorHAnsi"/>
          <w:sz w:val="20"/>
          <w:szCs w:val="20"/>
          <w:lang w:val="en-GB"/>
        </w:rPr>
        <w:t xml:space="preserve"> </w:t>
      </w:r>
    </w:p>
    <w:p w:rsidR="003F38F7" w:rsidRPr="008E6CD0" w:rsidRDefault="00461FCE" w:rsidP="000E1733">
      <w:pPr>
        <w:autoSpaceDE w:val="0"/>
        <w:autoSpaceDN w:val="0"/>
        <w:adjustRightInd w:val="0"/>
        <w:spacing w:after="0"/>
        <w:ind w:left="284" w:hanging="284"/>
        <w:rPr>
          <w:rFonts w:cstheme="minorHAnsi"/>
          <w:sz w:val="20"/>
          <w:szCs w:val="20"/>
          <w:lang w:val="en-GB"/>
        </w:rPr>
      </w:pPr>
      <w:proofErr w:type="spellStart"/>
      <w:r w:rsidRPr="008E6CD0">
        <w:rPr>
          <w:rFonts w:cstheme="minorHAnsi"/>
          <w:sz w:val="20"/>
          <w:szCs w:val="20"/>
          <w:lang w:val="en-GB"/>
        </w:rPr>
        <w:t>Cedefop</w:t>
      </w:r>
      <w:proofErr w:type="spellEnd"/>
      <w:r w:rsidRPr="008E6CD0">
        <w:rPr>
          <w:rFonts w:cstheme="minorHAnsi"/>
          <w:sz w:val="20"/>
          <w:szCs w:val="20"/>
          <w:lang w:val="en-GB"/>
        </w:rPr>
        <w:t xml:space="preserve"> (2018</w:t>
      </w:r>
      <w:r w:rsidR="002712F6" w:rsidRPr="008E6CD0">
        <w:rPr>
          <w:rFonts w:cstheme="minorHAnsi"/>
          <w:sz w:val="20"/>
          <w:szCs w:val="20"/>
          <w:lang w:val="en-GB"/>
        </w:rPr>
        <w:t xml:space="preserve">, </w:t>
      </w:r>
      <w:r w:rsidR="007E2716" w:rsidRPr="008E6CD0">
        <w:rPr>
          <w:rFonts w:cstheme="minorHAnsi"/>
          <w:sz w:val="20"/>
          <w:szCs w:val="20"/>
          <w:lang w:val="en-GB"/>
        </w:rPr>
        <w:t>a</w:t>
      </w:r>
      <w:r w:rsidRPr="008E6CD0">
        <w:rPr>
          <w:rFonts w:cstheme="minorHAnsi"/>
          <w:sz w:val="20"/>
          <w:szCs w:val="20"/>
          <w:lang w:val="en-GB"/>
        </w:rPr>
        <w:t xml:space="preserve">), </w:t>
      </w:r>
      <w:r w:rsidRPr="008E6CD0">
        <w:rPr>
          <w:rFonts w:cstheme="minorHAnsi"/>
          <w:i/>
          <w:sz w:val="20"/>
          <w:szCs w:val="20"/>
          <w:lang w:val="en-GB"/>
        </w:rPr>
        <w:t xml:space="preserve">The Changing Nature and Role of Vocational Training and Education in Europe </w:t>
      </w:r>
      <w:proofErr w:type="gramStart"/>
      <w:r w:rsidRPr="008E6CD0">
        <w:rPr>
          <w:rFonts w:cstheme="minorHAnsi"/>
          <w:i/>
          <w:sz w:val="20"/>
          <w:szCs w:val="20"/>
          <w:lang w:val="en-GB"/>
        </w:rPr>
        <w:t>( Work</w:t>
      </w:r>
      <w:proofErr w:type="gramEnd"/>
      <w:r w:rsidRPr="008E6CD0">
        <w:rPr>
          <w:rFonts w:cstheme="minorHAnsi"/>
          <w:i/>
          <w:sz w:val="20"/>
          <w:szCs w:val="20"/>
          <w:lang w:val="en-GB"/>
        </w:rPr>
        <w:t xml:space="preserve"> Assignment 2, Case Study focusing on Italy, by Simone </w:t>
      </w:r>
      <w:proofErr w:type="spellStart"/>
      <w:r w:rsidRPr="008E6CD0">
        <w:rPr>
          <w:rFonts w:cstheme="minorHAnsi"/>
          <w:i/>
          <w:sz w:val="20"/>
          <w:szCs w:val="20"/>
          <w:lang w:val="en-GB"/>
        </w:rPr>
        <w:t>Rosini</w:t>
      </w:r>
      <w:proofErr w:type="spellEnd"/>
      <w:r w:rsidRPr="008E6CD0">
        <w:rPr>
          <w:rFonts w:cstheme="minorHAnsi"/>
          <w:i/>
          <w:sz w:val="20"/>
          <w:szCs w:val="20"/>
          <w:lang w:val="en-GB"/>
        </w:rPr>
        <w:t xml:space="preserve"> and Alberto </w:t>
      </w:r>
      <w:proofErr w:type="spellStart"/>
      <w:r w:rsidRPr="008E6CD0">
        <w:rPr>
          <w:rFonts w:cstheme="minorHAnsi"/>
          <w:i/>
          <w:sz w:val="20"/>
          <w:szCs w:val="20"/>
          <w:lang w:val="en-GB"/>
        </w:rPr>
        <w:t>Vergani</w:t>
      </w:r>
      <w:proofErr w:type="spellEnd"/>
      <w:r w:rsidRPr="008E6CD0">
        <w:rPr>
          <w:rFonts w:cstheme="minorHAnsi"/>
          <w:i/>
          <w:sz w:val="20"/>
          <w:szCs w:val="20"/>
          <w:lang w:val="en-GB"/>
        </w:rPr>
        <w:t>)</w:t>
      </w:r>
      <w:r w:rsidRPr="008E6CD0">
        <w:rPr>
          <w:rFonts w:cstheme="minorHAnsi"/>
          <w:sz w:val="20"/>
          <w:szCs w:val="20"/>
          <w:lang w:val="en-GB"/>
        </w:rPr>
        <w:t xml:space="preserve">, </w:t>
      </w:r>
      <w:hyperlink r:id="rId9" w:history="1">
        <w:r w:rsidRPr="008E6CD0">
          <w:rPr>
            <w:rStyle w:val="Lienhypertexte"/>
            <w:rFonts w:cstheme="minorHAnsi"/>
            <w:sz w:val="20"/>
            <w:szCs w:val="20"/>
            <w:lang w:val="en-GB"/>
          </w:rPr>
          <w:t>www.cedefop.europa.eu</w:t>
        </w:r>
      </w:hyperlink>
    </w:p>
    <w:p w:rsidR="002712F6" w:rsidRPr="008E6CD0" w:rsidRDefault="002712F6" w:rsidP="002712F6">
      <w:pPr>
        <w:autoSpaceDE w:val="0"/>
        <w:autoSpaceDN w:val="0"/>
        <w:adjustRightInd w:val="0"/>
        <w:spacing w:after="0"/>
        <w:ind w:left="284" w:hanging="284"/>
        <w:rPr>
          <w:rFonts w:cstheme="minorHAnsi"/>
          <w:sz w:val="20"/>
          <w:szCs w:val="20"/>
          <w:lang w:val="en-GB"/>
        </w:rPr>
      </w:pPr>
      <w:proofErr w:type="spellStart"/>
      <w:r w:rsidRPr="008E6CD0">
        <w:rPr>
          <w:rFonts w:cstheme="minorHAnsi"/>
          <w:sz w:val="20"/>
          <w:szCs w:val="20"/>
          <w:lang w:val="en-GB"/>
        </w:rPr>
        <w:lastRenderedPageBreak/>
        <w:t>Cedefop</w:t>
      </w:r>
      <w:proofErr w:type="spellEnd"/>
      <w:r w:rsidRPr="008E6CD0">
        <w:rPr>
          <w:rFonts w:cstheme="minorHAnsi"/>
          <w:sz w:val="20"/>
          <w:szCs w:val="20"/>
          <w:lang w:val="en-GB"/>
        </w:rPr>
        <w:t xml:space="preserve"> (2018</w:t>
      </w:r>
      <w:r w:rsidR="007E2716" w:rsidRPr="008E6CD0">
        <w:rPr>
          <w:rFonts w:cstheme="minorHAnsi"/>
          <w:sz w:val="20"/>
          <w:szCs w:val="20"/>
          <w:lang w:val="en-GB"/>
        </w:rPr>
        <w:t>, b</w:t>
      </w:r>
      <w:r w:rsidRPr="008E6CD0">
        <w:rPr>
          <w:rFonts w:cstheme="minorHAnsi"/>
          <w:sz w:val="20"/>
          <w:szCs w:val="20"/>
          <w:lang w:val="en-GB"/>
        </w:rPr>
        <w:t xml:space="preserve">), </w:t>
      </w:r>
      <w:r w:rsidRPr="008E6CD0">
        <w:rPr>
          <w:rFonts w:cstheme="minorHAnsi"/>
          <w:i/>
          <w:sz w:val="20"/>
          <w:szCs w:val="20"/>
          <w:lang w:val="en-GB"/>
        </w:rPr>
        <w:t>Developments in Vocational Education and Training Policies in 2015-2017: Italy</w:t>
      </w:r>
      <w:r w:rsidRPr="008E6CD0">
        <w:rPr>
          <w:rFonts w:cstheme="minorHAnsi"/>
          <w:sz w:val="20"/>
          <w:szCs w:val="20"/>
          <w:lang w:val="en-GB"/>
        </w:rPr>
        <w:t>, www.cedefop.europa.eu/en/publications-and-resources/country-reports/vetpolicy-developments-italy-2017</w:t>
      </w:r>
    </w:p>
    <w:p w:rsidR="000936D0" w:rsidRPr="008E6CD0" w:rsidRDefault="000936D0" w:rsidP="000E1733">
      <w:pPr>
        <w:autoSpaceDE w:val="0"/>
        <w:autoSpaceDN w:val="0"/>
        <w:adjustRightInd w:val="0"/>
        <w:spacing w:after="0"/>
        <w:ind w:left="284" w:hanging="284"/>
        <w:rPr>
          <w:rFonts w:cstheme="minorHAnsi"/>
          <w:sz w:val="20"/>
          <w:szCs w:val="20"/>
          <w:lang w:val="en-GB"/>
        </w:rPr>
      </w:pPr>
      <w:proofErr w:type="spellStart"/>
      <w:r w:rsidRPr="008E6CD0">
        <w:rPr>
          <w:rFonts w:cstheme="minorHAnsi"/>
          <w:sz w:val="20"/>
          <w:szCs w:val="20"/>
          <w:lang w:val="en-GB"/>
        </w:rPr>
        <w:t>Celi</w:t>
      </w:r>
      <w:proofErr w:type="spellEnd"/>
      <w:r w:rsidRPr="008E6CD0">
        <w:rPr>
          <w:rFonts w:cstheme="minorHAnsi"/>
          <w:sz w:val="20"/>
          <w:szCs w:val="20"/>
          <w:lang w:val="en-GB"/>
        </w:rPr>
        <w:t xml:space="preserve"> </w:t>
      </w:r>
      <w:r w:rsidR="00013E54" w:rsidRPr="008E6CD0">
        <w:rPr>
          <w:rFonts w:cstheme="minorHAnsi"/>
          <w:sz w:val="20"/>
          <w:szCs w:val="20"/>
          <w:lang w:val="en-GB"/>
        </w:rPr>
        <w:t xml:space="preserve">G., </w:t>
      </w:r>
      <w:r w:rsidRPr="008E6CD0">
        <w:rPr>
          <w:rFonts w:cstheme="minorHAnsi"/>
          <w:sz w:val="20"/>
          <w:szCs w:val="20"/>
          <w:lang w:val="en-GB"/>
        </w:rPr>
        <w:t>Testa</w:t>
      </w:r>
      <w:r w:rsidR="00013E54" w:rsidRPr="008E6CD0">
        <w:rPr>
          <w:rFonts w:cstheme="minorHAnsi"/>
          <w:sz w:val="20"/>
          <w:szCs w:val="20"/>
          <w:lang w:val="en-GB"/>
        </w:rPr>
        <w:t xml:space="preserve"> G. (</w:t>
      </w:r>
      <w:proofErr w:type="gramStart"/>
      <w:r w:rsidRPr="008E6CD0">
        <w:rPr>
          <w:rFonts w:cstheme="minorHAnsi"/>
          <w:sz w:val="20"/>
          <w:szCs w:val="20"/>
          <w:lang w:val="en-GB"/>
        </w:rPr>
        <w:t>2016</w:t>
      </w:r>
      <w:r w:rsidR="00013E54" w:rsidRPr="008E6CD0">
        <w:rPr>
          <w:rFonts w:cstheme="minorHAnsi"/>
          <w:sz w:val="20"/>
          <w:szCs w:val="20"/>
          <w:lang w:val="en-GB"/>
        </w:rPr>
        <w:t>,</w:t>
      </w:r>
      <w:r w:rsidRPr="008E6CD0">
        <w:rPr>
          <w:rFonts w:cstheme="minorHAnsi"/>
          <w:sz w:val="20"/>
          <w:szCs w:val="20"/>
          <w:lang w:val="en-GB"/>
        </w:rPr>
        <w:t>a</w:t>
      </w:r>
      <w:proofErr w:type="gramEnd"/>
      <w:r w:rsidRPr="008E6CD0">
        <w:rPr>
          <w:rFonts w:cstheme="minorHAnsi"/>
          <w:sz w:val="20"/>
          <w:szCs w:val="20"/>
          <w:lang w:val="en-GB"/>
        </w:rPr>
        <w:t>)</w:t>
      </w:r>
      <w:r w:rsidR="00013E54" w:rsidRPr="008E6CD0">
        <w:rPr>
          <w:rFonts w:cstheme="minorHAnsi"/>
          <w:sz w:val="20"/>
          <w:szCs w:val="20"/>
          <w:lang w:val="en-GB"/>
        </w:rPr>
        <w:t>, Globalisation and Labour Mobility in Italy, occasional unpublished paper, Universit</w:t>
      </w:r>
      <w:r w:rsidR="005A19A9" w:rsidRPr="008E6CD0">
        <w:rPr>
          <w:rFonts w:cstheme="minorHAnsi"/>
          <w:sz w:val="20"/>
          <w:szCs w:val="20"/>
          <w:lang w:val="en-GB"/>
        </w:rPr>
        <w:t>y</w:t>
      </w:r>
      <w:r w:rsidR="00013E54" w:rsidRPr="008E6CD0">
        <w:rPr>
          <w:rFonts w:cstheme="minorHAnsi"/>
          <w:sz w:val="20"/>
          <w:szCs w:val="20"/>
          <w:lang w:val="en-GB"/>
        </w:rPr>
        <w:t xml:space="preserve"> </w:t>
      </w:r>
      <w:r w:rsidR="005A19A9" w:rsidRPr="008E6CD0">
        <w:rPr>
          <w:rFonts w:cstheme="minorHAnsi"/>
          <w:sz w:val="20"/>
          <w:szCs w:val="20"/>
          <w:lang w:val="en-GB"/>
        </w:rPr>
        <w:t xml:space="preserve">of </w:t>
      </w:r>
      <w:r w:rsidR="00013E54" w:rsidRPr="008E6CD0">
        <w:rPr>
          <w:rFonts w:cstheme="minorHAnsi"/>
          <w:sz w:val="20"/>
          <w:szCs w:val="20"/>
          <w:lang w:val="en-GB"/>
        </w:rPr>
        <w:t xml:space="preserve">Foggia, Foggia </w:t>
      </w:r>
    </w:p>
    <w:p w:rsidR="000936D0" w:rsidRPr="008E6CD0" w:rsidRDefault="000936D0" w:rsidP="000E1733">
      <w:pPr>
        <w:autoSpaceDE w:val="0"/>
        <w:autoSpaceDN w:val="0"/>
        <w:adjustRightInd w:val="0"/>
        <w:spacing w:after="0"/>
        <w:ind w:left="284" w:hanging="284"/>
        <w:rPr>
          <w:rFonts w:cstheme="minorHAnsi"/>
          <w:sz w:val="20"/>
          <w:szCs w:val="20"/>
          <w:lang w:val="en-GB"/>
        </w:rPr>
      </w:pPr>
      <w:proofErr w:type="spellStart"/>
      <w:r w:rsidRPr="008E6CD0">
        <w:rPr>
          <w:rFonts w:cstheme="minorHAnsi"/>
          <w:sz w:val="20"/>
          <w:szCs w:val="20"/>
          <w:lang w:val="en-GB"/>
        </w:rPr>
        <w:t>Celi</w:t>
      </w:r>
      <w:proofErr w:type="spellEnd"/>
      <w:r w:rsidRPr="008E6CD0">
        <w:rPr>
          <w:rFonts w:cstheme="minorHAnsi"/>
          <w:sz w:val="20"/>
          <w:szCs w:val="20"/>
          <w:lang w:val="en-GB"/>
        </w:rPr>
        <w:t xml:space="preserve"> </w:t>
      </w:r>
      <w:r w:rsidR="00013E54" w:rsidRPr="008E6CD0">
        <w:rPr>
          <w:rFonts w:cstheme="minorHAnsi"/>
          <w:sz w:val="20"/>
          <w:szCs w:val="20"/>
          <w:lang w:val="en-GB"/>
        </w:rPr>
        <w:t xml:space="preserve">G., </w:t>
      </w:r>
      <w:r w:rsidRPr="008E6CD0">
        <w:rPr>
          <w:rFonts w:cstheme="minorHAnsi"/>
          <w:sz w:val="20"/>
          <w:szCs w:val="20"/>
          <w:lang w:val="en-GB"/>
        </w:rPr>
        <w:t xml:space="preserve">Testa </w:t>
      </w:r>
      <w:r w:rsidR="00013E54" w:rsidRPr="008E6CD0">
        <w:rPr>
          <w:rFonts w:cstheme="minorHAnsi"/>
          <w:sz w:val="20"/>
          <w:szCs w:val="20"/>
          <w:lang w:val="en-GB"/>
        </w:rPr>
        <w:t xml:space="preserve">G. </w:t>
      </w:r>
      <w:r w:rsidRPr="008E6CD0">
        <w:rPr>
          <w:rFonts w:cstheme="minorHAnsi"/>
          <w:sz w:val="20"/>
          <w:szCs w:val="20"/>
          <w:lang w:val="en-GB"/>
        </w:rPr>
        <w:t>(</w:t>
      </w:r>
      <w:proofErr w:type="gramStart"/>
      <w:r w:rsidRPr="008E6CD0">
        <w:rPr>
          <w:rFonts w:cstheme="minorHAnsi"/>
          <w:sz w:val="20"/>
          <w:szCs w:val="20"/>
          <w:lang w:val="en-GB"/>
        </w:rPr>
        <w:t>2016</w:t>
      </w:r>
      <w:r w:rsidR="00013E54" w:rsidRPr="008E6CD0">
        <w:rPr>
          <w:rFonts w:cstheme="minorHAnsi"/>
          <w:sz w:val="20"/>
          <w:szCs w:val="20"/>
          <w:lang w:val="en-GB"/>
        </w:rPr>
        <w:t>,</w:t>
      </w:r>
      <w:r w:rsidRPr="008E6CD0">
        <w:rPr>
          <w:rFonts w:cstheme="minorHAnsi"/>
          <w:sz w:val="20"/>
          <w:szCs w:val="20"/>
          <w:lang w:val="en-GB"/>
        </w:rPr>
        <w:t>b</w:t>
      </w:r>
      <w:proofErr w:type="gramEnd"/>
      <w:r w:rsidRPr="008E6CD0">
        <w:rPr>
          <w:rFonts w:cstheme="minorHAnsi"/>
          <w:sz w:val="20"/>
          <w:szCs w:val="20"/>
          <w:lang w:val="en-GB"/>
        </w:rPr>
        <w:t>)</w:t>
      </w:r>
      <w:r w:rsidR="00013E54" w:rsidRPr="008E6CD0">
        <w:rPr>
          <w:rFonts w:cstheme="minorHAnsi"/>
          <w:sz w:val="20"/>
          <w:szCs w:val="20"/>
          <w:lang w:val="en-GB"/>
        </w:rPr>
        <w:t xml:space="preserve">, The Effects of Globalisation on Regional Migration in Italy, Working paper n. 85, University of Sussex, Brighton </w:t>
      </w:r>
      <w:r w:rsidR="005A19A9" w:rsidRPr="008E6CD0">
        <w:rPr>
          <w:rFonts w:cstheme="minorHAnsi"/>
          <w:sz w:val="20"/>
          <w:szCs w:val="20"/>
          <w:lang w:val="en-GB"/>
        </w:rPr>
        <w:t>(UK)</w:t>
      </w:r>
    </w:p>
    <w:p w:rsidR="00DC44FC" w:rsidRPr="008E6CD0" w:rsidRDefault="000936D0" w:rsidP="000E1733">
      <w:pPr>
        <w:autoSpaceDE w:val="0"/>
        <w:autoSpaceDN w:val="0"/>
        <w:adjustRightInd w:val="0"/>
        <w:spacing w:after="0"/>
        <w:ind w:left="284" w:hanging="284"/>
        <w:rPr>
          <w:rFonts w:cstheme="minorHAnsi"/>
          <w:sz w:val="20"/>
          <w:szCs w:val="20"/>
        </w:rPr>
      </w:pPr>
      <w:r w:rsidRPr="008E6CD0">
        <w:rPr>
          <w:rFonts w:cstheme="minorHAnsi"/>
          <w:sz w:val="20"/>
          <w:szCs w:val="20"/>
        </w:rPr>
        <w:t xml:space="preserve">Dan </w:t>
      </w:r>
      <w:r w:rsidR="00013E54" w:rsidRPr="008E6CD0">
        <w:rPr>
          <w:rFonts w:cstheme="minorHAnsi"/>
          <w:sz w:val="20"/>
          <w:szCs w:val="20"/>
        </w:rPr>
        <w:t xml:space="preserve">N., </w:t>
      </w:r>
      <w:proofErr w:type="spellStart"/>
      <w:r w:rsidRPr="008E6CD0">
        <w:rPr>
          <w:rFonts w:cstheme="minorHAnsi"/>
          <w:sz w:val="20"/>
          <w:szCs w:val="20"/>
        </w:rPr>
        <w:t>Fornasin</w:t>
      </w:r>
      <w:proofErr w:type="spellEnd"/>
      <w:r w:rsidRPr="008E6CD0">
        <w:rPr>
          <w:rFonts w:cstheme="minorHAnsi"/>
          <w:sz w:val="20"/>
          <w:szCs w:val="20"/>
        </w:rPr>
        <w:t xml:space="preserve"> </w:t>
      </w:r>
      <w:r w:rsidR="00013E54" w:rsidRPr="008E6CD0">
        <w:rPr>
          <w:rFonts w:cstheme="minorHAnsi"/>
          <w:sz w:val="20"/>
          <w:szCs w:val="20"/>
        </w:rPr>
        <w:t xml:space="preserve">A. </w:t>
      </w:r>
      <w:r w:rsidRPr="008E6CD0">
        <w:rPr>
          <w:rFonts w:cstheme="minorHAnsi"/>
          <w:sz w:val="20"/>
          <w:szCs w:val="20"/>
        </w:rPr>
        <w:t>(2013)</w:t>
      </w:r>
      <w:r w:rsidR="00013E54" w:rsidRPr="008E6CD0">
        <w:rPr>
          <w:rFonts w:cstheme="minorHAnsi"/>
          <w:sz w:val="20"/>
          <w:szCs w:val="20"/>
        </w:rPr>
        <w:t xml:space="preserve">, Una indagine CATI per lo studio della mobilità interna in Italia in un’ottica longitudinale, Università di Udine-Dipartimento di Scienze Statistiche ed Economiche, Quaderno 4-2013, Udine   </w:t>
      </w:r>
      <w:r w:rsidRPr="008E6CD0">
        <w:rPr>
          <w:rFonts w:cstheme="minorHAnsi"/>
          <w:sz w:val="20"/>
          <w:szCs w:val="20"/>
        </w:rPr>
        <w:t xml:space="preserve"> </w:t>
      </w:r>
      <w:r w:rsidR="00DC44FC" w:rsidRPr="008E6CD0">
        <w:rPr>
          <w:rFonts w:cstheme="minorHAnsi"/>
          <w:sz w:val="20"/>
          <w:szCs w:val="20"/>
        </w:rPr>
        <w:t xml:space="preserve"> </w:t>
      </w:r>
    </w:p>
    <w:p w:rsidR="000B5FEB" w:rsidRPr="008E6CD0" w:rsidRDefault="006F0CB6" w:rsidP="000B5FEB">
      <w:pPr>
        <w:autoSpaceDE w:val="0"/>
        <w:autoSpaceDN w:val="0"/>
        <w:adjustRightInd w:val="0"/>
        <w:spacing w:after="0" w:line="240" w:lineRule="auto"/>
        <w:ind w:left="284" w:hanging="284"/>
        <w:rPr>
          <w:rFonts w:cstheme="minorHAnsi"/>
          <w:sz w:val="20"/>
          <w:szCs w:val="20"/>
        </w:rPr>
      </w:pPr>
      <w:r w:rsidRPr="008E6CD0">
        <w:rPr>
          <w:rFonts w:cstheme="minorHAnsi"/>
          <w:sz w:val="20"/>
          <w:szCs w:val="20"/>
        </w:rPr>
        <w:t>Dei Ottati G. (2006)</w:t>
      </w:r>
      <w:r w:rsidR="000E1733" w:rsidRPr="008E6CD0">
        <w:rPr>
          <w:rFonts w:cstheme="minorHAnsi"/>
          <w:sz w:val="20"/>
          <w:szCs w:val="20"/>
        </w:rPr>
        <w:t xml:space="preserve">, </w:t>
      </w:r>
      <w:r w:rsidRPr="008E6CD0">
        <w:rPr>
          <w:rFonts w:cstheme="minorHAnsi"/>
          <w:sz w:val="20"/>
          <w:szCs w:val="20"/>
        </w:rPr>
        <w:t>L’effetto distretto: alcuni aspetti concettuali</w:t>
      </w:r>
      <w:r w:rsidR="000E1733" w:rsidRPr="008E6CD0">
        <w:rPr>
          <w:rFonts w:cstheme="minorHAnsi"/>
          <w:sz w:val="20"/>
          <w:szCs w:val="20"/>
        </w:rPr>
        <w:t xml:space="preserve">, </w:t>
      </w:r>
      <w:r w:rsidR="005A19A9" w:rsidRPr="008E6CD0">
        <w:rPr>
          <w:rFonts w:cstheme="minorHAnsi"/>
          <w:sz w:val="20"/>
          <w:szCs w:val="20"/>
        </w:rPr>
        <w:t xml:space="preserve">in: </w:t>
      </w:r>
      <w:r w:rsidRPr="008E6CD0">
        <w:rPr>
          <w:rFonts w:cstheme="minorHAnsi"/>
          <w:i/>
          <w:iCs/>
          <w:sz w:val="20"/>
          <w:szCs w:val="20"/>
        </w:rPr>
        <w:t>Economia Marche</w:t>
      </w:r>
      <w:r w:rsidRPr="008E6CD0">
        <w:rPr>
          <w:rFonts w:cstheme="minorHAnsi"/>
          <w:sz w:val="20"/>
          <w:szCs w:val="20"/>
        </w:rPr>
        <w:t xml:space="preserve">, 25(2), </w:t>
      </w:r>
      <w:r w:rsidR="000B5FEB" w:rsidRPr="008E6CD0">
        <w:rPr>
          <w:rFonts w:cstheme="minorHAnsi"/>
          <w:sz w:val="20"/>
          <w:szCs w:val="20"/>
        </w:rPr>
        <w:t xml:space="preserve">pp. </w:t>
      </w:r>
      <w:r w:rsidRPr="008E6CD0">
        <w:rPr>
          <w:rFonts w:cstheme="minorHAnsi"/>
          <w:sz w:val="20"/>
          <w:szCs w:val="20"/>
        </w:rPr>
        <w:t>69-82</w:t>
      </w:r>
    </w:p>
    <w:p w:rsidR="00AD7E73" w:rsidRPr="008E6CD0" w:rsidRDefault="008D752B" w:rsidP="00AD7E73">
      <w:pPr>
        <w:autoSpaceDE w:val="0"/>
        <w:autoSpaceDN w:val="0"/>
        <w:adjustRightInd w:val="0"/>
        <w:spacing w:after="0"/>
        <w:ind w:left="284" w:hanging="284"/>
        <w:rPr>
          <w:rFonts w:ascii="Calibri" w:eastAsia="Calibri" w:hAnsi="Calibri" w:cs="Times New Roman"/>
          <w:sz w:val="20"/>
          <w:szCs w:val="20"/>
          <w:lang w:val="en-GB"/>
        </w:rPr>
      </w:pPr>
      <w:r w:rsidRPr="008E6CD0">
        <w:rPr>
          <w:rFonts w:cstheme="minorHAnsi"/>
          <w:sz w:val="20"/>
          <w:szCs w:val="20"/>
          <w:lang w:val="en-GB"/>
        </w:rPr>
        <w:t>European Commission (2017)</w:t>
      </w:r>
      <w:r w:rsidR="00AD7E73" w:rsidRPr="008E6CD0">
        <w:rPr>
          <w:rFonts w:cstheme="minorHAnsi"/>
          <w:sz w:val="20"/>
          <w:szCs w:val="20"/>
          <w:lang w:val="en-GB"/>
        </w:rPr>
        <w:t xml:space="preserve"> (</w:t>
      </w:r>
      <w:proofErr w:type="spellStart"/>
      <w:r w:rsidR="00AD7E73" w:rsidRPr="008E6CD0">
        <w:rPr>
          <w:rFonts w:cstheme="minorHAnsi"/>
          <w:sz w:val="20"/>
          <w:szCs w:val="20"/>
          <w:lang w:val="en-GB"/>
        </w:rPr>
        <w:t>Pinelli</w:t>
      </w:r>
      <w:proofErr w:type="spellEnd"/>
      <w:r w:rsidR="00AD7E73" w:rsidRPr="008E6CD0">
        <w:rPr>
          <w:rFonts w:cstheme="minorHAnsi"/>
          <w:sz w:val="20"/>
          <w:szCs w:val="20"/>
          <w:lang w:val="en-GB"/>
        </w:rPr>
        <w:t xml:space="preserve">, Torre, Pace, Cassio and </w:t>
      </w:r>
      <w:proofErr w:type="spellStart"/>
      <w:r w:rsidR="00AD7E73" w:rsidRPr="008E6CD0">
        <w:rPr>
          <w:rFonts w:cstheme="minorHAnsi"/>
          <w:sz w:val="20"/>
          <w:szCs w:val="20"/>
          <w:lang w:val="en-GB"/>
        </w:rPr>
        <w:t>Arpaia</w:t>
      </w:r>
      <w:proofErr w:type="spellEnd"/>
      <w:r w:rsidR="00AD7E73" w:rsidRPr="008E6CD0">
        <w:rPr>
          <w:rFonts w:cstheme="minorHAnsi"/>
          <w:sz w:val="20"/>
          <w:szCs w:val="20"/>
          <w:lang w:val="en-GB"/>
        </w:rPr>
        <w:t xml:space="preserve">), </w:t>
      </w:r>
      <w:r w:rsidR="00AD7E73" w:rsidRPr="008E6CD0">
        <w:rPr>
          <w:rFonts w:cstheme="minorHAnsi"/>
          <w:i/>
          <w:sz w:val="20"/>
          <w:szCs w:val="20"/>
          <w:lang w:val="en-GB"/>
        </w:rPr>
        <w:t xml:space="preserve">The Recent Reform of Labour Market in Italy: </w:t>
      </w:r>
      <w:proofErr w:type="gramStart"/>
      <w:r w:rsidR="00AD7E73" w:rsidRPr="008E6CD0">
        <w:rPr>
          <w:rFonts w:cstheme="minorHAnsi"/>
          <w:i/>
          <w:sz w:val="20"/>
          <w:szCs w:val="20"/>
          <w:lang w:val="en-GB"/>
        </w:rPr>
        <w:t>a</w:t>
      </w:r>
      <w:proofErr w:type="gramEnd"/>
      <w:r w:rsidR="00AD7E73" w:rsidRPr="008E6CD0">
        <w:rPr>
          <w:rFonts w:cstheme="minorHAnsi"/>
          <w:i/>
          <w:sz w:val="20"/>
          <w:szCs w:val="20"/>
          <w:lang w:val="en-GB"/>
        </w:rPr>
        <w:t xml:space="preserve"> Review</w:t>
      </w:r>
      <w:r w:rsidR="00AD7E73" w:rsidRPr="008E6CD0">
        <w:rPr>
          <w:rFonts w:cstheme="minorHAnsi"/>
          <w:sz w:val="20"/>
          <w:szCs w:val="20"/>
          <w:lang w:val="en-GB"/>
        </w:rPr>
        <w:t>, EC Discussion Paper 072, D</w:t>
      </w:r>
      <w:r w:rsidR="005A19A9" w:rsidRPr="008E6CD0">
        <w:rPr>
          <w:rFonts w:cstheme="minorHAnsi"/>
          <w:sz w:val="20"/>
          <w:szCs w:val="20"/>
          <w:lang w:val="en-GB"/>
        </w:rPr>
        <w:t>e</w:t>
      </w:r>
      <w:r w:rsidR="00AD7E73" w:rsidRPr="008E6CD0">
        <w:rPr>
          <w:rFonts w:cstheme="minorHAnsi"/>
          <w:sz w:val="20"/>
          <w:szCs w:val="20"/>
          <w:lang w:val="en-GB"/>
        </w:rPr>
        <w:t>cembe</w:t>
      </w:r>
      <w:r w:rsidR="005A19A9" w:rsidRPr="008E6CD0">
        <w:rPr>
          <w:rFonts w:cstheme="minorHAnsi"/>
          <w:sz w:val="20"/>
          <w:szCs w:val="20"/>
          <w:lang w:val="en-GB"/>
        </w:rPr>
        <w:t>r</w:t>
      </w:r>
      <w:r w:rsidR="00AD7E73" w:rsidRPr="008E6CD0">
        <w:rPr>
          <w:rFonts w:cstheme="minorHAnsi"/>
          <w:sz w:val="20"/>
          <w:szCs w:val="20"/>
          <w:lang w:val="en-GB"/>
        </w:rPr>
        <w:t xml:space="preserve"> 2017, </w:t>
      </w:r>
      <w:r w:rsidR="00AD7E73" w:rsidRPr="008E6CD0">
        <w:rPr>
          <w:rFonts w:ascii="Calibri" w:eastAsia="Calibri" w:hAnsi="Calibri" w:cs="Times New Roman"/>
          <w:sz w:val="20"/>
          <w:szCs w:val="20"/>
          <w:lang w:val="en-GB"/>
        </w:rPr>
        <w:t>European Union Publications Office, Luxembourg</w:t>
      </w:r>
    </w:p>
    <w:p w:rsidR="004E0700" w:rsidRPr="008E6CD0" w:rsidRDefault="004E0700" w:rsidP="00AD7E73">
      <w:pPr>
        <w:autoSpaceDE w:val="0"/>
        <w:autoSpaceDN w:val="0"/>
        <w:adjustRightInd w:val="0"/>
        <w:spacing w:after="0"/>
        <w:ind w:left="284" w:hanging="284"/>
        <w:rPr>
          <w:rFonts w:ascii="Calibri" w:eastAsia="Calibri" w:hAnsi="Calibri" w:cs="Times New Roman"/>
          <w:sz w:val="20"/>
          <w:szCs w:val="20"/>
          <w:lang w:val="en-GB"/>
        </w:rPr>
      </w:pPr>
      <w:r w:rsidRPr="008E6CD0">
        <w:rPr>
          <w:sz w:val="20"/>
          <w:szCs w:val="20"/>
          <w:lang w:val="en-GB"/>
        </w:rPr>
        <w:t xml:space="preserve">European Commission (2018), 2017 </w:t>
      </w:r>
      <w:r w:rsidRPr="008E6CD0">
        <w:rPr>
          <w:i/>
          <w:sz w:val="20"/>
          <w:szCs w:val="20"/>
          <w:lang w:val="en-GB"/>
        </w:rPr>
        <w:t>Annual Report on Intra-EU labour mobility</w:t>
      </w:r>
      <w:r w:rsidRPr="008E6CD0">
        <w:rPr>
          <w:sz w:val="20"/>
          <w:szCs w:val="20"/>
          <w:lang w:val="en-GB"/>
        </w:rPr>
        <w:t xml:space="preserve">, final report, January 2018, </w:t>
      </w:r>
      <w:r w:rsidRPr="008E6CD0">
        <w:rPr>
          <w:rFonts w:ascii="Calibri" w:eastAsia="Calibri" w:hAnsi="Calibri" w:cs="Times New Roman"/>
          <w:sz w:val="20"/>
          <w:szCs w:val="20"/>
          <w:lang w:val="en-GB"/>
        </w:rPr>
        <w:t>European Union Publications Office, Luxembourg</w:t>
      </w:r>
    </w:p>
    <w:p w:rsidR="00CE7666" w:rsidRPr="008E6CD0" w:rsidRDefault="00CE7666" w:rsidP="000E1733">
      <w:pPr>
        <w:autoSpaceDE w:val="0"/>
        <w:autoSpaceDN w:val="0"/>
        <w:adjustRightInd w:val="0"/>
        <w:spacing w:after="0"/>
        <w:ind w:left="284" w:hanging="284"/>
        <w:rPr>
          <w:rFonts w:ascii="Calibri" w:eastAsia="Calibri" w:hAnsi="Calibri" w:cs="Times New Roman"/>
          <w:sz w:val="20"/>
          <w:szCs w:val="20"/>
          <w:lang w:val="en-GB"/>
        </w:rPr>
      </w:pPr>
      <w:r w:rsidRPr="008E6CD0">
        <w:rPr>
          <w:rFonts w:cstheme="minorHAnsi"/>
          <w:sz w:val="20"/>
          <w:szCs w:val="20"/>
          <w:lang w:val="en-GB"/>
        </w:rPr>
        <w:t xml:space="preserve">INAPP </w:t>
      </w:r>
      <w:r w:rsidR="00653C3E" w:rsidRPr="008E6CD0">
        <w:rPr>
          <w:rFonts w:cstheme="minorHAnsi"/>
          <w:sz w:val="20"/>
          <w:szCs w:val="20"/>
          <w:lang w:val="en-GB"/>
        </w:rPr>
        <w:t>and other</w:t>
      </w:r>
      <w:r w:rsidRPr="008E6CD0">
        <w:rPr>
          <w:rFonts w:cstheme="minorHAnsi"/>
          <w:sz w:val="20"/>
          <w:szCs w:val="20"/>
          <w:lang w:val="en-GB"/>
        </w:rPr>
        <w:t xml:space="preserve"> (2016)</w:t>
      </w:r>
      <w:r w:rsidR="000E1733" w:rsidRPr="008E6CD0">
        <w:rPr>
          <w:rFonts w:cstheme="minorHAnsi"/>
          <w:sz w:val="20"/>
          <w:szCs w:val="20"/>
          <w:lang w:val="en-GB"/>
        </w:rPr>
        <w:t xml:space="preserve">, </w:t>
      </w:r>
      <w:r w:rsidRPr="008E6CD0">
        <w:rPr>
          <w:rFonts w:cstheme="minorHAnsi"/>
          <w:i/>
          <w:iCs/>
          <w:sz w:val="20"/>
          <w:szCs w:val="20"/>
          <w:lang w:val="en-GB"/>
        </w:rPr>
        <w:t>Vocational education</w:t>
      </w:r>
      <w:r w:rsidR="000E1733" w:rsidRPr="008E6CD0">
        <w:rPr>
          <w:rFonts w:cstheme="minorHAnsi"/>
          <w:i/>
          <w:iCs/>
          <w:sz w:val="20"/>
          <w:szCs w:val="20"/>
          <w:lang w:val="en-GB"/>
        </w:rPr>
        <w:t xml:space="preserve"> and training in Europe – Italy, </w:t>
      </w:r>
      <w:proofErr w:type="spellStart"/>
      <w:r w:rsidRPr="008E6CD0">
        <w:rPr>
          <w:rFonts w:cstheme="minorHAnsi"/>
          <w:sz w:val="20"/>
          <w:szCs w:val="20"/>
          <w:lang w:val="en-GB"/>
        </w:rPr>
        <w:t>Cedefop</w:t>
      </w:r>
      <w:proofErr w:type="spellEnd"/>
      <w:r w:rsidR="000E1733" w:rsidRPr="008E6CD0">
        <w:rPr>
          <w:rFonts w:cstheme="minorHAnsi"/>
          <w:sz w:val="20"/>
          <w:szCs w:val="20"/>
          <w:lang w:val="en-GB"/>
        </w:rPr>
        <w:t xml:space="preserve">, </w:t>
      </w:r>
      <w:r w:rsidR="000E1733" w:rsidRPr="008E6CD0">
        <w:rPr>
          <w:rFonts w:ascii="Calibri" w:eastAsia="Calibri" w:hAnsi="Calibri" w:cs="Times New Roman"/>
          <w:sz w:val="20"/>
          <w:szCs w:val="20"/>
          <w:lang w:val="en-GB"/>
        </w:rPr>
        <w:t>European Union Publications Office, Luxembourg</w:t>
      </w:r>
    </w:p>
    <w:p w:rsidR="008D752B" w:rsidRPr="008E6CD0" w:rsidRDefault="008D752B" w:rsidP="000E1733">
      <w:pPr>
        <w:autoSpaceDE w:val="0"/>
        <w:autoSpaceDN w:val="0"/>
        <w:adjustRightInd w:val="0"/>
        <w:spacing w:after="0"/>
        <w:ind w:left="284" w:hanging="284"/>
        <w:rPr>
          <w:rFonts w:cstheme="minorHAnsi"/>
          <w:sz w:val="20"/>
          <w:szCs w:val="20"/>
        </w:rPr>
      </w:pPr>
      <w:r w:rsidRPr="008E6CD0">
        <w:rPr>
          <w:rFonts w:cstheme="minorHAnsi"/>
          <w:sz w:val="20"/>
          <w:szCs w:val="20"/>
        </w:rPr>
        <w:t xml:space="preserve">INAPP </w:t>
      </w:r>
      <w:r w:rsidR="00653C3E" w:rsidRPr="008E6CD0">
        <w:rPr>
          <w:rFonts w:cstheme="minorHAnsi"/>
          <w:sz w:val="20"/>
          <w:szCs w:val="20"/>
        </w:rPr>
        <w:t xml:space="preserve">and </w:t>
      </w:r>
      <w:proofErr w:type="spellStart"/>
      <w:r w:rsidR="00653C3E" w:rsidRPr="008E6CD0">
        <w:rPr>
          <w:rFonts w:cstheme="minorHAnsi"/>
          <w:sz w:val="20"/>
          <w:szCs w:val="20"/>
        </w:rPr>
        <w:t>other</w:t>
      </w:r>
      <w:proofErr w:type="spellEnd"/>
      <w:r w:rsidR="00653C3E" w:rsidRPr="008E6CD0">
        <w:rPr>
          <w:rFonts w:cstheme="minorHAnsi"/>
          <w:sz w:val="20"/>
          <w:szCs w:val="20"/>
        </w:rPr>
        <w:t xml:space="preserve"> </w:t>
      </w:r>
      <w:r w:rsidRPr="008E6CD0">
        <w:rPr>
          <w:rFonts w:cstheme="minorHAnsi"/>
          <w:sz w:val="20"/>
          <w:szCs w:val="20"/>
        </w:rPr>
        <w:t>(2018, a)</w:t>
      </w:r>
      <w:r w:rsidR="00653C3E" w:rsidRPr="008E6CD0">
        <w:rPr>
          <w:rFonts w:cstheme="minorHAnsi"/>
          <w:sz w:val="20"/>
          <w:szCs w:val="20"/>
        </w:rPr>
        <w:t>, XVII Rapporto di monitoraggio sull’apprendistato, INAPP Publications, Rome</w:t>
      </w:r>
    </w:p>
    <w:p w:rsidR="008D752B" w:rsidRPr="008E6CD0" w:rsidRDefault="008D752B" w:rsidP="000E1733">
      <w:pPr>
        <w:autoSpaceDE w:val="0"/>
        <w:autoSpaceDN w:val="0"/>
        <w:adjustRightInd w:val="0"/>
        <w:spacing w:after="0"/>
        <w:ind w:left="284" w:hanging="284"/>
        <w:rPr>
          <w:rFonts w:ascii="Calibri" w:eastAsia="Calibri" w:hAnsi="Calibri" w:cs="Times New Roman"/>
          <w:sz w:val="20"/>
          <w:szCs w:val="20"/>
        </w:rPr>
      </w:pPr>
      <w:r w:rsidRPr="008E6CD0">
        <w:rPr>
          <w:rFonts w:cstheme="minorHAnsi"/>
          <w:sz w:val="20"/>
          <w:szCs w:val="20"/>
        </w:rPr>
        <w:t>INAPP (2018, b)</w:t>
      </w:r>
      <w:r w:rsidR="00653C3E" w:rsidRPr="008E6CD0">
        <w:rPr>
          <w:rFonts w:cstheme="minorHAnsi"/>
          <w:sz w:val="20"/>
          <w:szCs w:val="20"/>
        </w:rPr>
        <w:t xml:space="preserve">, Rapporto Nazionale sul Sistema di </w:t>
      </w:r>
      <w:proofErr w:type="spellStart"/>
      <w:r w:rsidR="00653C3E" w:rsidRPr="008E6CD0">
        <w:rPr>
          <w:rFonts w:cstheme="minorHAnsi"/>
          <w:sz w:val="20"/>
          <w:szCs w:val="20"/>
        </w:rPr>
        <w:t>IeFP</w:t>
      </w:r>
      <w:proofErr w:type="spellEnd"/>
      <w:r w:rsidR="00653C3E" w:rsidRPr="008E6CD0">
        <w:rPr>
          <w:rFonts w:cstheme="minorHAnsi"/>
          <w:sz w:val="20"/>
          <w:szCs w:val="20"/>
        </w:rPr>
        <w:t>, INAPP Publications</w:t>
      </w:r>
      <w:r w:rsidR="005A19A9" w:rsidRPr="008E6CD0">
        <w:rPr>
          <w:rFonts w:cstheme="minorHAnsi"/>
          <w:sz w:val="20"/>
          <w:szCs w:val="20"/>
        </w:rPr>
        <w:t>, Rome</w:t>
      </w:r>
    </w:p>
    <w:p w:rsidR="00583445" w:rsidRPr="008E6CD0" w:rsidRDefault="00583445" w:rsidP="00583445">
      <w:pPr>
        <w:spacing w:after="0"/>
        <w:ind w:left="284" w:hanging="284"/>
        <w:rPr>
          <w:rFonts w:cstheme="minorHAnsi"/>
          <w:sz w:val="20"/>
          <w:szCs w:val="20"/>
          <w:lang w:val="en-GB"/>
        </w:rPr>
      </w:pPr>
      <w:r w:rsidRPr="008E6CD0">
        <w:rPr>
          <w:rFonts w:cstheme="minorHAnsi"/>
          <w:sz w:val="20"/>
          <w:szCs w:val="20"/>
          <w:lang w:val="en-GB"/>
        </w:rPr>
        <w:t xml:space="preserve">ISFOL (2014), </w:t>
      </w:r>
      <w:r w:rsidRPr="008E6CD0">
        <w:rPr>
          <w:rFonts w:cstheme="minorHAnsi"/>
          <w:i/>
          <w:sz w:val="20"/>
          <w:szCs w:val="20"/>
          <w:lang w:val="en-GB"/>
        </w:rPr>
        <w:t>The Development of VET System in Italy (VET in Europe Country Report 2013)</w:t>
      </w:r>
      <w:r w:rsidRPr="008E6CD0">
        <w:rPr>
          <w:rFonts w:cstheme="minorHAnsi"/>
          <w:sz w:val="20"/>
          <w:szCs w:val="20"/>
          <w:lang w:val="en-GB"/>
        </w:rPr>
        <w:t xml:space="preserve">, </w:t>
      </w:r>
      <w:proofErr w:type="spellStart"/>
      <w:r w:rsidRPr="008E6CD0">
        <w:rPr>
          <w:rFonts w:cstheme="minorHAnsi"/>
          <w:sz w:val="20"/>
          <w:szCs w:val="20"/>
          <w:lang w:val="en-GB"/>
        </w:rPr>
        <w:t>Isfol</w:t>
      </w:r>
      <w:proofErr w:type="spellEnd"/>
      <w:r w:rsidRPr="008E6CD0">
        <w:rPr>
          <w:rFonts w:cstheme="minorHAnsi"/>
          <w:sz w:val="20"/>
          <w:szCs w:val="20"/>
          <w:lang w:val="en-GB"/>
        </w:rPr>
        <w:t>, Rome</w:t>
      </w:r>
    </w:p>
    <w:p w:rsidR="008D752B" w:rsidRPr="008E6CD0" w:rsidRDefault="008D752B" w:rsidP="000E1733">
      <w:pPr>
        <w:autoSpaceDE w:val="0"/>
        <w:autoSpaceDN w:val="0"/>
        <w:adjustRightInd w:val="0"/>
        <w:spacing w:after="0"/>
        <w:ind w:left="284" w:hanging="284"/>
        <w:rPr>
          <w:rFonts w:ascii="Calibri" w:eastAsia="Calibri" w:hAnsi="Calibri" w:cs="Times New Roman"/>
          <w:sz w:val="20"/>
          <w:szCs w:val="20"/>
        </w:rPr>
      </w:pPr>
      <w:r w:rsidRPr="008E6CD0">
        <w:rPr>
          <w:rFonts w:ascii="Calibri" w:eastAsia="Calibri" w:hAnsi="Calibri" w:cs="Times New Roman"/>
          <w:sz w:val="20"/>
          <w:szCs w:val="20"/>
        </w:rPr>
        <w:t>ISFOL (2016)</w:t>
      </w:r>
      <w:r w:rsidR="00653C3E" w:rsidRPr="008E6CD0">
        <w:rPr>
          <w:rFonts w:ascii="Calibri" w:eastAsia="Calibri" w:hAnsi="Calibri" w:cs="Times New Roman"/>
          <w:sz w:val="20"/>
          <w:szCs w:val="20"/>
        </w:rPr>
        <w:t xml:space="preserve">, Relazione sulla attuazione della legge 845/1978, </w:t>
      </w:r>
      <w:proofErr w:type="spellStart"/>
      <w:r w:rsidR="00653C3E" w:rsidRPr="008E6CD0">
        <w:rPr>
          <w:rFonts w:ascii="Calibri" w:eastAsia="Calibri" w:hAnsi="Calibri" w:cs="Times New Roman"/>
          <w:sz w:val="20"/>
          <w:szCs w:val="20"/>
        </w:rPr>
        <w:t>Isfol</w:t>
      </w:r>
      <w:proofErr w:type="spellEnd"/>
      <w:r w:rsidR="00653C3E" w:rsidRPr="008E6CD0">
        <w:rPr>
          <w:rFonts w:ascii="Calibri" w:eastAsia="Calibri" w:hAnsi="Calibri" w:cs="Times New Roman"/>
          <w:sz w:val="20"/>
          <w:szCs w:val="20"/>
        </w:rPr>
        <w:t xml:space="preserve"> Publications, Rome</w:t>
      </w:r>
      <w:r w:rsidRPr="008E6CD0">
        <w:rPr>
          <w:rFonts w:ascii="Calibri" w:eastAsia="Calibri" w:hAnsi="Calibri" w:cs="Times New Roman"/>
          <w:sz w:val="20"/>
          <w:szCs w:val="20"/>
        </w:rPr>
        <w:t xml:space="preserve"> </w:t>
      </w:r>
    </w:p>
    <w:p w:rsidR="008D752B" w:rsidRPr="008E6CD0" w:rsidRDefault="008D752B" w:rsidP="000E1733">
      <w:pPr>
        <w:autoSpaceDE w:val="0"/>
        <w:autoSpaceDN w:val="0"/>
        <w:adjustRightInd w:val="0"/>
        <w:spacing w:after="0"/>
        <w:ind w:left="284" w:hanging="284"/>
        <w:rPr>
          <w:rFonts w:cstheme="minorHAnsi"/>
          <w:sz w:val="20"/>
          <w:szCs w:val="20"/>
          <w:lang w:val="en-GB"/>
        </w:rPr>
      </w:pPr>
      <w:r w:rsidRPr="008E6CD0">
        <w:rPr>
          <w:rFonts w:cstheme="minorHAnsi"/>
          <w:sz w:val="20"/>
          <w:szCs w:val="20"/>
          <w:lang w:val="en-GB"/>
        </w:rPr>
        <w:t>ISTAT (2018)</w:t>
      </w:r>
      <w:r w:rsidR="00583445" w:rsidRPr="008E6CD0">
        <w:rPr>
          <w:rFonts w:cstheme="minorHAnsi"/>
          <w:sz w:val="20"/>
          <w:szCs w:val="20"/>
          <w:lang w:val="en-GB"/>
        </w:rPr>
        <w:t xml:space="preserve">, Labour Market (First Quarter 2018), ISTAT Flash, </w:t>
      </w:r>
      <w:r w:rsidR="005A19A9" w:rsidRPr="008E6CD0">
        <w:rPr>
          <w:rFonts w:cstheme="minorHAnsi"/>
          <w:sz w:val="20"/>
          <w:szCs w:val="20"/>
          <w:lang w:val="en-GB"/>
        </w:rPr>
        <w:t xml:space="preserve">Rome, </w:t>
      </w:r>
      <w:r w:rsidR="00583445" w:rsidRPr="008E6CD0">
        <w:rPr>
          <w:rFonts w:cstheme="minorHAnsi"/>
          <w:sz w:val="20"/>
          <w:szCs w:val="20"/>
          <w:lang w:val="en-GB"/>
        </w:rPr>
        <w:t>June 2018</w:t>
      </w:r>
      <w:r w:rsidRPr="008E6CD0">
        <w:rPr>
          <w:rFonts w:cstheme="minorHAnsi"/>
          <w:sz w:val="20"/>
          <w:szCs w:val="20"/>
          <w:lang w:val="en-GB"/>
        </w:rPr>
        <w:t xml:space="preserve"> </w:t>
      </w:r>
    </w:p>
    <w:p w:rsidR="00013E54" w:rsidRPr="008E6CD0" w:rsidRDefault="00013E54" w:rsidP="000E1733">
      <w:pPr>
        <w:autoSpaceDE w:val="0"/>
        <w:autoSpaceDN w:val="0"/>
        <w:adjustRightInd w:val="0"/>
        <w:spacing w:after="0"/>
        <w:ind w:left="284" w:hanging="284"/>
        <w:rPr>
          <w:rFonts w:ascii="Calibri" w:eastAsia="Calibri" w:hAnsi="Calibri" w:cs="Times New Roman"/>
          <w:sz w:val="20"/>
          <w:szCs w:val="20"/>
          <w:lang w:val="en-GB"/>
        </w:rPr>
      </w:pPr>
      <w:r w:rsidRPr="008E6CD0">
        <w:rPr>
          <w:rFonts w:cstheme="minorHAnsi"/>
          <w:sz w:val="20"/>
          <w:szCs w:val="20"/>
          <w:lang w:val="en-GB"/>
        </w:rPr>
        <w:t xml:space="preserve">Marino </w:t>
      </w:r>
      <w:r w:rsidR="00583445" w:rsidRPr="008E6CD0">
        <w:rPr>
          <w:rFonts w:cstheme="minorHAnsi"/>
          <w:sz w:val="20"/>
          <w:szCs w:val="20"/>
          <w:lang w:val="en-GB"/>
        </w:rPr>
        <w:t xml:space="preserve">F., </w:t>
      </w:r>
      <w:proofErr w:type="spellStart"/>
      <w:r w:rsidRPr="008E6CD0">
        <w:rPr>
          <w:rFonts w:cstheme="minorHAnsi"/>
          <w:sz w:val="20"/>
          <w:szCs w:val="20"/>
          <w:lang w:val="en-GB"/>
        </w:rPr>
        <w:t>Nunziata</w:t>
      </w:r>
      <w:proofErr w:type="spellEnd"/>
      <w:r w:rsidR="00583445" w:rsidRPr="008E6CD0">
        <w:rPr>
          <w:rFonts w:cstheme="minorHAnsi"/>
          <w:sz w:val="20"/>
          <w:szCs w:val="20"/>
          <w:lang w:val="en-GB"/>
        </w:rPr>
        <w:t xml:space="preserve"> L. (2017), The Labour Market in Italy 2000-2016, IZA World of Labour, IZA, Bonn</w:t>
      </w:r>
      <w:r w:rsidRPr="008E6CD0">
        <w:rPr>
          <w:rFonts w:cstheme="minorHAnsi"/>
          <w:sz w:val="20"/>
          <w:szCs w:val="20"/>
          <w:lang w:val="en-GB"/>
        </w:rPr>
        <w:t xml:space="preserve"> </w:t>
      </w:r>
      <w:r w:rsidR="005A19A9" w:rsidRPr="008E6CD0">
        <w:rPr>
          <w:rFonts w:cstheme="minorHAnsi"/>
          <w:sz w:val="20"/>
          <w:szCs w:val="20"/>
          <w:lang w:val="en-GB"/>
        </w:rPr>
        <w:t>(D)</w:t>
      </w:r>
    </w:p>
    <w:p w:rsidR="005A19A9" w:rsidRPr="008E6CD0" w:rsidRDefault="005A19A9" w:rsidP="005A19A9">
      <w:pPr>
        <w:spacing w:after="0"/>
        <w:ind w:left="284" w:hanging="284"/>
        <w:rPr>
          <w:sz w:val="20"/>
          <w:szCs w:val="20"/>
        </w:rPr>
      </w:pPr>
      <w:proofErr w:type="spellStart"/>
      <w:r w:rsidRPr="008E6CD0">
        <w:rPr>
          <w:rFonts w:ascii="Calibri" w:eastAsia="Calibri" w:hAnsi="Calibri" w:cs="Times New Roman"/>
          <w:sz w:val="20"/>
          <w:szCs w:val="20"/>
        </w:rPr>
        <w:t>Ministry</w:t>
      </w:r>
      <w:proofErr w:type="spellEnd"/>
      <w:r w:rsidRPr="008E6CD0">
        <w:rPr>
          <w:rFonts w:ascii="Calibri" w:eastAsia="Calibri" w:hAnsi="Calibri" w:cs="Times New Roman"/>
          <w:sz w:val="20"/>
          <w:szCs w:val="20"/>
        </w:rPr>
        <w:t xml:space="preserve"> of Labour and Social </w:t>
      </w:r>
      <w:proofErr w:type="spellStart"/>
      <w:r w:rsidRPr="008E6CD0">
        <w:rPr>
          <w:rFonts w:ascii="Calibri" w:eastAsia="Calibri" w:hAnsi="Calibri" w:cs="Times New Roman"/>
          <w:sz w:val="20"/>
          <w:szCs w:val="20"/>
        </w:rPr>
        <w:t>Policies</w:t>
      </w:r>
      <w:proofErr w:type="spellEnd"/>
      <w:r w:rsidRPr="008E6CD0">
        <w:rPr>
          <w:rFonts w:ascii="Calibri" w:eastAsia="Calibri" w:hAnsi="Calibri" w:cs="Times New Roman"/>
          <w:sz w:val="20"/>
          <w:szCs w:val="20"/>
        </w:rPr>
        <w:t xml:space="preserve"> (2017), </w:t>
      </w:r>
      <w:r w:rsidRPr="008E6CD0">
        <w:rPr>
          <w:rFonts w:ascii="Calibri" w:eastAsia="Calibri" w:hAnsi="Calibri" w:cs="Times New Roman"/>
          <w:i/>
          <w:sz w:val="20"/>
          <w:szCs w:val="20"/>
        </w:rPr>
        <w:t>Relazione sulla Formazione Continua in Italia</w:t>
      </w:r>
      <w:r w:rsidRPr="008E6CD0">
        <w:rPr>
          <w:rFonts w:ascii="Calibri" w:eastAsia="Calibri" w:hAnsi="Calibri" w:cs="Times New Roman"/>
          <w:sz w:val="20"/>
          <w:szCs w:val="20"/>
        </w:rPr>
        <w:t xml:space="preserve">, Rome (report </w:t>
      </w:r>
      <w:proofErr w:type="spellStart"/>
      <w:r w:rsidRPr="008E6CD0">
        <w:rPr>
          <w:rFonts w:ascii="Calibri" w:eastAsia="Calibri" w:hAnsi="Calibri" w:cs="Times New Roman"/>
          <w:sz w:val="20"/>
          <w:szCs w:val="20"/>
        </w:rPr>
        <w:t>prepared</w:t>
      </w:r>
      <w:proofErr w:type="spellEnd"/>
      <w:r w:rsidRPr="008E6CD0">
        <w:rPr>
          <w:rFonts w:ascii="Calibri" w:eastAsia="Calibri" w:hAnsi="Calibri" w:cs="Times New Roman"/>
          <w:sz w:val="20"/>
          <w:szCs w:val="20"/>
        </w:rPr>
        <w:t xml:space="preserve"> by INAPP, Rome)</w:t>
      </w:r>
    </w:p>
    <w:p w:rsidR="000936D0" w:rsidRPr="008E6CD0" w:rsidRDefault="000936D0" w:rsidP="000E1733">
      <w:pPr>
        <w:autoSpaceDE w:val="0"/>
        <w:autoSpaceDN w:val="0"/>
        <w:adjustRightInd w:val="0"/>
        <w:spacing w:after="0"/>
        <w:ind w:left="284" w:hanging="284"/>
        <w:rPr>
          <w:rFonts w:cstheme="minorHAnsi"/>
          <w:sz w:val="20"/>
          <w:szCs w:val="20"/>
        </w:rPr>
      </w:pPr>
      <w:proofErr w:type="spellStart"/>
      <w:r w:rsidRPr="008E6CD0">
        <w:rPr>
          <w:rFonts w:cstheme="minorHAnsi"/>
          <w:sz w:val="20"/>
          <w:szCs w:val="20"/>
        </w:rPr>
        <w:t>Mocetti</w:t>
      </w:r>
      <w:proofErr w:type="spellEnd"/>
      <w:r w:rsidRPr="008E6CD0">
        <w:rPr>
          <w:rFonts w:cstheme="minorHAnsi"/>
          <w:sz w:val="20"/>
          <w:szCs w:val="20"/>
        </w:rPr>
        <w:t xml:space="preserve"> </w:t>
      </w:r>
      <w:r w:rsidR="00F94549" w:rsidRPr="008E6CD0">
        <w:rPr>
          <w:rFonts w:cstheme="minorHAnsi"/>
          <w:sz w:val="20"/>
          <w:szCs w:val="20"/>
        </w:rPr>
        <w:t xml:space="preserve">S., </w:t>
      </w:r>
      <w:proofErr w:type="spellStart"/>
      <w:r w:rsidRPr="008E6CD0">
        <w:rPr>
          <w:rFonts w:cstheme="minorHAnsi"/>
          <w:sz w:val="20"/>
          <w:szCs w:val="20"/>
        </w:rPr>
        <w:t>Porello</w:t>
      </w:r>
      <w:proofErr w:type="spellEnd"/>
      <w:r w:rsidRPr="008E6CD0">
        <w:rPr>
          <w:rFonts w:cstheme="minorHAnsi"/>
          <w:sz w:val="20"/>
          <w:szCs w:val="20"/>
        </w:rPr>
        <w:t xml:space="preserve"> </w:t>
      </w:r>
      <w:r w:rsidR="00F94549" w:rsidRPr="008E6CD0">
        <w:rPr>
          <w:rFonts w:cstheme="minorHAnsi"/>
          <w:sz w:val="20"/>
          <w:szCs w:val="20"/>
        </w:rPr>
        <w:t xml:space="preserve">C. </w:t>
      </w:r>
      <w:r w:rsidRPr="008E6CD0">
        <w:rPr>
          <w:rFonts w:cstheme="minorHAnsi"/>
          <w:sz w:val="20"/>
          <w:szCs w:val="20"/>
        </w:rPr>
        <w:t>(2010)</w:t>
      </w:r>
      <w:r w:rsidR="00F94549" w:rsidRPr="008E6CD0">
        <w:rPr>
          <w:rFonts w:cstheme="minorHAnsi"/>
          <w:sz w:val="20"/>
          <w:szCs w:val="20"/>
        </w:rPr>
        <w:t xml:space="preserve">, </w:t>
      </w:r>
      <w:r w:rsidR="00F94549" w:rsidRPr="008E6CD0">
        <w:rPr>
          <w:rFonts w:cstheme="minorHAnsi"/>
          <w:i/>
          <w:sz w:val="20"/>
          <w:szCs w:val="20"/>
        </w:rPr>
        <w:t>La mobilità del lavoro in Italia: nuove evidenze sulle dinamiche migratorie</w:t>
      </w:r>
      <w:r w:rsidR="00F94549" w:rsidRPr="008E6CD0">
        <w:rPr>
          <w:rFonts w:cstheme="minorHAnsi"/>
          <w:sz w:val="20"/>
          <w:szCs w:val="20"/>
        </w:rPr>
        <w:t xml:space="preserve">, Banca d’Italia, Questioni di Economia e Finanza, </w:t>
      </w:r>
      <w:proofErr w:type="spellStart"/>
      <w:r w:rsidR="00F94549" w:rsidRPr="008E6CD0">
        <w:rPr>
          <w:rFonts w:cstheme="minorHAnsi"/>
          <w:sz w:val="20"/>
          <w:szCs w:val="20"/>
        </w:rPr>
        <w:t>Occasional</w:t>
      </w:r>
      <w:proofErr w:type="spellEnd"/>
      <w:r w:rsidR="00F94549" w:rsidRPr="008E6CD0">
        <w:rPr>
          <w:rFonts w:cstheme="minorHAnsi"/>
          <w:sz w:val="20"/>
          <w:szCs w:val="20"/>
        </w:rPr>
        <w:t xml:space="preserve"> </w:t>
      </w:r>
      <w:proofErr w:type="spellStart"/>
      <w:r w:rsidR="00F94549" w:rsidRPr="008E6CD0">
        <w:rPr>
          <w:rFonts w:cstheme="minorHAnsi"/>
          <w:sz w:val="20"/>
          <w:szCs w:val="20"/>
        </w:rPr>
        <w:t>Papers</w:t>
      </w:r>
      <w:proofErr w:type="spellEnd"/>
      <w:r w:rsidR="00F94549" w:rsidRPr="008E6CD0">
        <w:rPr>
          <w:rFonts w:cstheme="minorHAnsi"/>
          <w:sz w:val="20"/>
          <w:szCs w:val="20"/>
        </w:rPr>
        <w:t xml:space="preserve"> n. 61</w:t>
      </w:r>
      <w:r w:rsidR="005A19A9" w:rsidRPr="008E6CD0">
        <w:rPr>
          <w:rFonts w:cstheme="minorHAnsi"/>
          <w:sz w:val="20"/>
          <w:szCs w:val="20"/>
        </w:rPr>
        <w:t>, Rome</w:t>
      </w:r>
      <w:r w:rsidR="00F94549" w:rsidRPr="008E6CD0">
        <w:rPr>
          <w:rFonts w:cstheme="minorHAnsi"/>
          <w:sz w:val="20"/>
          <w:szCs w:val="20"/>
        </w:rPr>
        <w:t xml:space="preserve"> </w:t>
      </w:r>
    </w:p>
    <w:p w:rsidR="008D752B" w:rsidRPr="008E6CD0" w:rsidRDefault="008D752B" w:rsidP="000E1733">
      <w:pPr>
        <w:autoSpaceDE w:val="0"/>
        <w:autoSpaceDN w:val="0"/>
        <w:adjustRightInd w:val="0"/>
        <w:spacing w:after="0"/>
        <w:ind w:left="284" w:hanging="284"/>
        <w:rPr>
          <w:rFonts w:cstheme="minorHAnsi"/>
          <w:sz w:val="20"/>
          <w:szCs w:val="20"/>
          <w:lang w:val="en-GB"/>
        </w:rPr>
      </w:pPr>
      <w:r w:rsidRPr="008E6CD0">
        <w:rPr>
          <w:rFonts w:cstheme="minorHAnsi"/>
          <w:sz w:val="20"/>
          <w:szCs w:val="20"/>
          <w:lang w:val="en-GB"/>
        </w:rPr>
        <w:t>OECD (2018)</w:t>
      </w:r>
      <w:r w:rsidR="00745621" w:rsidRPr="008E6CD0">
        <w:rPr>
          <w:rFonts w:cstheme="minorHAnsi"/>
          <w:sz w:val="20"/>
          <w:szCs w:val="20"/>
          <w:lang w:val="en-GB"/>
        </w:rPr>
        <w:t xml:space="preserve">, </w:t>
      </w:r>
      <w:r w:rsidR="00745621" w:rsidRPr="008E6CD0">
        <w:rPr>
          <w:rFonts w:cstheme="minorHAnsi"/>
          <w:i/>
          <w:sz w:val="20"/>
          <w:szCs w:val="20"/>
          <w:lang w:val="en-GB"/>
        </w:rPr>
        <w:t>Employment Outlook: Italy</w:t>
      </w:r>
      <w:r w:rsidR="00745621" w:rsidRPr="008E6CD0">
        <w:rPr>
          <w:rFonts w:cstheme="minorHAnsi"/>
          <w:sz w:val="20"/>
          <w:szCs w:val="20"/>
          <w:lang w:val="en-GB"/>
        </w:rPr>
        <w:t xml:space="preserve">, Paris </w:t>
      </w:r>
      <w:r w:rsidR="005A19A9" w:rsidRPr="008E6CD0">
        <w:rPr>
          <w:rFonts w:cstheme="minorHAnsi"/>
          <w:sz w:val="20"/>
          <w:szCs w:val="20"/>
          <w:lang w:val="en-GB"/>
        </w:rPr>
        <w:t>(F)</w:t>
      </w:r>
      <w:r w:rsidRPr="008E6CD0">
        <w:rPr>
          <w:rFonts w:cstheme="minorHAnsi"/>
          <w:sz w:val="20"/>
          <w:szCs w:val="20"/>
          <w:lang w:val="en-GB"/>
        </w:rPr>
        <w:t xml:space="preserve"> </w:t>
      </w:r>
    </w:p>
    <w:p w:rsidR="00CE7666" w:rsidRPr="008E6CD0" w:rsidRDefault="00CE7666" w:rsidP="000E1733">
      <w:pPr>
        <w:spacing w:after="0"/>
        <w:ind w:left="284" w:hanging="284"/>
        <w:rPr>
          <w:rFonts w:cstheme="minorHAnsi"/>
          <w:sz w:val="20"/>
          <w:szCs w:val="20"/>
          <w:lang w:val="en-GB"/>
        </w:rPr>
      </w:pPr>
      <w:proofErr w:type="spellStart"/>
      <w:r w:rsidRPr="008E6CD0">
        <w:rPr>
          <w:rFonts w:cstheme="minorHAnsi"/>
          <w:sz w:val="20"/>
          <w:szCs w:val="20"/>
          <w:lang w:val="en-GB"/>
        </w:rPr>
        <w:t>ReferNet</w:t>
      </w:r>
      <w:proofErr w:type="spellEnd"/>
      <w:r w:rsidRPr="008E6CD0">
        <w:rPr>
          <w:rFonts w:cstheme="minorHAnsi"/>
          <w:sz w:val="20"/>
          <w:szCs w:val="20"/>
          <w:lang w:val="en-GB"/>
        </w:rPr>
        <w:t xml:space="preserve"> </w:t>
      </w:r>
      <w:r w:rsidR="000E1733" w:rsidRPr="008E6CD0">
        <w:rPr>
          <w:rFonts w:cstheme="minorHAnsi"/>
          <w:sz w:val="20"/>
          <w:szCs w:val="20"/>
          <w:lang w:val="en-GB"/>
        </w:rPr>
        <w:t>(</w:t>
      </w:r>
      <w:proofErr w:type="spellStart"/>
      <w:r w:rsidR="000E1733" w:rsidRPr="008E6CD0">
        <w:rPr>
          <w:rFonts w:cstheme="minorHAnsi"/>
          <w:sz w:val="20"/>
          <w:szCs w:val="20"/>
          <w:lang w:val="en-GB"/>
        </w:rPr>
        <w:t>Cedefop</w:t>
      </w:r>
      <w:proofErr w:type="spellEnd"/>
      <w:r w:rsidR="000E1733" w:rsidRPr="008E6CD0">
        <w:rPr>
          <w:rFonts w:cstheme="minorHAnsi"/>
          <w:sz w:val="20"/>
          <w:szCs w:val="20"/>
          <w:lang w:val="en-GB"/>
        </w:rPr>
        <w:t xml:space="preserve">) (2016), </w:t>
      </w:r>
      <w:r w:rsidRPr="008E6CD0">
        <w:rPr>
          <w:rFonts w:cstheme="minorHAnsi"/>
          <w:i/>
          <w:sz w:val="20"/>
          <w:szCs w:val="20"/>
          <w:lang w:val="en-GB"/>
        </w:rPr>
        <w:t>VET in Europe reports</w:t>
      </w:r>
      <w:r w:rsidR="000E1733" w:rsidRPr="008E6CD0">
        <w:rPr>
          <w:rFonts w:cstheme="minorHAnsi"/>
          <w:i/>
          <w:sz w:val="20"/>
          <w:szCs w:val="20"/>
          <w:lang w:val="en-GB"/>
        </w:rPr>
        <w:t>: Italy</w:t>
      </w:r>
      <w:r w:rsidR="000E1733" w:rsidRPr="008E6CD0">
        <w:rPr>
          <w:rFonts w:cstheme="minorHAnsi"/>
          <w:sz w:val="20"/>
          <w:szCs w:val="20"/>
          <w:lang w:val="en-GB"/>
        </w:rPr>
        <w:t xml:space="preserve">, </w:t>
      </w:r>
      <w:r w:rsidR="000E1733" w:rsidRPr="008E6CD0">
        <w:rPr>
          <w:rFonts w:ascii="Calibri" w:eastAsia="Calibri" w:hAnsi="Calibri" w:cs="Times New Roman"/>
          <w:sz w:val="20"/>
          <w:szCs w:val="20"/>
          <w:lang w:val="en-GB"/>
        </w:rPr>
        <w:t>European Union Publications Office, Luxembourg</w:t>
      </w:r>
    </w:p>
    <w:p w:rsidR="00FF41DF" w:rsidRPr="008E6CD0" w:rsidRDefault="00FF41DF" w:rsidP="00745621">
      <w:pPr>
        <w:spacing w:after="0"/>
        <w:ind w:left="284" w:hanging="284"/>
        <w:rPr>
          <w:sz w:val="20"/>
          <w:szCs w:val="20"/>
          <w:lang w:val="en-GB"/>
        </w:rPr>
      </w:pPr>
      <w:proofErr w:type="spellStart"/>
      <w:r w:rsidRPr="008E6CD0">
        <w:rPr>
          <w:rStyle w:val="personname"/>
          <w:sz w:val="20"/>
          <w:szCs w:val="20"/>
          <w:lang w:val="en-GB"/>
        </w:rPr>
        <w:t>Schilirò</w:t>
      </w:r>
      <w:proofErr w:type="spellEnd"/>
      <w:r w:rsidR="00745621" w:rsidRPr="008E6CD0">
        <w:rPr>
          <w:rStyle w:val="personname"/>
          <w:sz w:val="20"/>
          <w:szCs w:val="20"/>
          <w:lang w:val="en-GB"/>
        </w:rPr>
        <w:t xml:space="preserve"> D.</w:t>
      </w:r>
      <w:r w:rsidRPr="008E6CD0">
        <w:rPr>
          <w:sz w:val="20"/>
          <w:szCs w:val="20"/>
          <w:lang w:val="en-GB"/>
        </w:rPr>
        <w:t xml:space="preserve"> (2017)</w:t>
      </w:r>
      <w:r w:rsidR="00745621" w:rsidRPr="008E6CD0">
        <w:rPr>
          <w:sz w:val="20"/>
          <w:szCs w:val="20"/>
          <w:lang w:val="en-GB"/>
        </w:rPr>
        <w:t xml:space="preserve">, </w:t>
      </w:r>
      <w:r w:rsidRPr="008E6CD0">
        <w:rPr>
          <w:rStyle w:val="Accentuation"/>
          <w:i w:val="0"/>
          <w:sz w:val="20"/>
          <w:szCs w:val="20"/>
          <w:lang w:val="en-GB"/>
        </w:rPr>
        <w:t>Italian industrial districts: theories, profiles and competitiveness</w:t>
      </w:r>
      <w:r w:rsidR="00745621" w:rsidRPr="008E6CD0">
        <w:rPr>
          <w:rStyle w:val="Accentuation"/>
          <w:i w:val="0"/>
          <w:sz w:val="20"/>
          <w:szCs w:val="20"/>
          <w:lang w:val="en-GB"/>
        </w:rPr>
        <w:t>, in:</w:t>
      </w:r>
      <w:r w:rsidRPr="008E6CD0">
        <w:rPr>
          <w:sz w:val="20"/>
          <w:szCs w:val="20"/>
          <w:lang w:val="en-GB"/>
        </w:rPr>
        <w:t xml:space="preserve"> </w:t>
      </w:r>
      <w:r w:rsidRPr="008E6CD0">
        <w:rPr>
          <w:i/>
          <w:sz w:val="20"/>
          <w:szCs w:val="20"/>
          <w:lang w:val="en-GB"/>
        </w:rPr>
        <w:t xml:space="preserve">Management and Organizational </w:t>
      </w:r>
      <w:proofErr w:type="gramStart"/>
      <w:r w:rsidRPr="008E6CD0">
        <w:rPr>
          <w:i/>
          <w:sz w:val="20"/>
          <w:szCs w:val="20"/>
          <w:lang w:val="en-GB"/>
        </w:rPr>
        <w:t>Studies</w:t>
      </w:r>
      <w:r w:rsidRPr="008E6CD0">
        <w:rPr>
          <w:sz w:val="20"/>
          <w:szCs w:val="20"/>
          <w:lang w:val="en-GB"/>
        </w:rPr>
        <w:t xml:space="preserve"> ,</w:t>
      </w:r>
      <w:proofErr w:type="gramEnd"/>
      <w:r w:rsidRPr="008E6CD0">
        <w:rPr>
          <w:sz w:val="20"/>
          <w:szCs w:val="20"/>
          <w:lang w:val="en-GB"/>
        </w:rPr>
        <w:t xml:space="preserve"> Vol. 4, </w:t>
      </w:r>
      <w:r w:rsidR="00745621" w:rsidRPr="008E6CD0">
        <w:rPr>
          <w:sz w:val="20"/>
          <w:szCs w:val="20"/>
          <w:lang w:val="en-GB"/>
        </w:rPr>
        <w:t>No. 4 (December 2017), pp. 1-11</w:t>
      </w:r>
    </w:p>
    <w:p w:rsidR="006F0CB6" w:rsidRPr="008E6CD0" w:rsidRDefault="006F0CB6" w:rsidP="00745621">
      <w:pPr>
        <w:autoSpaceDE w:val="0"/>
        <w:autoSpaceDN w:val="0"/>
        <w:adjustRightInd w:val="0"/>
        <w:spacing w:after="0" w:line="240" w:lineRule="auto"/>
        <w:ind w:left="284" w:hanging="284"/>
        <w:rPr>
          <w:rFonts w:cstheme="minorHAnsi"/>
          <w:sz w:val="20"/>
          <w:szCs w:val="20"/>
          <w:lang w:val="en-GB"/>
        </w:rPr>
      </w:pPr>
      <w:proofErr w:type="spellStart"/>
      <w:r w:rsidRPr="008E6CD0">
        <w:rPr>
          <w:rFonts w:cstheme="minorHAnsi"/>
          <w:sz w:val="20"/>
          <w:szCs w:val="20"/>
          <w:lang w:val="en-GB"/>
        </w:rPr>
        <w:t>Sforzi</w:t>
      </w:r>
      <w:proofErr w:type="spellEnd"/>
      <w:r w:rsidRPr="008E6CD0">
        <w:rPr>
          <w:rFonts w:cstheme="minorHAnsi"/>
          <w:sz w:val="20"/>
          <w:szCs w:val="20"/>
          <w:lang w:val="en-GB"/>
        </w:rPr>
        <w:t xml:space="preserve"> F. (2015). Rethinking the Industrial District: 35 Year</w:t>
      </w:r>
      <w:r w:rsidR="00745621" w:rsidRPr="008E6CD0">
        <w:rPr>
          <w:rFonts w:cstheme="minorHAnsi"/>
          <w:sz w:val="20"/>
          <w:szCs w:val="20"/>
          <w:lang w:val="en-GB"/>
        </w:rPr>
        <w:t>s</w:t>
      </w:r>
      <w:r w:rsidRPr="008E6CD0">
        <w:rPr>
          <w:rFonts w:cstheme="minorHAnsi"/>
          <w:sz w:val="20"/>
          <w:szCs w:val="20"/>
          <w:lang w:val="en-GB"/>
        </w:rPr>
        <w:t xml:space="preserve"> Later</w:t>
      </w:r>
      <w:r w:rsidR="00745621" w:rsidRPr="008E6CD0">
        <w:rPr>
          <w:rFonts w:cstheme="minorHAnsi"/>
          <w:sz w:val="20"/>
          <w:szCs w:val="20"/>
          <w:lang w:val="en-GB"/>
        </w:rPr>
        <w:t xml:space="preserve">, in: </w:t>
      </w:r>
      <w:r w:rsidRPr="008E6CD0">
        <w:rPr>
          <w:rFonts w:cstheme="minorHAnsi"/>
          <w:i/>
          <w:iCs/>
          <w:sz w:val="20"/>
          <w:szCs w:val="20"/>
          <w:lang w:val="en-GB"/>
        </w:rPr>
        <w:t>Journal of Regional Research, 32</w:t>
      </w:r>
      <w:r w:rsidRPr="008E6CD0">
        <w:rPr>
          <w:rFonts w:cstheme="minorHAnsi"/>
          <w:sz w:val="20"/>
          <w:szCs w:val="20"/>
          <w:lang w:val="en-GB"/>
        </w:rPr>
        <w:t xml:space="preserve">, </w:t>
      </w:r>
      <w:r w:rsidR="00745621" w:rsidRPr="008E6CD0">
        <w:rPr>
          <w:rFonts w:cstheme="minorHAnsi"/>
          <w:sz w:val="20"/>
          <w:szCs w:val="20"/>
          <w:lang w:val="en-GB"/>
        </w:rPr>
        <w:t xml:space="preserve">pp. </w:t>
      </w:r>
      <w:r w:rsidRPr="008E6CD0">
        <w:rPr>
          <w:rFonts w:cstheme="minorHAnsi"/>
          <w:sz w:val="20"/>
          <w:szCs w:val="20"/>
          <w:lang w:val="en-GB"/>
        </w:rPr>
        <w:t>11-</w:t>
      </w:r>
      <w:r w:rsidR="00745621" w:rsidRPr="008E6CD0">
        <w:rPr>
          <w:rFonts w:cstheme="minorHAnsi"/>
          <w:sz w:val="20"/>
          <w:szCs w:val="20"/>
          <w:lang w:val="en-GB"/>
        </w:rPr>
        <w:t>29</w:t>
      </w:r>
    </w:p>
    <w:p w:rsidR="009C7AA9" w:rsidRPr="008E6CD0" w:rsidRDefault="00F65C33" w:rsidP="00B63FDA">
      <w:pPr>
        <w:spacing w:after="0"/>
        <w:jc w:val="both"/>
        <w:rPr>
          <w:sz w:val="20"/>
          <w:szCs w:val="20"/>
        </w:rPr>
      </w:pPr>
      <w:r w:rsidRPr="008E6CD0">
        <w:rPr>
          <w:rFonts w:cstheme="minorHAnsi"/>
          <w:sz w:val="20"/>
          <w:szCs w:val="20"/>
        </w:rPr>
        <w:t>SVIMEZ</w:t>
      </w:r>
      <w:r w:rsidR="00BA46F2" w:rsidRPr="008E6CD0">
        <w:rPr>
          <w:rFonts w:cstheme="minorHAnsi"/>
          <w:sz w:val="20"/>
          <w:szCs w:val="20"/>
        </w:rPr>
        <w:t xml:space="preserve"> (2017)</w:t>
      </w:r>
      <w:r w:rsidRPr="008E6CD0">
        <w:rPr>
          <w:rFonts w:cstheme="minorHAnsi"/>
          <w:sz w:val="20"/>
          <w:szCs w:val="20"/>
        </w:rPr>
        <w:t xml:space="preserve">, </w:t>
      </w:r>
      <w:r w:rsidRPr="008E6CD0">
        <w:rPr>
          <w:rFonts w:cstheme="minorHAnsi"/>
          <w:i/>
          <w:sz w:val="20"/>
          <w:szCs w:val="20"/>
        </w:rPr>
        <w:t>Rapporto 2017</w:t>
      </w:r>
      <w:r w:rsidR="007D14AB" w:rsidRPr="008E6CD0">
        <w:rPr>
          <w:rFonts w:cstheme="minorHAnsi"/>
          <w:sz w:val="20"/>
          <w:szCs w:val="20"/>
        </w:rPr>
        <w:t xml:space="preserve"> (Introduzione e sintesi), </w:t>
      </w:r>
      <w:hyperlink r:id="rId10" w:history="1">
        <w:r w:rsidR="009C7AA9" w:rsidRPr="008E6CD0">
          <w:rPr>
            <w:rStyle w:val="Lienhypertexte"/>
            <w:rFonts w:cstheme="minorHAnsi"/>
            <w:sz w:val="20"/>
            <w:szCs w:val="20"/>
          </w:rPr>
          <w:t>www.svimez.info</w:t>
        </w:r>
      </w:hyperlink>
    </w:p>
    <w:p w:rsidR="008E6CD0" w:rsidRDefault="00BA46F2" w:rsidP="003F5773">
      <w:pPr>
        <w:spacing w:after="0"/>
        <w:jc w:val="both"/>
        <w:rPr>
          <w:sz w:val="20"/>
          <w:szCs w:val="20"/>
        </w:rPr>
      </w:pPr>
      <w:r w:rsidRPr="008E6CD0">
        <w:rPr>
          <w:sz w:val="20"/>
          <w:szCs w:val="20"/>
        </w:rPr>
        <w:t>S</w:t>
      </w:r>
      <w:r w:rsidR="00745621" w:rsidRPr="008E6CD0">
        <w:rPr>
          <w:sz w:val="20"/>
          <w:szCs w:val="20"/>
        </w:rPr>
        <w:t>VIMEZ</w:t>
      </w:r>
      <w:r w:rsidRPr="008E6CD0">
        <w:rPr>
          <w:sz w:val="20"/>
          <w:szCs w:val="20"/>
        </w:rPr>
        <w:t xml:space="preserve"> (2018)</w:t>
      </w:r>
      <w:r w:rsidR="00745621" w:rsidRPr="008E6CD0">
        <w:rPr>
          <w:sz w:val="20"/>
          <w:szCs w:val="20"/>
        </w:rPr>
        <w:t>, Rapporto 2018 (Antici</w:t>
      </w:r>
      <w:r w:rsidR="003F5773" w:rsidRPr="008E6CD0">
        <w:rPr>
          <w:sz w:val="20"/>
          <w:szCs w:val="20"/>
        </w:rPr>
        <w:t xml:space="preserve">pazioni), </w:t>
      </w:r>
      <w:hyperlink r:id="rId11" w:history="1">
        <w:r w:rsidR="003F5773" w:rsidRPr="008E6CD0">
          <w:rPr>
            <w:rStyle w:val="Lienhypertexte"/>
            <w:sz w:val="20"/>
            <w:szCs w:val="20"/>
          </w:rPr>
          <w:t>www.svimez.info</w:t>
        </w:r>
      </w:hyperlink>
      <w:r w:rsidR="003F5773" w:rsidRPr="008E6CD0">
        <w:rPr>
          <w:sz w:val="20"/>
          <w:szCs w:val="20"/>
        </w:rPr>
        <w:t xml:space="preserve">                          </w:t>
      </w:r>
    </w:p>
    <w:p w:rsidR="008E6CD0" w:rsidRDefault="008E6CD0" w:rsidP="003F5773">
      <w:pPr>
        <w:spacing w:after="0"/>
        <w:jc w:val="both"/>
        <w:rPr>
          <w:sz w:val="20"/>
          <w:szCs w:val="20"/>
        </w:rPr>
      </w:pPr>
    </w:p>
    <w:p w:rsidR="008E6CD0" w:rsidRDefault="008E6CD0" w:rsidP="003F5773">
      <w:pPr>
        <w:spacing w:after="0"/>
        <w:jc w:val="both"/>
        <w:rPr>
          <w:sz w:val="20"/>
          <w:szCs w:val="20"/>
        </w:rPr>
      </w:pPr>
    </w:p>
    <w:p w:rsidR="008E6CD0" w:rsidRDefault="008E6CD0" w:rsidP="003F5773">
      <w:pPr>
        <w:spacing w:after="0"/>
        <w:jc w:val="both"/>
        <w:rPr>
          <w:sz w:val="20"/>
          <w:szCs w:val="20"/>
        </w:rPr>
      </w:pPr>
    </w:p>
    <w:p w:rsidR="008E6CD0" w:rsidRDefault="008E6CD0" w:rsidP="003F5773">
      <w:pPr>
        <w:spacing w:after="0"/>
        <w:jc w:val="both"/>
        <w:rPr>
          <w:sz w:val="20"/>
          <w:szCs w:val="20"/>
        </w:rPr>
      </w:pPr>
    </w:p>
    <w:p w:rsidR="00F65C33" w:rsidRPr="009C7AA9" w:rsidRDefault="00745621" w:rsidP="003F5773">
      <w:pPr>
        <w:spacing w:after="0"/>
        <w:jc w:val="both"/>
      </w:pPr>
      <w:r w:rsidRPr="008E6CD0">
        <w:rPr>
          <w:sz w:val="20"/>
          <w:szCs w:val="20"/>
        </w:rPr>
        <w:t>(****)</w:t>
      </w:r>
      <w:r>
        <w:t xml:space="preserve"> </w:t>
      </w:r>
      <w:r w:rsidR="007D14AB" w:rsidRPr="009C7AA9">
        <w:t xml:space="preserve"> </w:t>
      </w:r>
    </w:p>
    <w:sectPr w:rsidR="00F65C33" w:rsidRPr="009C7AA9" w:rsidSect="008E144C">
      <w:headerReference w:type="default" r:id="rId12"/>
      <w:footerReference w:type="even" r:id="rId13"/>
      <w:footerReference w:type="default" r:id="rId14"/>
      <w:pgSz w:w="11906" w:h="16838"/>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2392" w:rsidRDefault="00682392" w:rsidP="007534BD">
      <w:pPr>
        <w:spacing w:after="0" w:line="240" w:lineRule="auto"/>
      </w:pPr>
      <w:r>
        <w:separator/>
      </w:r>
    </w:p>
  </w:endnote>
  <w:endnote w:type="continuationSeparator" w:id="0">
    <w:p w:rsidR="00682392" w:rsidRDefault="00682392" w:rsidP="00753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TC Legacy Sans">
    <w:altName w:val="ITC Legacy Sans"/>
    <w:panose1 w:val="020B0604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367274025"/>
      <w:docPartObj>
        <w:docPartGallery w:val="Page Numbers (Bottom of Page)"/>
        <w:docPartUnique/>
      </w:docPartObj>
    </w:sdtPr>
    <w:sdtContent>
      <w:p w:rsidR="008E144C" w:rsidRDefault="008E144C" w:rsidP="0036061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8E144C" w:rsidRDefault="008E144C" w:rsidP="008E144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245773289"/>
      <w:docPartObj>
        <w:docPartGallery w:val="Page Numbers (Bottom of Page)"/>
        <w:docPartUnique/>
      </w:docPartObj>
    </w:sdtPr>
    <w:sdtContent>
      <w:p w:rsidR="008E144C" w:rsidRDefault="008E144C" w:rsidP="0036061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rsidR="008E144C" w:rsidRDefault="008E144C" w:rsidP="008E144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2392" w:rsidRDefault="00682392" w:rsidP="007534BD">
      <w:pPr>
        <w:spacing w:after="0" w:line="240" w:lineRule="auto"/>
      </w:pPr>
      <w:r>
        <w:separator/>
      </w:r>
    </w:p>
  </w:footnote>
  <w:footnote w:type="continuationSeparator" w:id="0">
    <w:p w:rsidR="00682392" w:rsidRDefault="00682392" w:rsidP="007534BD">
      <w:pPr>
        <w:spacing w:after="0" w:line="240" w:lineRule="auto"/>
      </w:pPr>
      <w:r>
        <w:continuationSeparator/>
      </w:r>
    </w:p>
  </w:footnote>
  <w:footnote w:id="1">
    <w:p w:rsidR="00B9125F" w:rsidRPr="004E0700" w:rsidRDefault="00B9125F">
      <w:pPr>
        <w:pStyle w:val="Notedebasdepage"/>
      </w:pPr>
      <w:r>
        <w:rPr>
          <w:rStyle w:val="Appelnotedebasdep"/>
        </w:rPr>
        <w:footnoteRef/>
      </w:r>
      <w:r w:rsidRPr="004E0700">
        <w:t xml:space="preserve"> Alberto </w:t>
      </w:r>
      <w:proofErr w:type="spellStart"/>
      <w:r w:rsidRPr="004E0700">
        <w:t>Vergani</w:t>
      </w:r>
      <w:proofErr w:type="spellEnd"/>
      <w:r w:rsidRPr="004E0700">
        <w:t xml:space="preserve">, </w:t>
      </w:r>
      <w:proofErr w:type="spellStart"/>
      <w:r w:rsidR="004E0700" w:rsidRPr="004E0700">
        <w:t>version</w:t>
      </w:r>
      <w:proofErr w:type="spellEnd"/>
      <w:r w:rsidR="004E0700" w:rsidRPr="004E0700">
        <w:t xml:space="preserve"> of 14/</w:t>
      </w:r>
      <w:r w:rsidRPr="004E0700">
        <w:t>09/2018 (</w:t>
      </w:r>
      <w:hyperlink r:id="rId1" w:history="1">
        <w:r w:rsidRPr="004E0700">
          <w:rPr>
            <w:rStyle w:val="Lienhypertexte"/>
          </w:rPr>
          <w:t>albertovergani4@libero.it</w:t>
        </w:r>
      </w:hyperlink>
      <w:r w:rsidRPr="004E0700">
        <w:t xml:space="preserve">). </w:t>
      </w:r>
    </w:p>
  </w:footnote>
  <w:footnote w:id="2">
    <w:p w:rsidR="00624E5C" w:rsidRPr="00304717" w:rsidRDefault="00624E5C" w:rsidP="00304717">
      <w:pPr>
        <w:pStyle w:val="Notedebasdepage"/>
        <w:jc w:val="both"/>
        <w:rPr>
          <w:lang w:val="en-GB"/>
        </w:rPr>
      </w:pPr>
      <w:r>
        <w:rPr>
          <w:rStyle w:val="Appelnotedebasdep"/>
        </w:rPr>
        <w:footnoteRef/>
      </w:r>
      <w:r w:rsidRPr="00304717">
        <w:rPr>
          <w:lang w:val="en-GB"/>
        </w:rPr>
        <w:t xml:space="preserve"> For intra-EU labour mobility in </w:t>
      </w:r>
      <w:r>
        <w:rPr>
          <w:lang w:val="en-GB"/>
        </w:rPr>
        <w:t xml:space="preserve">EU see: European Commission, 2017 </w:t>
      </w:r>
      <w:r w:rsidRPr="004E0700">
        <w:rPr>
          <w:i/>
          <w:lang w:val="en-GB"/>
        </w:rPr>
        <w:t>Annual Report on Intra-EU labour mobility</w:t>
      </w:r>
      <w:r>
        <w:rPr>
          <w:lang w:val="en-GB"/>
        </w:rPr>
        <w:t xml:space="preserve">, final report, January 2018, EC Publications (data refers to 2016). The key-results of the analysis (focusing on Italy) are the following (p. 25): a) </w:t>
      </w:r>
      <w:r w:rsidRPr="007A18CC">
        <w:rPr>
          <w:rFonts w:cstheme="minorHAnsi"/>
          <w:color w:val="000000"/>
          <w:lang w:val="en-GB"/>
        </w:rPr>
        <w:t xml:space="preserve">Germany and the UK remain by far the main destination countries hosting almost 50% of all movers and their number of EU-28 movers was growing faster than EU average compared to 2015; while the other three main countries of residence (Italy, Spain and France) only saw small </w:t>
      </w:r>
      <w:r>
        <w:rPr>
          <w:rFonts w:cstheme="minorHAnsi"/>
          <w:color w:val="000000"/>
          <w:lang w:val="en-GB"/>
        </w:rPr>
        <w:t xml:space="preserve">growth of the number of movers; b) </w:t>
      </w:r>
      <w:r w:rsidRPr="007A18CC">
        <w:rPr>
          <w:rFonts w:cstheme="minorHAnsi"/>
          <w:color w:val="000000"/>
          <w:lang w:val="en-GB"/>
        </w:rPr>
        <w:t>Italian, Polish, Romanian and Portuguese are the main groups of movers; each of these groups has become larger since 2015 with the exception of Portuguese whose numbers remained the same</w:t>
      </w:r>
      <w:r>
        <w:rPr>
          <w:rFonts w:cstheme="minorHAnsi"/>
          <w:color w:val="000000"/>
          <w:lang w:val="en-GB"/>
        </w:rPr>
        <w:t>; c) a</w:t>
      </w:r>
      <w:r w:rsidRPr="007A18CC">
        <w:rPr>
          <w:rFonts w:cstheme="minorHAnsi"/>
          <w:color w:val="000000"/>
          <w:lang w:val="en-GB"/>
        </w:rPr>
        <w:t>t EU level half of the movers are men and the other half are women; in most EU-13 countries, there were more male than female movers; only Greece and Italy have high shares of female movers where they made up about two thirds.</w:t>
      </w:r>
    </w:p>
  </w:footnote>
  <w:footnote w:id="3">
    <w:p w:rsidR="00624E5C" w:rsidRPr="0010168B" w:rsidRDefault="00624E5C" w:rsidP="00FA559F">
      <w:pPr>
        <w:pStyle w:val="Notedebasdepage"/>
        <w:jc w:val="both"/>
        <w:rPr>
          <w:lang w:val="en-GB"/>
        </w:rPr>
      </w:pPr>
      <w:r>
        <w:rPr>
          <w:rStyle w:val="Appelnotedebasdep"/>
        </w:rPr>
        <w:footnoteRef/>
      </w:r>
      <w:r w:rsidRPr="0010168B">
        <w:rPr>
          <w:lang w:val="en-GB"/>
        </w:rPr>
        <w:t xml:space="preserve"> It is estimated that during 50s-60s’ about 4 </w:t>
      </w:r>
      <w:r w:rsidR="008E144C">
        <w:rPr>
          <w:lang w:val="en-GB"/>
        </w:rPr>
        <w:t>million</w:t>
      </w:r>
      <w:r w:rsidRPr="0010168B">
        <w:rPr>
          <w:lang w:val="en-GB"/>
        </w:rPr>
        <w:t xml:space="preserve"> people moved from Southern to Northern Italy</w:t>
      </w:r>
      <w:r>
        <w:rPr>
          <w:lang w:val="en-GB"/>
        </w:rPr>
        <w:t xml:space="preserve"> (Italian population was about 47 </w:t>
      </w:r>
      <w:r w:rsidR="008E144C">
        <w:rPr>
          <w:lang w:val="en-GB"/>
        </w:rPr>
        <w:t>m</w:t>
      </w:r>
      <w:r>
        <w:rPr>
          <w:lang w:val="en-GB"/>
        </w:rPr>
        <w:t xml:space="preserve">illion in 1950, 50 </w:t>
      </w:r>
      <w:r w:rsidR="008E144C">
        <w:rPr>
          <w:lang w:val="en-GB"/>
        </w:rPr>
        <w:t>million</w:t>
      </w:r>
      <w:r>
        <w:rPr>
          <w:lang w:val="en-GB"/>
        </w:rPr>
        <w:t xml:space="preserve"> in 1960, 53.6 </w:t>
      </w:r>
      <w:r w:rsidR="008E144C">
        <w:rPr>
          <w:lang w:val="en-GB"/>
        </w:rPr>
        <w:t>million</w:t>
      </w:r>
      <w:r>
        <w:rPr>
          <w:lang w:val="en-GB"/>
        </w:rPr>
        <w:t xml:space="preserve"> in 1970, 56.3 </w:t>
      </w:r>
      <w:r w:rsidR="008E144C">
        <w:rPr>
          <w:lang w:val="en-GB"/>
        </w:rPr>
        <w:t>million</w:t>
      </w:r>
      <w:r>
        <w:rPr>
          <w:lang w:val="en-GB"/>
        </w:rPr>
        <w:t xml:space="preserve"> in 1980 and 1990, 57.6 </w:t>
      </w:r>
      <w:r w:rsidR="008E144C">
        <w:rPr>
          <w:lang w:val="en-GB"/>
        </w:rPr>
        <w:t>million</w:t>
      </w:r>
      <w:r>
        <w:rPr>
          <w:lang w:val="en-GB"/>
        </w:rPr>
        <w:t xml:space="preserve"> in 2000, 59.1 </w:t>
      </w:r>
      <w:r w:rsidR="008E144C">
        <w:rPr>
          <w:lang w:val="en-GB"/>
        </w:rPr>
        <w:t>million</w:t>
      </w:r>
      <w:r>
        <w:rPr>
          <w:lang w:val="en-GB"/>
        </w:rPr>
        <w:t xml:space="preserve"> in 2010: in 2018 it is about 60.4 </w:t>
      </w:r>
      <w:bookmarkStart w:id="0" w:name="_GoBack"/>
      <w:bookmarkEnd w:id="0"/>
      <w:r w:rsidR="008E144C">
        <w:rPr>
          <w:lang w:val="en-GB"/>
        </w:rPr>
        <w:t>million</w:t>
      </w:r>
      <w:r w:rsidRPr="0010168B">
        <w:rPr>
          <w:lang w:val="en-GB"/>
        </w:rPr>
        <w:t xml:space="preserve">. </w:t>
      </w:r>
    </w:p>
  </w:footnote>
  <w:footnote w:id="4">
    <w:p w:rsidR="00BA46F2" w:rsidRPr="00374046" w:rsidRDefault="00BA46F2" w:rsidP="00BA46F2">
      <w:pPr>
        <w:pStyle w:val="Notedebasdepage"/>
        <w:jc w:val="both"/>
        <w:rPr>
          <w:lang w:val="en-GB"/>
        </w:rPr>
      </w:pPr>
      <w:r>
        <w:rPr>
          <w:rStyle w:val="Appelnotedebasdep"/>
        </w:rPr>
        <w:footnoteRef/>
      </w:r>
      <w:r w:rsidRPr="00374046">
        <w:rPr>
          <w:lang w:val="en-GB"/>
        </w:rPr>
        <w:t xml:space="preserve"> For an estimat</w:t>
      </w:r>
      <w:r w:rsidR="007F435E">
        <w:rPr>
          <w:lang w:val="en-GB"/>
        </w:rPr>
        <w:t xml:space="preserve">e </w:t>
      </w:r>
      <w:r w:rsidRPr="00374046">
        <w:rPr>
          <w:lang w:val="en-GB"/>
        </w:rPr>
        <w:t>of the short-term economic effects of graduates’ migration from South to North-Cen</w:t>
      </w:r>
      <w:r>
        <w:rPr>
          <w:lang w:val="en-GB"/>
        </w:rPr>
        <w:t xml:space="preserve">tre see also: Colella F., </w:t>
      </w:r>
      <w:proofErr w:type="spellStart"/>
      <w:r w:rsidRPr="00374046">
        <w:rPr>
          <w:i/>
          <w:lang w:val="en-GB"/>
        </w:rPr>
        <w:t>Analisi</w:t>
      </w:r>
      <w:proofErr w:type="spellEnd"/>
      <w:r w:rsidRPr="00374046">
        <w:rPr>
          <w:i/>
          <w:lang w:val="en-GB"/>
        </w:rPr>
        <w:t xml:space="preserve"> di </w:t>
      </w:r>
      <w:proofErr w:type="spellStart"/>
      <w:r w:rsidRPr="00374046">
        <w:rPr>
          <w:i/>
          <w:lang w:val="en-GB"/>
        </w:rPr>
        <w:t>impatto</w:t>
      </w:r>
      <w:proofErr w:type="spellEnd"/>
      <w:r w:rsidRPr="00374046">
        <w:rPr>
          <w:i/>
          <w:lang w:val="en-GB"/>
        </w:rPr>
        <w:t xml:space="preserve"> locale </w:t>
      </w:r>
      <w:proofErr w:type="spellStart"/>
      <w:r w:rsidRPr="00374046">
        <w:rPr>
          <w:i/>
          <w:lang w:val="en-GB"/>
        </w:rPr>
        <w:t>dell’emigrazione</w:t>
      </w:r>
      <w:proofErr w:type="spellEnd"/>
      <w:r w:rsidRPr="00374046">
        <w:rPr>
          <w:i/>
          <w:lang w:val="en-GB"/>
        </w:rPr>
        <w:t xml:space="preserve"> </w:t>
      </w:r>
      <w:proofErr w:type="spellStart"/>
      <w:r w:rsidRPr="00374046">
        <w:rPr>
          <w:i/>
          <w:lang w:val="en-GB"/>
        </w:rPr>
        <w:t>studentesca</w:t>
      </w:r>
      <w:proofErr w:type="spellEnd"/>
      <w:r>
        <w:rPr>
          <w:lang w:val="en-GB"/>
        </w:rPr>
        <w:t xml:space="preserve">, 2018, under publication in </w:t>
      </w:r>
      <w:proofErr w:type="spellStart"/>
      <w:r w:rsidRPr="00374046">
        <w:rPr>
          <w:i/>
          <w:lang w:val="en-GB"/>
        </w:rPr>
        <w:t>Rivista</w:t>
      </w:r>
      <w:proofErr w:type="spellEnd"/>
      <w:r w:rsidRPr="00374046">
        <w:rPr>
          <w:i/>
          <w:lang w:val="en-GB"/>
        </w:rPr>
        <w:t xml:space="preserve"> </w:t>
      </w:r>
      <w:proofErr w:type="spellStart"/>
      <w:r w:rsidRPr="00374046">
        <w:rPr>
          <w:i/>
          <w:lang w:val="en-GB"/>
        </w:rPr>
        <w:t>Economica</w:t>
      </w:r>
      <w:proofErr w:type="spellEnd"/>
      <w:r w:rsidRPr="00374046">
        <w:rPr>
          <w:i/>
          <w:lang w:val="en-GB"/>
        </w:rPr>
        <w:t xml:space="preserve"> del </w:t>
      </w:r>
      <w:proofErr w:type="spellStart"/>
      <w:r w:rsidRPr="00374046">
        <w:rPr>
          <w:i/>
          <w:lang w:val="en-GB"/>
        </w:rPr>
        <w:t>Mezzogiorno</w:t>
      </w:r>
      <w:proofErr w:type="spellEnd"/>
      <w:r>
        <w:rPr>
          <w:lang w:val="en-GB"/>
        </w:rPr>
        <w:t xml:space="preserve"> (edited by SVIMEZ).</w:t>
      </w:r>
    </w:p>
  </w:footnote>
  <w:footnote w:id="5">
    <w:p w:rsidR="00BA46F2" w:rsidRPr="00BA0EFC" w:rsidRDefault="00BA46F2" w:rsidP="00BA46F2">
      <w:pPr>
        <w:pStyle w:val="Notedebasdepage"/>
        <w:jc w:val="both"/>
        <w:rPr>
          <w:lang w:val="en-GB"/>
        </w:rPr>
      </w:pPr>
      <w:r>
        <w:rPr>
          <w:rStyle w:val="Appelnotedebasdep"/>
        </w:rPr>
        <w:footnoteRef/>
      </w:r>
      <w:r w:rsidRPr="00BA0EFC">
        <w:rPr>
          <w:lang w:val="en-GB"/>
        </w:rPr>
        <w:t xml:space="preserve"> In 2016/2017 academic year about 26,000 </w:t>
      </w:r>
      <w:r>
        <w:rPr>
          <w:lang w:val="en-GB"/>
        </w:rPr>
        <w:t xml:space="preserve">Southern </w:t>
      </w:r>
      <w:r w:rsidRPr="00BA0EFC">
        <w:rPr>
          <w:lang w:val="en-GB"/>
        </w:rPr>
        <w:t>students newly enrolled in universit</w:t>
      </w:r>
      <w:r>
        <w:rPr>
          <w:lang w:val="en-GB"/>
        </w:rPr>
        <w:t xml:space="preserve">ies out of a total of 108,000 chose to enrol in a North-Centre Italy university.  </w:t>
      </w:r>
      <w:r w:rsidRPr="00BA0EFC">
        <w:rPr>
          <w:lang w:val="en-GB"/>
        </w:rPr>
        <w:t xml:space="preserve"> </w:t>
      </w:r>
    </w:p>
  </w:footnote>
  <w:footnote w:id="6">
    <w:p w:rsidR="00B1260B" w:rsidRPr="00B1260B" w:rsidRDefault="00B1260B">
      <w:pPr>
        <w:pStyle w:val="Notedebasdepage"/>
        <w:rPr>
          <w:lang w:val="en-GB"/>
        </w:rPr>
      </w:pPr>
      <w:r>
        <w:rPr>
          <w:rStyle w:val="Appelnotedebasdep"/>
        </w:rPr>
        <w:footnoteRef/>
      </w:r>
      <w:r w:rsidRPr="00B1260B">
        <w:rPr>
          <w:lang w:val="en-GB"/>
        </w:rPr>
        <w:t xml:space="preserve"> That is “gross hourly earnings in USD adjusted for inequality by </w:t>
      </w:r>
      <w:r>
        <w:rPr>
          <w:lang w:val="en-GB"/>
        </w:rPr>
        <w:t>g</w:t>
      </w:r>
      <w:r w:rsidRPr="00B1260B">
        <w:rPr>
          <w:lang w:val="en-GB"/>
        </w:rPr>
        <w:t xml:space="preserve">iving </w:t>
      </w:r>
      <w:r>
        <w:rPr>
          <w:lang w:val="en-GB"/>
        </w:rPr>
        <w:t xml:space="preserve">more weight to the lower end of the earnings distribution” (OECD, 2018). </w:t>
      </w:r>
      <w:r w:rsidRPr="00B1260B">
        <w:rPr>
          <w:lang w:val="en-GB"/>
        </w:rPr>
        <w:t xml:space="preserve">  </w:t>
      </w:r>
    </w:p>
  </w:footnote>
  <w:footnote w:id="7">
    <w:p w:rsidR="009644B3" w:rsidRPr="009644B3" w:rsidRDefault="009644B3" w:rsidP="009644B3">
      <w:pPr>
        <w:pStyle w:val="Notedebasdepage"/>
        <w:jc w:val="both"/>
        <w:rPr>
          <w:lang w:val="en-GB"/>
        </w:rPr>
      </w:pPr>
      <w:r>
        <w:rPr>
          <w:rStyle w:val="Appelnotedebasdep"/>
        </w:rPr>
        <w:footnoteRef/>
      </w:r>
      <w:r w:rsidRPr="009644B3">
        <w:rPr>
          <w:lang w:val="en-GB"/>
        </w:rPr>
        <w:t xml:space="preserve"> The first recession lasted from March 2008 to May 2009 and the sec</w:t>
      </w:r>
      <w:r>
        <w:rPr>
          <w:lang w:val="en-GB"/>
        </w:rPr>
        <w:t>o</w:t>
      </w:r>
      <w:r w:rsidRPr="009644B3">
        <w:rPr>
          <w:lang w:val="en-GB"/>
        </w:rPr>
        <w:t xml:space="preserve">nd one </w:t>
      </w:r>
      <w:r>
        <w:rPr>
          <w:lang w:val="en-GB"/>
        </w:rPr>
        <w:t xml:space="preserve">from June 2011 to April 2013. </w:t>
      </w:r>
    </w:p>
  </w:footnote>
  <w:footnote w:id="8">
    <w:p w:rsidR="00CE7666" w:rsidRPr="00CE7666" w:rsidRDefault="00CE7666" w:rsidP="001213A1">
      <w:pPr>
        <w:pStyle w:val="Notedebasdepage"/>
        <w:jc w:val="both"/>
        <w:rPr>
          <w:lang w:val="en-GB"/>
        </w:rPr>
      </w:pPr>
      <w:r>
        <w:rPr>
          <w:rStyle w:val="Appelnotedebasdep"/>
        </w:rPr>
        <w:footnoteRef/>
      </w:r>
      <w:r w:rsidRPr="00CE7666">
        <w:rPr>
          <w:lang w:val="en-GB"/>
        </w:rPr>
        <w:t xml:space="preserve"> Please note here the use of acronym VET </w:t>
      </w:r>
      <w:r>
        <w:rPr>
          <w:lang w:val="en-GB"/>
        </w:rPr>
        <w:t xml:space="preserve">(Vocational Education and Training) </w:t>
      </w:r>
      <w:r w:rsidR="001213A1">
        <w:rPr>
          <w:lang w:val="en-GB"/>
        </w:rPr>
        <w:t>and not VT (Vocational Training) like in the paragraph’</w:t>
      </w:r>
      <w:r w:rsidR="0088187E">
        <w:rPr>
          <w:lang w:val="en-GB"/>
        </w:rPr>
        <w:t>s title</w:t>
      </w:r>
      <w:r w:rsidR="001213A1">
        <w:rPr>
          <w:lang w:val="en-GB"/>
        </w:rPr>
        <w:t xml:space="preserve"> (see below for the implications of this difference).  </w:t>
      </w:r>
      <w:r>
        <w:rPr>
          <w:lang w:val="en-GB"/>
        </w:rPr>
        <w:t xml:space="preserve"> </w:t>
      </w:r>
    </w:p>
  </w:footnote>
  <w:footnote w:id="9">
    <w:p w:rsidR="00DC44FC" w:rsidRPr="00DC44FC" w:rsidRDefault="00DC44FC" w:rsidP="00DC44FC">
      <w:pPr>
        <w:autoSpaceDE w:val="0"/>
        <w:autoSpaceDN w:val="0"/>
        <w:adjustRightInd w:val="0"/>
        <w:spacing w:after="0" w:line="240" w:lineRule="auto"/>
        <w:jc w:val="both"/>
        <w:rPr>
          <w:rFonts w:cstheme="minorHAnsi"/>
          <w:sz w:val="20"/>
          <w:szCs w:val="20"/>
          <w:lang w:val="en-GB"/>
        </w:rPr>
      </w:pPr>
      <w:r w:rsidRPr="00DC44FC">
        <w:rPr>
          <w:rStyle w:val="Appelnotedebasdep"/>
          <w:rFonts w:cstheme="minorHAnsi"/>
          <w:sz w:val="20"/>
          <w:szCs w:val="20"/>
        </w:rPr>
        <w:footnoteRef/>
      </w:r>
      <w:r w:rsidRPr="00DC44FC">
        <w:rPr>
          <w:rFonts w:cstheme="minorHAnsi"/>
          <w:sz w:val="20"/>
          <w:szCs w:val="20"/>
          <w:lang w:val="en-GB"/>
        </w:rPr>
        <w:t xml:space="preserve"> </w:t>
      </w:r>
      <w:r>
        <w:rPr>
          <w:rFonts w:cstheme="minorHAnsi"/>
          <w:sz w:val="20"/>
          <w:szCs w:val="20"/>
          <w:lang w:val="en-GB"/>
        </w:rPr>
        <w:t xml:space="preserve">Should also technical and vocational upper secondary education included in Vocational Training, </w:t>
      </w:r>
      <w:r w:rsidRPr="00DC44FC">
        <w:rPr>
          <w:rFonts w:cstheme="minorHAnsi"/>
          <w:color w:val="000000"/>
          <w:sz w:val="20"/>
          <w:szCs w:val="20"/>
          <w:lang w:val="en-GB"/>
        </w:rPr>
        <w:t xml:space="preserve">Italy </w:t>
      </w:r>
      <w:r>
        <w:rPr>
          <w:rFonts w:cstheme="minorHAnsi"/>
          <w:color w:val="000000"/>
          <w:sz w:val="20"/>
          <w:szCs w:val="20"/>
          <w:lang w:val="en-GB"/>
        </w:rPr>
        <w:t>would score “</w:t>
      </w:r>
      <w:r w:rsidRPr="00DC44FC">
        <w:rPr>
          <w:rFonts w:cstheme="minorHAnsi"/>
          <w:color w:val="000000"/>
          <w:sz w:val="20"/>
          <w:szCs w:val="20"/>
          <w:lang w:val="en-GB"/>
        </w:rPr>
        <w:t xml:space="preserve">highly compared with the EU average for participation in IVET: the share of IVET students as a percentage all upper secondary students is higher (55.8%) than the EU average (47.3%) The share of upper secondary IVET with direct access to tertiary education (80.7%) is also well above the EU average </w:t>
      </w:r>
      <w:r w:rsidRPr="008D752B">
        <w:rPr>
          <w:rFonts w:cstheme="minorHAnsi"/>
          <w:color w:val="000000"/>
          <w:sz w:val="20"/>
          <w:szCs w:val="20"/>
          <w:lang w:val="en-GB"/>
        </w:rPr>
        <w:t>(66.7%) (data for 2015)” (</w:t>
      </w:r>
      <w:proofErr w:type="spellStart"/>
      <w:r w:rsidRPr="008D752B">
        <w:rPr>
          <w:rFonts w:cstheme="minorHAnsi"/>
          <w:color w:val="000000"/>
          <w:sz w:val="20"/>
          <w:szCs w:val="20"/>
          <w:lang w:val="en-GB"/>
        </w:rPr>
        <w:t>Cedefop</w:t>
      </w:r>
      <w:proofErr w:type="spellEnd"/>
      <w:r w:rsidRPr="008D752B">
        <w:rPr>
          <w:rFonts w:cstheme="minorHAnsi"/>
          <w:color w:val="000000"/>
          <w:sz w:val="20"/>
          <w:szCs w:val="20"/>
          <w:lang w:val="en-GB"/>
        </w:rPr>
        <w:t>, 2017).</w:t>
      </w:r>
      <w:r w:rsidRPr="00DC44FC">
        <w:rPr>
          <w:rFonts w:cstheme="minorHAnsi"/>
          <w:color w:val="000000"/>
          <w:sz w:val="20"/>
          <w:szCs w:val="20"/>
          <w:lang w:val="en-GB"/>
        </w:rPr>
        <w:t xml:space="preserve"> </w:t>
      </w:r>
    </w:p>
  </w:footnote>
  <w:footnote w:id="10">
    <w:p w:rsidR="008D09A3" w:rsidRPr="008D09A3" w:rsidRDefault="008D09A3">
      <w:pPr>
        <w:pStyle w:val="Notedebasdepage"/>
        <w:rPr>
          <w:lang w:val="en-GB"/>
        </w:rPr>
      </w:pPr>
      <w:r>
        <w:rPr>
          <w:rStyle w:val="Appelnotedebasdep"/>
        </w:rPr>
        <w:footnoteRef/>
      </w:r>
      <w:r w:rsidRPr="008D09A3">
        <w:rPr>
          <w:lang w:val="en-GB"/>
        </w:rPr>
        <w:t xml:space="preserve"> </w:t>
      </w:r>
      <w:r>
        <w:rPr>
          <w:lang w:val="en-GB"/>
        </w:rPr>
        <w:t xml:space="preserve">Last year available. </w:t>
      </w:r>
    </w:p>
  </w:footnote>
  <w:footnote w:id="11">
    <w:p w:rsidR="00B06E9B" w:rsidRPr="00B06E9B" w:rsidRDefault="00B06E9B" w:rsidP="00B06E9B">
      <w:pPr>
        <w:pStyle w:val="Notedebasdepage"/>
        <w:jc w:val="both"/>
        <w:rPr>
          <w:lang w:val="en-GB"/>
        </w:rPr>
      </w:pPr>
      <w:r>
        <w:rPr>
          <w:rStyle w:val="Appelnotedebasdep"/>
        </w:rPr>
        <w:footnoteRef/>
      </w:r>
      <w:r w:rsidRPr="00B06E9B">
        <w:rPr>
          <w:lang w:val="en-GB"/>
        </w:rPr>
        <w:t xml:space="preserve"> </w:t>
      </w:r>
      <w:proofErr w:type="spellStart"/>
      <w:r w:rsidRPr="00B06E9B">
        <w:rPr>
          <w:rFonts w:ascii="Calibri" w:eastAsia="Calibri" w:hAnsi="Calibri" w:cs="Times New Roman"/>
          <w:lang w:val="en-GB"/>
        </w:rPr>
        <w:t>Cedefop</w:t>
      </w:r>
      <w:proofErr w:type="spellEnd"/>
      <w:r w:rsidRPr="00B06E9B">
        <w:rPr>
          <w:rFonts w:ascii="Calibri" w:eastAsia="Calibri" w:hAnsi="Calibri" w:cs="Times New Roman"/>
          <w:lang w:val="en-GB"/>
        </w:rPr>
        <w:t xml:space="preserve"> counted about 1,600,000 recipients involved </w:t>
      </w:r>
      <w:r>
        <w:rPr>
          <w:rFonts w:ascii="Calibri" w:eastAsia="Calibri" w:hAnsi="Calibri" w:cs="Times New Roman"/>
          <w:lang w:val="en-GB"/>
        </w:rPr>
        <w:t xml:space="preserve">in </w:t>
      </w:r>
      <w:r w:rsidRPr="00B06E9B">
        <w:rPr>
          <w:rFonts w:ascii="Calibri" w:eastAsia="Calibri" w:hAnsi="Calibri" w:cs="Times New Roman"/>
          <w:lang w:val="en-GB"/>
        </w:rPr>
        <w:t xml:space="preserve">CVT in 2012 and the Ministry of Labour and Social Policies </w:t>
      </w:r>
      <w:r>
        <w:rPr>
          <w:rFonts w:ascii="Calibri" w:eastAsia="Calibri" w:hAnsi="Calibri" w:cs="Times New Roman"/>
          <w:lang w:val="en-GB"/>
        </w:rPr>
        <w:t xml:space="preserve">estimated </w:t>
      </w:r>
      <w:r w:rsidRPr="00B06E9B">
        <w:rPr>
          <w:rFonts w:ascii="Calibri" w:eastAsia="Calibri" w:hAnsi="Calibri" w:cs="Times New Roman"/>
          <w:lang w:val="en-GB"/>
        </w:rPr>
        <w:t xml:space="preserve">2,500,000 people 15-64 </w:t>
      </w:r>
      <w:proofErr w:type="spellStart"/>
      <w:r w:rsidRPr="00B06E9B">
        <w:rPr>
          <w:rFonts w:ascii="Calibri" w:eastAsia="Calibri" w:hAnsi="Calibri" w:cs="Times New Roman"/>
          <w:lang w:val="en-GB"/>
        </w:rPr>
        <w:t>y.o</w:t>
      </w:r>
      <w:proofErr w:type="spellEnd"/>
      <w:r w:rsidRPr="00B06E9B">
        <w:rPr>
          <w:rFonts w:ascii="Calibri" w:eastAsia="Calibri" w:hAnsi="Calibri" w:cs="Times New Roman"/>
          <w:lang w:val="en-GB"/>
        </w:rPr>
        <w:t xml:space="preserve">. involved in adult training </w:t>
      </w:r>
      <w:r w:rsidRPr="00B06E9B">
        <w:rPr>
          <w:rFonts w:ascii="Calibri" w:eastAsia="Calibri" w:hAnsi="Calibri" w:cs="Times New Roman"/>
          <w:i/>
          <w:lang w:val="en-GB"/>
        </w:rPr>
        <w:t>and</w:t>
      </w:r>
      <w:r w:rsidRPr="00B06E9B">
        <w:rPr>
          <w:rFonts w:ascii="Calibri" w:eastAsia="Calibri" w:hAnsi="Calibri" w:cs="Times New Roman"/>
          <w:lang w:val="en-GB"/>
        </w:rPr>
        <w:t xml:space="preserve"> education</w:t>
      </w:r>
      <w:r>
        <w:rPr>
          <w:rFonts w:ascii="Calibri" w:eastAsia="Calibri" w:hAnsi="Calibri" w:cs="Times New Roman"/>
          <w:lang w:val="en-GB"/>
        </w:rPr>
        <w:t xml:space="preserve"> (also adult education was therefore included)</w:t>
      </w:r>
      <w:r w:rsidRPr="00B06E9B">
        <w:rPr>
          <w:rFonts w:ascii="Calibri" w:eastAsia="Calibri" w:hAnsi="Calibri" w:cs="Times New Roman"/>
          <w:lang w:val="en-GB"/>
        </w:rPr>
        <w:t xml:space="preserve">. Focusing on </w:t>
      </w:r>
      <w:r w:rsidRPr="00B06E9B">
        <w:rPr>
          <w:rFonts w:ascii="Calibri" w:eastAsia="Calibri" w:hAnsi="Calibri" w:cs="Times New Roman"/>
          <w:i/>
          <w:lang w:val="en-GB"/>
        </w:rPr>
        <w:t>employees non-formal learning participation</w:t>
      </w:r>
      <w:r w:rsidRPr="00B06E9B">
        <w:rPr>
          <w:rFonts w:ascii="Calibri" w:eastAsia="Calibri" w:hAnsi="Calibri" w:cs="Times New Roman"/>
          <w:lang w:val="en-GB"/>
        </w:rPr>
        <w:t xml:space="preserve"> - a category which largely correspond to CVET in Italy - the involvement rate was 4.3% in 2007, 4.8% in </w:t>
      </w:r>
      <w:r w:rsidRPr="008D752B">
        <w:rPr>
          <w:rFonts w:ascii="Calibri" w:eastAsia="Calibri" w:hAnsi="Calibri" w:cs="Times New Roman"/>
          <w:lang w:val="en-GB"/>
        </w:rPr>
        <w:t>2010, 6.4% in 2015 (after a 7.5% peak in 2014: Ministry of Labour and SSPP, 2017, p. 14).</w:t>
      </w:r>
    </w:p>
  </w:footnote>
  <w:footnote w:id="12">
    <w:p w:rsidR="00B84E05" w:rsidRPr="00A352AE" w:rsidRDefault="00B84E05" w:rsidP="00B84E05">
      <w:pPr>
        <w:pStyle w:val="Notedebasdepage"/>
        <w:rPr>
          <w:lang w:val="en-GB"/>
        </w:rPr>
      </w:pPr>
      <w:r>
        <w:rPr>
          <w:rStyle w:val="Appelnotedebasdep"/>
        </w:rPr>
        <w:footnoteRef/>
      </w:r>
      <w:r w:rsidRPr="00A352AE">
        <w:rPr>
          <w:lang w:val="en-GB"/>
        </w:rPr>
        <w:t xml:space="preserve"> </w:t>
      </w:r>
      <w:r>
        <w:rPr>
          <w:lang w:val="en-GB"/>
        </w:rPr>
        <w:t>The Continuous Vocational Training Survey implemented at EU level</w:t>
      </w:r>
      <w:r w:rsidR="00DB41FE">
        <w:rPr>
          <w:lang w:val="en-GB"/>
        </w:rPr>
        <w:t xml:space="preserve"> (last edition in 2015)</w:t>
      </w:r>
      <w:r>
        <w:rPr>
          <w:lang w:val="en-GB"/>
        </w:rPr>
        <w:t xml:space="preserve">. </w:t>
      </w:r>
    </w:p>
  </w:footnote>
  <w:footnote w:id="13">
    <w:p w:rsidR="003F38F7" w:rsidRPr="003F38F7" w:rsidRDefault="003F38F7">
      <w:pPr>
        <w:pStyle w:val="Notedebasdepage"/>
        <w:rPr>
          <w:lang w:val="en-GB"/>
        </w:rPr>
      </w:pPr>
      <w:r>
        <w:rPr>
          <w:rStyle w:val="Appelnotedebasdep"/>
        </w:rPr>
        <w:footnoteRef/>
      </w:r>
      <w:r w:rsidRPr="003F38F7">
        <w:rPr>
          <w:lang w:val="en-GB"/>
        </w:rPr>
        <w:t xml:space="preserve"> Within the </w:t>
      </w:r>
      <w:proofErr w:type="spellStart"/>
      <w:r w:rsidRPr="003F38F7">
        <w:rPr>
          <w:lang w:val="en-GB"/>
        </w:rPr>
        <w:t>Cedefop</w:t>
      </w:r>
      <w:proofErr w:type="spellEnd"/>
      <w:r w:rsidRPr="003F38F7">
        <w:rPr>
          <w:lang w:val="en-GB"/>
        </w:rPr>
        <w:t xml:space="preserve"> project </w:t>
      </w:r>
      <w:r w:rsidRPr="00B62406">
        <w:rPr>
          <w:i/>
          <w:lang w:val="en-GB"/>
        </w:rPr>
        <w:t>Changing nature and Role of VET in Europe</w:t>
      </w:r>
      <w:r w:rsidRPr="003F38F7">
        <w:rPr>
          <w:lang w:val="en-GB"/>
        </w:rPr>
        <w:t xml:space="preserve">: quotations </w:t>
      </w:r>
      <w:r>
        <w:rPr>
          <w:lang w:val="en-GB"/>
        </w:rPr>
        <w:t xml:space="preserve">and pages </w:t>
      </w:r>
      <w:r w:rsidRPr="003F38F7">
        <w:rPr>
          <w:lang w:val="en-GB"/>
        </w:rPr>
        <w:t xml:space="preserve">refer to the Work Assignment </w:t>
      </w:r>
      <w:r>
        <w:rPr>
          <w:lang w:val="en-GB"/>
        </w:rPr>
        <w:t xml:space="preserve">4 final report on “VET and lifelong learning” in the version produced by </w:t>
      </w:r>
      <w:r w:rsidR="00ED5864">
        <w:rPr>
          <w:lang w:val="en-GB"/>
        </w:rPr>
        <w:t xml:space="preserve">the author </w:t>
      </w:r>
      <w:r>
        <w:rPr>
          <w:lang w:val="en-GB"/>
        </w:rPr>
        <w:t xml:space="preserve">on behalf of Giacomo </w:t>
      </w:r>
      <w:proofErr w:type="spellStart"/>
      <w:r>
        <w:rPr>
          <w:lang w:val="en-GB"/>
        </w:rPr>
        <w:t>Brodolini</w:t>
      </w:r>
      <w:proofErr w:type="spellEnd"/>
      <w:r>
        <w:rPr>
          <w:lang w:val="en-GB"/>
        </w:rPr>
        <w:t xml:space="preserve"> Foundation (Rome, 2017). </w:t>
      </w:r>
    </w:p>
  </w:footnote>
  <w:footnote w:id="14">
    <w:p w:rsidR="00DF53C3" w:rsidRPr="00DF53C3" w:rsidRDefault="00DF53C3">
      <w:pPr>
        <w:pStyle w:val="Notedebasdepage"/>
        <w:rPr>
          <w:lang w:val="en-GB"/>
        </w:rPr>
      </w:pPr>
      <w:r w:rsidRPr="00DF53C3">
        <w:rPr>
          <w:rStyle w:val="Appelnotedebasdep"/>
          <w:lang w:val="en-GB"/>
        </w:rPr>
        <w:footnoteRef/>
      </w:r>
      <w:r w:rsidRPr="00DF53C3">
        <w:rPr>
          <w:lang w:val="en-GB"/>
        </w:rPr>
        <w:t xml:space="preserve"> See Par. 2 above. </w:t>
      </w:r>
    </w:p>
  </w:footnote>
  <w:footnote w:id="15">
    <w:p w:rsidR="002B0728" w:rsidRPr="006D3C8F" w:rsidRDefault="002B0728" w:rsidP="006D3C8F">
      <w:pPr>
        <w:autoSpaceDE w:val="0"/>
        <w:autoSpaceDN w:val="0"/>
        <w:adjustRightInd w:val="0"/>
        <w:spacing w:after="0" w:line="240" w:lineRule="auto"/>
        <w:jc w:val="both"/>
        <w:rPr>
          <w:rFonts w:cstheme="minorHAnsi"/>
          <w:lang w:val="en-GB"/>
        </w:rPr>
      </w:pPr>
      <w:r w:rsidRPr="006D3C8F">
        <w:rPr>
          <w:rStyle w:val="Appelnotedebasdep"/>
          <w:rFonts w:cstheme="minorHAnsi"/>
        </w:rPr>
        <w:footnoteRef/>
      </w:r>
      <w:r w:rsidRPr="006D3C8F">
        <w:rPr>
          <w:rFonts w:cstheme="minorHAnsi"/>
          <w:lang w:val="en-GB"/>
        </w:rPr>
        <w:t xml:space="preserve"> </w:t>
      </w:r>
      <w:proofErr w:type="spellStart"/>
      <w:r w:rsidRPr="006D3C8F">
        <w:rPr>
          <w:rFonts w:cstheme="minorHAnsi"/>
          <w:sz w:val="20"/>
          <w:szCs w:val="20"/>
          <w:lang w:val="en-GB"/>
        </w:rPr>
        <w:t>Istat</w:t>
      </w:r>
      <w:proofErr w:type="spellEnd"/>
      <w:r w:rsidRPr="006D3C8F">
        <w:rPr>
          <w:rFonts w:cstheme="minorHAnsi"/>
          <w:sz w:val="20"/>
          <w:szCs w:val="20"/>
          <w:lang w:val="en-GB"/>
        </w:rPr>
        <w:t>, the National Statistics Institute, through the 9</w:t>
      </w:r>
      <w:r w:rsidRPr="006D3C8F">
        <w:rPr>
          <w:rFonts w:cstheme="minorHAnsi"/>
          <w:sz w:val="13"/>
          <w:szCs w:val="13"/>
          <w:lang w:val="en-GB"/>
        </w:rPr>
        <w:t xml:space="preserve">th </w:t>
      </w:r>
      <w:r w:rsidRPr="006D3C8F">
        <w:rPr>
          <w:rFonts w:cstheme="minorHAnsi"/>
          <w:sz w:val="20"/>
          <w:szCs w:val="20"/>
          <w:lang w:val="en-GB"/>
        </w:rPr>
        <w:t>General Industrial and Services Census of 2011 (</w:t>
      </w:r>
      <w:proofErr w:type="spellStart"/>
      <w:r w:rsidRPr="006D3C8F">
        <w:rPr>
          <w:rFonts w:cstheme="minorHAnsi"/>
          <w:sz w:val="20"/>
          <w:szCs w:val="20"/>
          <w:lang w:val="en-GB"/>
        </w:rPr>
        <w:t>Istat</w:t>
      </w:r>
      <w:proofErr w:type="spellEnd"/>
      <w:r w:rsidRPr="006D3C8F">
        <w:rPr>
          <w:rFonts w:cstheme="minorHAnsi"/>
          <w:sz w:val="20"/>
          <w:szCs w:val="20"/>
          <w:lang w:val="en-GB"/>
        </w:rPr>
        <w:t>, 2015), identified 141 industrial districts, 40 units less than the number of industrial districts surveyed in the</w:t>
      </w:r>
      <w:r w:rsidR="001C5F16" w:rsidRPr="006D3C8F">
        <w:rPr>
          <w:rFonts w:cstheme="minorHAnsi"/>
          <w:sz w:val="20"/>
          <w:szCs w:val="20"/>
          <w:lang w:val="en-GB"/>
        </w:rPr>
        <w:t xml:space="preserve"> </w:t>
      </w:r>
      <w:r w:rsidRPr="006D3C8F">
        <w:rPr>
          <w:rFonts w:cstheme="minorHAnsi"/>
          <w:sz w:val="20"/>
          <w:szCs w:val="20"/>
          <w:lang w:val="en-GB"/>
        </w:rPr>
        <w:t>previous Census of 2001.</w:t>
      </w:r>
      <w:r w:rsidR="001C5F16" w:rsidRPr="006D3C8F">
        <w:rPr>
          <w:rFonts w:cstheme="minorHAnsi"/>
          <w:sz w:val="20"/>
          <w:szCs w:val="20"/>
          <w:lang w:val="en-GB"/>
        </w:rPr>
        <w:t xml:space="preserve"> Note that five regions, located in North and Central Italy, concentrates 74% of total districts.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5432329"/>
      <w:docPartObj>
        <w:docPartGallery w:val="Page Numbers (Margins)"/>
        <w:docPartUnique/>
      </w:docPartObj>
    </w:sdtPr>
    <w:sdtEndPr/>
    <w:sdtContent>
      <w:p w:rsidR="00624E5C" w:rsidRDefault="00682392">
        <w:pPr>
          <w:pStyle w:val="En-tte"/>
        </w:pPr>
        <w:r>
          <w:rPr>
            <w:noProof/>
            <w:lang w:eastAsia="zh-TW"/>
          </w:rPr>
          <w:pict>
            <v:group id="_x0000_s2049" alt="" style="position:absolute;margin-left:0;margin-top:0;width:38.45pt;height:18.7pt;z-index:251660288;mso-top-percent:200;mso-position-horizontal:center;mso-position-horizontal-relative:right-margin-area;mso-position-vertical-relative:page;mso-top-percent:200" coordorigin="689,3255" coordsize="769,374" o:allowincell="f">
              <v:shapetype id="_x0000_t202" coordsize="21600,21600" o:spt="202" path="m,l,21600r21600,l21600,xe">
                <v:stroke joinstyle="miter"/>
                <v:path gradientshapeok="t" o:connecttype="rect"/>
              </v:shapetype>
              <v:shape id="_x0000_s2050" type="#_x0000_t202" alt="" style="position:absolute;left:689;top:3263;width:769;height:360;mso-wrap-style:square;v-text-anchor:middle" filled="f" stroked="f">
                <v:textbox style="mso-next-textbox:#_x0000_s2050" inset="0,0,0,0">
                  <w:txbxContent>
                    <w:p w:rsidR="00624E5C" w:rsidRDefault="002D1F4D">
                      <w:pPr>
                        <w:pStyle w:val="En-tte"/>
                        <w:jc w:val="center"/>
                      </w:pPr>
                      <w:r>
                        <w:rPr>
                          <w:rStyle w:val="Numrodepage"/>
                          <w:b/>
                          <w:noProof/>
                          <w:color w:val="3F3151" w:themeColor="accent4" w:themeShade="7F"/>
                          <w:sz w:val="16"/>
                          <w:szCs w:val="16"/>
                        </w:rPr>
                        <w:fldChar w:fldCharType="begin"/>
                      </w:r>
                      <w:r>
                        <w:rPr>
                          <w:rStyle w:val="Numrodepage"/>
                          <w:b/>
                          <w:noProof/>
                          <w:color w:val="3F3151" w:themeColor="accent4" w:themeShade="7F"/>
                          <w:sz w:val="16"/>
                          <w:szCs w:val="16"/>
                        </w:rPr>
                        <w:instrText xml:space="preserve"> PAGE    \* MERGEFORMAT </w:instrText>
                      </w:r>
                      <w:r>
                        <w:rPr>
                          <w:rStyle w:val="Numrodepage"/>
                          <w:b/>
                          <w:noProof/>
                          <w:color w:val="3F3151" w:themeColor="accent4" w:themeShade="7F"/>
                          <w:sz w:val="16"/>
                          <w:szCs w:val="16"/>
                        </w:rPr>
                        <w:fldChar w:fldCharType="separate"/>
                      </w:r>
                      <w:r w:rsidR="008E068E">
                        <w:rPr>
                          <w:rStyle w:val="Numrodepage"/>
                          <w:b/>
                          <w:noProof/>
                          <w:color w:val="3F3151" w:themeColor="accent4" w:themeShade="7F"/>
                          <w:sz w:val="16"/>
                          <w:szCs w:val="16"/>
                        </w:rPr>
                        <w:t>1</w:t>
                      </w:r>
                      <w:r>
                        <w:rPr>
                          <w:rStyle w:val="Numrodepage"/>
                          <w:b/>
                          <w:noProof/>
                          <w:color w:val="3F3151" w:themeColor="accent4" w:themeShade="7F"/>
                          <w:sz w:val="16"/>
                          <w:szCs w:val="16"/>
                        </w:rPr>
                        <w:fldChar w:fldCharType="end"/>
                      </w:r>
                    </w:p>
                  </w:txbxContent>
                </v:textbox>
              </v:shape>
              <v:group id="_x0000_s2051" alt="" style="position:absolute;left:886;top:3255;width:374;height:374" coordorigin="1453,14832" coordsize="374,374">
                <v:oval id="_x0000_s2052" alt="" style="position:absolute;left:1453;top:14832;width:374;height:374" filled="f" strokecolor="#7ba0cd [2420]" strokeweight=".5pt"/>
                <v:oval id="_x0000_s2053" alt="" style="position:absolute;left:1462;top:14835;width:101;height:101" fillcolor="#7ba0cd [2420]" stroked="f"/>
              </v:group>
              <w10:wrap anchorx="page" anchory="page"/>
            </v:group>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E3D07"/>
    <w:multiLevelType w:val="hybridMultilevel"/>
    <w:tmpl w:val="DFB6D938"/>
    <w:lvl w:ilvl="0" w:tplc="DB04E30E">
      <w:start w:val="10"/>
      <w:numFmt w:val="bullet"/>
      <w:lvlText w:val="-"/>
      <w:lvlJc w:val="left"/>
      <w:pPr>
        <w:ind w:left="360" w:hanging="360"/>
      </w:pPr>
      <w:rPr>
        <w:rFonts w:ascii="Calibri" w:eastAsiaTheme="minorHAnsi" w:hAnsi="Calibri" w:cs="Calibri" w:hint="default"/>
        <w:lang w:val="en-GB"/>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271177D4"/>
    <w:multiLevelType w:val="hybridMultilevel"/>
    <w:tmpl w:val="B0F436C8"/>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40374ECD"/>
    <w:multiLevelType w:val="hybridMultilevel"/>
    <w:tmpl w:val="04FC6F2C"/>
    <w:lvl w:ilvl="0" w:tplc="987C3B28">
      <w:start w:val="1"/>
      <w:numFmt w:val="bullet"/>
      <w:pStyle w:val="FGB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4528E6"/>
    <w:multiLevelType w:val="hybridMultilevel"/>
    <w:tmpl w:val="98B263E6"/>
    <w:lvl w:ilvl="0" w:tplc="1A847B02">
      <w:start w:val="3"/>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7BFE12CC"/>
    <w:multiLevelType w:val="hybridMultilevel"/>
    <w:tmpl w:val="7D04A55E"/>
    <w:lvl w:ilvl="0" w:tplc="E3969F5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283"/>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34BD"/>
    <w:rsid w:val="00001FA1"/>
    <w:rsid w:val="00004006"/>
    <w:rsid w:val="000077C0"/>
    <w:rsid w:val="00013E54"/>
    <w:rsid w:val="00022222"/>
    <w:rsid w:val="00025AE8"/>
    <w:rsid w:val="00033D15"/>
    <w:rsid w:val="00040B47"/>
    <w:rsid w:val="000419DE"/>
    <w:rsid w:val="00047262"/>
    <w:rsid w:val="000550DE"/>
    <w:rsid w:val="00056294"/>
    <w:rsid w:val="0006296B"/>
    <w:rsid w:val="00073DC5"/>
    <w:rsid w:val="00076584"/>
    <w:rsid w:val="0008188C"/>
    <w:rsid w:val="0009149D"/>
    <w:rsid w:val="000936D0"/>
    <w:rsid w:val="00096718"/>
    <w:rsid w:val="000A0543"/>
    <w:rsid w:val="000A4B93"/>
    <w:rsid w:val="000B5FEB"/>
    <w:rsid w:val="000B7ABF"/>
    <w:rsid w:val="000C104B"/>
    <w:rsid w:val="000C259A"/>
    <w:rsid w:val="000C3CF0"/>
    <w:rsid w:val="000E1733"/>
    <w:rsid w:val="0010168B"/>
    <w:rsid w:val="001213A1"/>
    <w:rsid w:val="00124BD9"/>
    <w:rsid w:val="00125133"/>
    <w:rsid w:val="00132D31"/>
    <w:rsid w:val="00150DA8"/>
    <w:rsid w:val="00150FCF"/>
    <w:rsid w:val="00151361"/>
    <w:rsid w:val="00151930"/>
    <w:rsid w:val="0016669B"/>
    <w:rsid w:val="00171B35"/>
    <w:rsid w:val="00183E67"/>
    <w:rsid w:val="001A0095"/>
    <w:rsid w:val="001A0E95"/>
    <w:rsid w:val="001A37C4"/>
    <w:rsid w:val="001B3C8B"/>
    <w:rsid w:val="001B58FB"/>
    <w:rsid w:val="001C5F16"/>
    <w:rsid w:val="001D1FB9"/>
    <w:rsid w:val="001D2B99"/>
    <w:rsid w:val="001D30D3"/>
    <w:rsid w:val="001E2F54"/>
    <w:rsid w:val="001E51BA"/>
    <w:rsid w:val="001E52DC"/>
    <w:rsid w:val="001E5600"/>
    <w:rsid w:val="001E76DD"/>
    <w:rsid w:val="001F0215"/>
    <w:rsid w:val="001F1E09"/>
    <w:rsid w:val="001F724C"/>
    <w:rsid w:val="00215072"/>
    <w:rsid w:val="00226FB8"/>
    <w:rsid w:val="00231FA8"/>
    <w:rsid w:val="00241646"/>
    <w:rsid w:val="00251A12"/>
    <w:rsid w:val="00260870"/>
    <w:rsid w:val="002615AF"/>
    <w:rsid w:val="002623AB"/>
    <w:rsid w:val="00262724"/>
    <w:rsid w:val="00267493"/>
    <w:rsid w:val="002712F6"/>
    <w:rsid w:val="002739F6"/>
    <w:rsid w:val="00275CC6"/>
    <w:rsid w:val="002774E6"/>
    <w:rsid w:val="00281685"/>
    <w:rsid w:val="0028673E"/>
    <w:rsid w:val="00294344"/>
    <w:rsid w:val="002A2D25"/>
    <w:rsid w:val="002B0728"/>
    <w:rsid w:val="002C6050"/>
    <w:rsid w:val="002D042E"/>
    <w:rsid w:val="002D1F4D"/>
    <w:rsid w:val="002D7DAF"/>
    <w:rsid w:val="002E7D4D"/>
    <w:rsid w:val="002F1127"/>
    <w:rsid w:val="002F598F"/>
    <w:rsid w:val="002F74C0"/>
    <w:rsid w:val="00301AE0"/>
    <w:rsid w:val="00304717"/>
    <w:rsid w:val="00310035"/>
    <w:rsid w:val="003159C8"/>
    <w:rsid w:val="00317A97"/>
    <w:rsid w:val="003236CD"/>
    <w:rsid w:val="00323E4F"/>
    <w:rsid w:val="00327F8E"/>
    <w:rsid w:val="0033334B"/>
    <w:rsid w:val="00333F6C"/>
    <w:rsid w:val="00341510"/>
    <w:rsid w:val="00347346"/>
    <w:rsid w:val="003568F1"/>
    <w:rsid w:val="00360257"/>
    <w:rsid w:val="00374046"/>
    <w:rsid w:val="00386545"/>
    <w:rsid w:val="0038669C"/>
    <w:rsid w:val="00391CB3"/>
    <w:rsid w:val="00392BC6"/>
    <w:rsid w:val="00397651"/>
    <w:rsid w:val="003A1C7C"/>
    <w:rsid w:val="003A4786"/>
    <w:rsid w:val="003B714B"/>
    <w:rsid w:val="003C37D2"/>
    <w:rsid w:val="003C4548"/>
    <w:rsid w:val="003D05CD"/>
    <w:rsid w:val="003D2FBD"/>
    <w:rsid w:val="003E5D30"/>
    <w:rsid w:val="003F38F7"/>
    <w:rsid w:val="003F5773"/>
    <w:rsid w:val="003F5FBF"/>
    <w:rsid w:val="003F7F99"/>
    <w:rsid w:val="00400838"/>
    <w:rsid w:val="00437C26"/>
    <w:rsid w:val="004463F8"/>
    <w:rsid w:val="00455BD7"/>
    <w:rsid w:val="00461FCE"/>
    <w:rsid w:val="00466B97"/>
    <w:rsid w:val="004714BF"/>
    <w:rsid w:val="00471800"/>
    <w:rsid w:val="00480C37"/>
    <w:rsid w:val="00480E64"/>
    <w:rsid w:val="00484EDA"/>
    <w:rsid w:val="00485031"/>
    <w:rsid w:val="00491792"/>
    <w:rsid w:val="0049567E"/>
    <w:rsid w:val="004A5F40"/>
    <w:rsid w:val="004B0507"/>
    <w:rsid w:val="004B6B45"/>
    <w:rsid w:val="004C1A32"/>
    <w:rsid w:val="004C37B2"/>
    <w:rsid w:val="004D4C0D"/>
    <w:rsid w:val="004D7224"/>
    <w:rsid w:val="004E0700"/>
    <w:rsid w:val="004E196E"/>
    <w:rsid w:val="004E2F7B"/>
    <w:rsid w:val="004E3D34"/>
    <w:rsid w:val="004F2254"/>
    <w:rsid w:val="004F46B6"/>
    <w:rsid w:val="004F5EED"/>
    <w:rsid w:val="00502B71"/>
    <w:rsid w:val="00511555"/>
    <w:rsid w:val="0051522D"/>
    <w:rsid w:val="005203CA"/>
    <w:rsid w:val="00527204"/>
    <w:rsid w:val="00530199"/>
    <w:rsid w:val="00536B00"/>
    <w:rsid w:val="00541DDC"/>
    <w:rsid w:val="00543369"/>
    <w:rsid w:val="005477BF"/>
    <w:rsid w:val="005545BF"/>
    <w:rsid w:val="00564F08"/>
    <w:rsid w:val="0057158F"/>
    <w:rsid w:val="0057420D"/>
    <w:rsid w:val="005763ED"/>
    <w:rsid w:val="00583445"/>
    <w:rsid w:val="005A19A9"/>
    <w:rsid w:val="005A7E61"/>
    <w:rsid w:val="005B1BBC"/>
    <w:rsid w:val="005C3639"/>
    <w:rsid w:val="005C3DDF"/>
    <w:rsid w:val="005C4476"/>
    <w:rsid w:val="005C461D"/>
    <w:rsid w:val="005C4ED1"/>
    <w:rsid w:val="005C5E03"/>
    <w:rsid w:val="005D138A"/>
    <w:rsid w:val="005D666E"/>
    <w:rsid w:val="005D7DAD"/>
    <w:rsid w:val="005E6530"/>
    <w:rsid w:val="0060090A"/>
    <w:rsid w:val="00604B13"/>
    <w:rsid w:val="00605695"/>
    <w:rsid w:val="006073C9"/>
    <w:rsid w:val="00607F5A"/>
    <w:rsid w:val="0061252A"/>
    <w:rsid w:val="00614900"/>
    <w:rsid w:val="0061772A"/>
    <w:rsid w:val="00617E3C"/>
    <w:rsid w:val="00624706"/>
    <w:rsid w:val="00624E5C"/>
    <w:rsid w:val="00627490"/>
    <w:rsid w:val="00635A61"/>
    <w:rsid w:val="0063617A"/>
    <w:rsid w:val="00640710"/>
    <w:rsid w:val="00640926"/>
    <w:rsid w:val="006435D1"/>
    <w:rsid w:val="0064377D"/>
    <w:rsid w:val="00652E10"/>
    <w:rsid w:val="00653C3E"/>
    <w:rsid w:val="0066322A"/>
    <w:rsid w:val="006672E1"/>
    <w:rsid w:val="00671644"/>
    <w:rsid w:val="006744C3"/>
    <w:rsid w:val="006762B5"/>
    <w:rsid w:val="00676BD1"/>
    <w:rsid w:val="00680969"/>
    <w:rsid w:val="00682160"/>
    <w:rsid w:val="00682392"/>
    <w:rsid w:val="00692392"/>
    <w:rsid w:val="006A260E"/>
    <w:rsid w:val="006A27C7"/>
    <w:rsid w:val="006B1BDE"/>
    <w:rsid w:val="006B3224"/>
    <w:rsid w:val="006B3277"/>
    <w:rsid w:val="006C6CCA"/>
    <w:rsid w:val="006C708C"/>
    <w:rsid w:val="006D010F"/>
    <w:rsid w:val="006D3C8F"/>
    <w:rsid w:val="006E5B93"/>
    <w:rsid w:val="006E5C6A"/>
    <w:rsid w:val="006F0CB6"/>
    <w:rsid w:val="006F6134"/>
    <w:rsid w:val="006F7C6D"/>
    <w:rsid w:val="00700C14"/>
    <w:rsid w:val="007100C6"/>
    <w:rsid w:val="00713DC0"/>
    <w:rsid w:val="00724FC0"/>
    <w:rsid w:val="00734671"/>
    <w:rsid w:val="0073535E"/>
    <w:rsid w:val="00745621"/>
    <w:rsid w:val="0075153B"/>
    <w:rsid w:val="00752279"/>
    <w:rsid w:val="007534BD"/>
    <w:rsid w:val="007541EF"/>
    <w:rsid w:val="00756316"/>
    <w:rsid w:val="007862FF"/>
    <w:rsid w:val="007A18CC"/>
    <w:rsid w:val="007A1A40"/>
    <w:rsid w:val="007B4A15"/>
    <w:rsid w:val="007B56CF"/>
    <w:rsid w:val="007C32EC"/>
    <w:rsid w:val="007C3616"/>
    <w:rsid w:val="007C3ED6"/>
    <w:rsid w:val="007C6C67"/>
    <w:rsid w:val="007D14AB"/>
    <w:rsid w:val="007D2D42"/>
    <w:rsid w:val="007E1889"/>
    <w:rsid w:val="007E2716"/>
    <w:rsid w:val="007E6097"/>
    <w:rsid w:val="007E7648"/>
    <w:rsid w:val="007F0DED"/>
    <w:rsid w:val="007F0F9B"/>
    <w:rsid w:val="007F2970"/>
    <w:rsid w:val="007F435E"/>
    <w:rsid w:val="007F4BD1"/>
    <w:rsid w:val="00807838"/>
    <w:rsid w:val="00813907"/>
    <w:rsid w:val="00813E12"/>
    <w:rsid w:val="0082255B"/>
    <w:rsid w:val="00833632"/>
    <w:rsid w:val="0083792D"/>
    <w:rsid w:val="008603BE"/>
    <w:rsid w:val="00863B2A"/>
    <w:rsid w:val="0088187E"/>
    <w:rsid w:val="00891DFF"/>
    <w:rsid w:val="008A6C15"/>
    <w:rsid w:val="008A7BD6"/>
    <w:rsid w:val="008B1566"/>
    <w:rsid w:val="008C44CA"/>
    <w:rsid w:val="008D09A3"/>
    <w:rsid w:val="008D1813"/>
    <w:rsid w:val="008D752B"/>
    <w:rsid w:val="008E012F"/>
    <w:rsid w:val="008E068E"/>
    <w:rsid w:val="008E144C"/>
    <w:rsid w:val="008E6CD0"/>
    <w:rsid w:val="008F1AB5"/>
    <w:rsid w:val="008F4251"/>
    <w:rsid w:val="0090094F"/>
    <w:rsid w:val="00903383"/>
    <w:rsid w:val="00904EC9"/>
    <w:rsid w:val="009060BD"/>
    <w:rsid w:val="00906D4D"/>
    <w:rsid w:val="0091080E"/>
    <w:rsid w:val="00910C01"/>
    <w:rsid w:val="009148F7"/>
    <w:rsid w:val="00921A21"/>
    <w:rsid w:val="00921D1B"/>
    <w:rsid w:val="009226C2"/>
    <w:rsid w:val="00936EF6"/>
    <w:rsid w:val="00941041"/>
    <w:rsid w:val="00946A2B"/>
    <w:rsid w:val="00956E94"/>
    <w:rsid w:val="00957319"/>
    <w:rsid w:val="009644B3"/>
    <w:rsid w:val="00972EE0"/>
    <w:rsid w:val="00982B1B"/>
    <w:rsid w:val="00983823"/>
    <w:rsid w:val="00987246"/>
    <w:rsid w:val="00996FBD"/>
    <w:rsid w:val="00997E8F"/>
    <w:rsid w:val="009A3EC8"/>
    <w:rsid w:val="009C15F4"/>
    <w:rsid w:val="009C29AF"/>
    <w:rsid w:val="009C7AA9"/>
    <w:rsid w:val="009D7EF4"/>
    <w:rsid w:val="009E1EBA"/>
    <w:rsid w:val="009E2654"/>
    <w:rsid w:val="009E767E"/>
    <w:rsid w:val="009F7265"/>
    <w:rsid w:val="00A0525A"/>
    <w:rsid w:val="00A057AF"/>
    <w:rsid w:val="00A152B0"/>
    <w:rsid w:val="00A3005D"/>
    <w:rsid w:val="00A338BC"/>
    <w:rsid w:val="00A352AE"/>
    <w:rsid w:val="00A359F8"/>
    <w:rsid w:val="00A4789D"/>
    <w:rsid w:val="00A51859"/>
    <w:rsid w:val="00A537AC"/>
    <w:rsid w:val="00A73963"/>
    <w:rsid w:val="00A7408C"/>
    <w:rsid w:val="00A84ECB"/>
    <w:rsid w:val="00AA69C1"/>
    <w:rsid w:val="00AA7EC1"/>
    <w:rsid w:val="00AB13D2"/>
    <w:rsid w:val="00AB317B"/>
    <w:rsid w:val="00AC6E65"/>
    <w:rsid w:val="00AD1F95"/>
    <w:rsid w:val="00AD23C6"/>
    <w:rsid w:val="00AD59CC"/>
    <w:rsid w:val="00AD76D5"/>
    <w:rsid w:val="00AD7E73"/>
    <w:rsid w:val="00AE0E7C"/>
    <w:rsid w:val="00AE14EB"/>
    <w:rsid w:val="00AE4614"/>
    <w:rsid w:val="00AF1B72"/>
    <w:rsid w:val="00AF1EF4"/>
    <w:rsid w:val="00AF308F"/>
    <w:rsid w:val="00AF3280"/>
    <w:rsid w:val="00AF6CA0"/>
    <w:rsid w:val="00AF7B7D"/>
    <w:rsid w:val="00B00AC7"/>
    <w:rsid w:val="00B0267C"/>
    <w:rsid w:val="00B06E9B"/>
    <w:rsid w:val="00B07335"/>
    <w:rsid w:val="00B1260B"/>
    <w:rsid w:val="00B20BD3"/>
    <w:rsid w:val="00B2110E"/>
    <w:rsid w:val="00B21C32"/>
    <w:rsid w:val="00B329C3"/>
    <w:rsid w:val="00B36E73"/>
    <w:rsid w:val="00B43B96"/>
    <w:rsid w:val="00B44C61"/>
    <w:rsid w:val="00B53C58"/>
    <w:rsid w:val="00B56B35"/>
    <w:rsid w:val="00B57E5A"/>
    <w:rsid w:val="00B61481"/>
    <w:rsid w:val="00B62406"/>
    <w:rsid w:val="00B63FDA"/>
    <w:rsid w:val="00B7451F"/>
    <w:rsid w:val="00B84E05"/>
    <w:rsid w:val="00B9125F"/>
    <w:rsid w:val="00BA0EFC"/>
    <w:rsid w:val="00BA1742"/>
    <w:rsid w:val="00BA1C8A"/>
    <w:rsid w:val="00BA25E4"/>
    <w:rsid w:val="00BA41A4"/>
    <w:rsid w:val="00BA46F2"/>
    <w:rsid w:val="00BB488C"/>
    <w:rsid w:val="00BB7E3F"/>
    <w:rsid w:val="00BC5357"/>
    <w:rsid w:val="00BD0BEA"/>
    <w:rsid w:val="00BE3B2B"/>
    <w:rsid w:val="00BE6B58"/>
    <w:rsid w:val="00BF317F"/>
    <w:rsid w:val="00BF43E5"/>
    <w:rsid w:val="00BF7183"/>
    <w:rsid w:val="00BF7379"/>
    <w:rsid w:val="00BF7D6F"/>
    <w:rsid w:val="00C01F1F"/>
    <w:rsid w:val="00C0489E"/>
    <w:rsid w:val="00C04B61"/>
    <w:rsid w:val="00C05C46"/>
    <w:rsid w:val="00C165E4"/>
    <w:rsid w:val="00C40898"/>
    <w:rsid w:val="00C51C46"/>
    <w:rsid w:val="00C61F0F"/>
    <w:rsid w:val="00C664EC"/>
    <w:rsid w:val="00C71B84"/>
    <w:rsid w:val="00C74C33"/>
    <w:rsid w:val="00C821BB"/>
    <w:rsid w:val="00C87936"/>
    <w:rsid w:val="00CA339E"/>
    <w:rsid w:val="00CA3FEF"/>
    <w:rsid w:val="00CB2605"/>
    <w:rsid w:val="00CB2D0C"/>
    <w:rsid w:val="00CB6372"/>
    <w:rsid w:val="00CD18DF"/>
    <w:rsid w:val="00CE4972"/>
    <w:rsid w:val="00CE7666"/>
    <w:rsid w:val="00D01EDA"/>
    <w:rsid w:val="00D21A76"/>
    <w:rsid w:val="00D237F4"/>
    <w:rsid w:val="00D32864"/>
    <w:rsid w:val="00D366DE"/>
    <w:rsid w:val="00D45BE0"/>
    <w:rsid w:val="00D5228E"/>
    <w:rsid w:val="00D54301"/>
    <w:rsid w:val="00D5718A"/>
    <w:rsid w:val="00D60D9C"/>
    <w:rsid w:val="00D61CF5"/>
    <w:rsid w:val="00D63FB1"/>
    <w:rsid w:val="00D729F0"/>
    <w:rsid w:val="00D7455F"/>
    <w:rsid w:val="00D74A57"/>
    <w:rsid w:val="00D85830"/>
    <w:rsid w:val="00D87CCE"/>
    <w:rsid w:val="00D92EF3"/>
    <w:rsid w:val="00D93689"/>
    <w:rsid w:val="00DB41FE"/>
    <w:rsid w:val="00DB45F4"/>
    <w:rsid w:val="00DC2EE5"/>
    <w:rsid w:val="00DC44FC"/>
    <w:rsid w:val="00DC631A"/>
    <w:rsid w:val="00DC6666"/>
    <w:rsid w:val="00DD37C9"/>
    <w:rsid w:val="00DE6FB7"/>
    <w:rsid w:val="00DF53C3"/>
    <w:rsid w:val="00E04A6B"/>
    <w:rsid w:val="00E0502C"/>
    <w:rsid w:val="00E07474"/>
    <w:rsid w:val="00E117E6"/>
    <w:rsid w:val="00E178A4"/>
    <w:rsid w:val="00E17ED7"/>
    <w:rsid w:val="00E20201"/>
    <w:rsid w:val="00E23C99"/>
    <w:rsid w:val="00E24452"/>
    <w:rsid w:val="00E25DF4"/>
    <w:rsid w:val="00E356E9"/>
    <w:rsid w:val="00E37304"/>
    <w:rsid w:val="00E43ECE"/>
    <w:rsid w:val="00E47401"/>
    <w:rsid w:val="00E57C16"/>
    <w:rsid w:val="00E57E52"/>
    <w:rsid w:val="00E63403"/>
    <w:rsid w:val="00E70938"/>
    <w:rsid w:val="00E739C3"/>
    <w:rsid w:val="00E83D81"/>
    <w:rsid w:val="00E85517"/>
    <w:rsid w:val="00E92189"/>
    <w:rsid w:val="00E93FA8"/>
    <w:rsid w:val="00E94568"/>
    <w:rsid w:val="00E95AC1"/>
    <w:rsid w:val="00EB1DCD"/>
    <w:rsid w:val="00EB56BF"/>
    <w:rsid w:val="00EC7C4E"/>
    <w:rsid w:val="00ED0729"/>
    <w:rsid w:val="00ED076F"/>
    <w:rsid w:val="00ED4B18"/>
    <w:rsid w:val="00ED5864"/>
    <w:rsid w:val="00EE0A7A"/>
    <w:rsid w:val="00EE74FB"/>
    <w:rsid w:val="00EF4328"/>
    <w:rsid w:val="00F00D7B"/>
    <w:rsid w:val="00F10359"/>
    <w:rsid w:val="00F1509B"/>
    <w:rsid w:val="00F20BD5"/>
    <w:rsid w:val="00F33735"/>
    <w:rsid w:val="00F35CCE"/>
    <w:rsid w:val="00F37940"/>
    <w:rsid w:val="00F4102D"/>
    <w:rsid w:val="00F433CF"/>
    <w:rsid w:val="00F43AAB"/>
    <w:rsid w:val="00F43DD1"/>
    <w:rsid w:val="00F43EC0"/>
    <w:rsid w:val="00F449AA"/>
    <w:rsid w:val="00F45AC1"/>
    <w:rsid w:val="00F52923"/>
    <w:rsid w:val="00F55722"/>
    <w:rsid w:val="00F639AF"/>
    <w:rsid w:val="00F65C33"/>
    <w:rsid w:val="00F75EDF"/>
    <w:rsid w:val="00F779FD"/>
    <w:rsid w:val="00F81A26"/>
    <w:rsid w:val="00F82147"/>
    <w:rsid w:val="00F85430"/>
    <w:rsid w:val="00F866A6"/>
    <w:rsid w:val="00F879CD"/>
    <w:rsid w:val="00F94549"/>
    <w:rsid w:val="00F965EE"/>
    <w:rsid w:val="00F97BCC"/>
    <w:rsid w:val="00FA559F"/>
    <w:rsid w:val="00FB0DA9"/>
    <w:rsid w:val="00FB42BE"/>
    <w:rsid w:val="00FC297F"/>
    <w:rsid w:val="00FC7701"/>
    <w:rsid w:val="00FD12B8"/>
    <w:rsid w:val="00FE2CE6"/>
    <w:rsid w:val="00FF2214"/>
    <w:rsid w:val="00FF41DF"/>
    <w:rsid w:val="00FF77E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B5CD51B"/>
  <w15:docId w15:val="{724F225D-7302-4310-A084-F28D2D465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29C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stParagraph1">
    <w:name w:val="List Paragraph1"/>
    <w:basedOn w:val="Normal"/>
    <w:uiPriority w:val="99"/>
    <w:rsid w:val="007534BD"/>
    <w:pPr>
      <w:autoSpaceDN w:val="0"/>
      <w:spacing w:after="0" w:line="240" w:lineRule="auto"/>
      <w:ind w:firstLine="420"/>
      <w:jc w:val="both"/>
    </w:pPr>
    <w:rPr>
      <w:rFonts w:ascii="Arial" w:hAnsi="Arial" w:cs="Arial"/>
    </w:rPr>
  </w:style>
  <w:style w:type="paragraph" w:customStyle="1" w:styleId="Standard">
    <w:name w:val="Standard"/>
    <w:basedOn w:val="Normal"/>
    <w:rsid w:val="007534BD"/>
    <w:pPr>
      <w:autoSpaceDN w:val="0"/>
      <w:spacing w:after="0" w:line="240" w:lineRule="auto"/>
    </w:pPr>
    <w:rPr>
      <w:rFonts w:ascii="Times New Roman" w:hAnsi="Times New Roman" w:cs="Times New Roman"/>
      <w:sz w:val="20"/>
      <w:szCs w:val="20"/>
    </w:rPr>
  </w:style>
  <w:style w:type="character" w:customStyle="1" w:styleId="FootnoteCar">
    <w:name w:val="Footnote Car"/>
    <w:basedOn w:val="Policepardfaut"/>
    <w:link w:val="Footnote"/>
    <w:locked/>
    <w:rsid w:val="007534BD"/>
    <w:rPr>
      <w:rFonts w:ascii="Calibri" w:hAnsi="Calibri" w:cs="Calibri"/>
    </w:rPr>
  </w:style>
  <w:style w:type="paragraph" w:customStyle="1" w:styleId="Footnote">
    <w:name w:val="Footnote"/>
    <w:basedOn w:val="Normal"/>
    <w:link w:val="FootnoteCar"/>
    <w:rsid w:val="007534BD"/>
    <w:pPr>
      <w:autoSpaceDN w:val="0"/>
      <w:snapToGrid w:val="0"/>
      <w:spacing w:after="0" w:line="240" w:lineRule="auto"/>
      <w:jc w:val="both"/>
    </w:pPr>
    <w:rPr>
      <w:rFonts w:ascii="Calibri" w:hAnsi="Calibri" w:cs="Calibri"/>
    </w:rPr>
  </w:style>
  <w:style w:type="character" w:styleId="Appelnotedebasdep">
    <w:name w:val="footnote reference"/>
    <w:aliases w:val="Footnote Reference Superscript,ESPON Footnote No,Footnote symbol,ftref,Footnote number,Footnote Reference Number,Footnote reference number,Times 10 Point,Exposant 3 Point,note TESI,SUPERS,EN Footnote Reference,Ref"/>
    <w:basedOn w:val="Policepardfaut"/>
    <w:link w:val="FootnoteReferenceLVL6"/>
    <w:uiPriority w:val="19"/>
    <w:unhideWhenUsed/>
    <w:qFormat/>
    <w:rsid w:val="007534BD"/>
    <w:rPr>
      <w:position w:val="0"/>
      <w:vertAlign w:val="superscript"/>
    </w:rPr>
  </w:style>
  <w:style w:type="paragraph" w:styleId="Paragraphedeliste">
    <w:name w:val="List Paragraph"/>
    <w:basedOn w:val="Normal"/>
    <w:uiPriority w:val="34"/>
    <w:qFormat/>
    <w:rsid w:val="00BF7379"/>
    <w:pPr>
      <w:ind w:left="720"/>
      <w:contextualSpacing/>
    </w:pPr>
  </w:style>
  <w:style w:type="character" w:styleId="Lienhypertexte">
    <w:name w:val="Hyperlink"/>
    <w:basedOn w:val="Policepardfaut"/>
    <w:uiPriority w:val="99"/>
    <w:unhideWhenUsed/>
    <w:rsid w:val="002739F6"/>
    <w:rPr>
      <w:color w:val="0000FF"/>
      <w:u w:val="single"/>
    </w:rPr>
  </w:style>
  <w:style w:type="paragraph" w:customStyle="1" w:styleId="Default">
    <w:name w:val="Default"/>
    <w:rsid w:val="001D30D3"/>
    <w:pPr>
      <w:autoSpaceDE w:val="0"/>
      <w:autoSpaceDN w:val="0"/>
      <w:adjustRightInd w:val="0"/>
      <w:spacing w:after="0" w:line="240" w:lineRule="auto"/>
    </w:pPr>
    <w:rPr>
      <w:rFonts w:ascii="ITC Legacy Sans" w:hAnsi="ITC Legacy Sans" w:cs="ITC Legacy Sans"/>
      <w:color w:val="000000"/>
      <w:sz w:val="24"/>
      <w:szCs w:val="24"/>
    </w:rPr>
  </w:style>
  <w:style w:type="character" w:customStyle="1" w:styleId="A4">
    <w:name w:val="A4"/>
    <w:uiPriority w:val="99"/>
    <w:rsid w:val="001D30D3"/>
    <w:rPr>
      <w:rFonts w:cs="ITC Legacy Sans"/>
      <w:color w:val="000000"/>
      <w:sz w:val="22"/>
      <w:szCs w:val="22"/>
    </w:rPr>
  </w:style>
  <w:style w:type="paragraph" w:styleId="En-tte">
    <w:name w:val="header"/>
    <w:basedOn w:val="Normal"/>
    <w:link w:val="En-tteCar"/>
    <w:uiPriority w:val="99"/>
    <w:unhideWhenUsed/>
    <w:rsid w:val="002615AF"/>
    <w:pPr>
      <w:tabs>
        <w:tab w:val="center" w:pos="4819"/>
        <w:tab w:val="right" w:pos="9638"/>
      </w:tabs>
      <w:spacing w:after="0" w:line="240" w:lineRule="auto"/>
    </w:pPr>
  </w:style>
  <w:style w:type="character" w:customStyle="1" w:styleId="En-tteCar">
    <w:name w:val="En-tête Car"/>
    <w:basedOn w:val="Policepardfaut"/>
    <w:link w:val="En-tte"/>
    <w:uiPriority w:val="99"/>
    <w:rsid w:val="002615AF"/>
  </w:style>
  <w:style w:type="paragraph" w:styleId="Pieddepage">
    <w:name w:val="footer"/>
    <w:basedOn w:val="Normal"/>
    <w:link w:val="PieddepageCar"/>
    <w:uiPriority w:val="99"/>
    <w:unhideWhenUsed/>
    <w:rsid w:val="002615AF"/>
    <w:pPr>
      <w:tabs>
        <w:tab w:val="center" w:pos="4819"/>
        <w:tab w:val="right" w:pos="9638"/>
      </w:tabs>
      <w:spacing w:after="0" w:line="240" w:lineRule="auto"/>
    </w:pPr>
  </w:style>
  <w:style w:type="character" w:customStyle="1" w:styleId="PieddepageCar">
    <w:name w:val="Pied de page Car"/>
    <w:basedOn w:val="Policepardfaut"/>
    <w:link w:val="Pieddepage"/>
    <w:uiPriority w:val="99"/>
    <w:rsid w:val="002615AF"/>
  </w:style>
  <w:style w:type="character" w:styleId="Numrodepage">
    <w:name w:val="page number"/>
    <w:basedOn w:val="Policepardfaut"/>
    <w:uiPriority w:val="99"/>
    <w:unhideWhenUsed/>
    <w:rsid w:val="002615AF"/>
    <w:rPr>
      <w:rFonts w:eastAsiaTheme="minorEastAsia" w:cstheme="minorBidi"/>
      <w:bCs w:val="0"/>
      <w:iCs w:val="0"/>
      <w:szCs w:val="22"/>
      <w:lang w:val="it-IT"/>
    </w:rPr>
  </w:style>
  <w:style w:type="paragraph" w:styleId="Notedebasdepage">
    <w:name w:val="footnote text"/>
    <w:aliases w:val="Schriftart: 9 pt,Schriftart: 10 pt,Schriftart: 8 pt,o,Footnote text,Fußnote,Char Char Car,Fußnotentextf,Note de bas de page Car Car Car Car Car Car Car Car Car Car,f,ft,fn"/>
    <w:basedOn w:val="Normal"/>
    <w:link w:val="NotedebasdepageCar"/>
    <w:uiPriority w:val="99"/>
    <w:unhideWhenUsed/>
    <w:qFormat/>
    <w:rsid w:val="00304717"/>
    <w:pPr>
      <w:spacing w:after="0" w:line="240" w:lineRule="auto"/>
    </w:pPr>
    <w:rPr>
      <w:sz w:val="20"/>
      <w:szCs w:val="20"/>
    </w:rPr>
  </w:style>
  <w:style w:type="character" w:customStyle="1" w:styleId="NotedebasdepageCar">
    <w:name w:val="Note de bas de page Car"/>
    <w:aliases w:val="Schriftart: 9 pt Car,Schriftart: 10 pt Car,Schriftart: 8 pt Car,o Car,Footnote text Car,Fußnote Car,Char Char Car Car,Fußnotentextf Car,Note de bas de page Car Car Car Car Car Car Car Car Car Car Car,f Car,ft Car,fn Car"/>
    <w:basedOn w:val="Policepardfaut"/>
    <w:link w:val="Notedebasdepage"/>
    <w:uiPriority w:val="99"/>
    <w:rsid w:val="00304717"/>
    <w:rPr>
      <w:sz w:val="20"/>
      <w:szCs w:val="20"/>
    </w:rPr>
  </w:style>
  <w:style w:type="paragraph" w:customStyle="1" w:styleId="Pa17">
    <w:name w:val="Pa17"/>
    <w:basedOn w:val="Default"/>
    <w:next w:val="Default"/>
    <w:uiPriority w:val="99"/>
    <w:rsid w:val="00AD59CC"/>
    <w:pPr>
      <w:spacing w:line="251" w:lineRule="atLeast"/>
    </w:pPr>
    <w:rPr>
      <w:rFonts w:cstheme="minorBidi"/>
      <w:color w:val="auto"/>
    </w:rPr>
  </w:style>
  <w:style w:type="paragraph" w:customStyle="1" w:styleId="Pa7">
    <w:name w:val="Pa7"/>
    <w:basedOn w:val="Default"/>
    <w:next w:val="Default"/>
    <w:uiPriority w:val="99"/>
    <w:rsid w:val="00AD59CC"/>
    <w:pPr>
      <w:spacing w:line="231" w:lineRule="atLeast"/>
    </w:pPr>
    <w:rPr>
      <w:rFonts w:cstheme="minorBidi"/>
      <w:color w:val="auto"/>
    </w:rPr>
  </w:style>
  <w:style w:type="paragraph" w:customStyle="1" w:styleId="Pa15">
    <w:name w:val="Pa15"/>
    <w:basedOn w:val="Default"/>
    <w:next w:val="Default"/>
    <w:uiPriority w:val="99"/>
    <w:rsid w:val="00AD59CC"/>
    <w:pPr>
      <w:spacing w:line="201" w:lineRule="atLeast"/>
    </w:pPr>
    <w:rPr>
      <w:rFonts w:cstheme="minorBidi"/>
      <w:color w:val="auto"/>
    </w:rPr>
  </w:style>
  <w:style w:type="paragraph" w:customStyle="1" w:styleId="Pa16">
    <w:name w:val="Pa16"/>
    <w:basedOn w:val="Default"/>
    <w:next w:val="Default"/>
    <w:uiPriority w:val="99"/>
    <w:rsid w:val="00AD59CC"/>
    <w:pPr>
      <w:spacing w:line="161" w:lineRule="atLeast"/>
    </w:pPr>
    <w:rPr>
      <w:rFonts w:cstheme="minorBidi"/>
      <w:color w:val="auto"/>
    </w:rPr>
  </w:style>
  <w:style w:type="paragraph" w:customStyle="1" w:styleId="Pa1">
    <w:name w:val="Pa1"/>
    <w:basedOn w:val="Default"/>
    <w:next w:val="Default"/>
    <w:uiPriority w:val="99"/>
    <w:rsid w:val="00AD59CC"/>
    <w:pPr>
      <w:spacing w:line="241" w:lineRule="atLeast"/>
    </w:pPr>
    <w:rPr>
      <w:rFonts w:cstheme="minorBidi"/>
      <w:color w:val="auto"/>
    </w:rPr>
  </w:style>
  <w:style w:type="character" w:customStyle="1" w:styleId="A14">
    <w:name w:val="A14"/>
    <w:uiPriority w:val="99"/>
    <w:rsid w:val="00AD59CC"/>
    <w:rPr>
      <w:rFonts w:cs="ITC Legacy Sans"/>
      <w:b/>
      <w:bCs/>
      <w:color w:val="000000"/>
      <w:sz w:val="19"/>
      <w:szCs w:val="19"/>
    </w:rPr>
  </w:style>
  <w:style w:type="character" w:customStyle="1" w:styleId="A15">
    <w:name w:val="A15"/>
    <w:uiPriority w:val="99"/>
    <w:rsid w:val="00AD59CC"/>
    <w:rPr>
      <w:rFonts w:cs="ITC Legacy Sans"/>
      <w:color w:val="000000"/>
      <w:sz w:val="13"/>
      <w:szCs w:val="13"/>
    </w:rPr>
  </w:style>
  <w:style w:type="character" w:customStyle="1" w:styleId="A5">
    <w:name w:val="A5"/>
    <w:uiPriority w:val="99"/>
    <w:rsid w:val="00AD59CC"/>
    <w:rPr>
      <w:rFonts w:cs="ITC Legacy Sans"/>
      <w:color w:val="000000"/>
      <w:sz w:val="16"/>
      <w:szCs w:val="16"/>
    </w:rPr>
  </w:style>
  <w:style w:type="character" w:customStyle="1" w:styleId="A12">
    <w:name w:val="A12"/>
    <w:uiPriority w:val="99"/>
    <w:rsid w:val="00AD59CC"/>
    <w:rPr>
      <w:rFonts w:cs="ITC Legacy Sans"/>
      <w:color w:val="000000"/>
      <w:sz w:val="10"/>
      <w:szCs w:val="10"/>
    </w:rPr>
  </w:style>
  <w:style w:type="character" w:styleId="Marquedecommentaire">
    <w:name w:val="annotation reference"/>
    <w:basedOn w:val="Policepardfaut"/>
    <w:uiPriority w:val="99"/>
    <w:semiHidden/>
    <w:unhideWhenUsed/>
    <w:rsid w:val="006C708C"/>
    <w:rPr>
      <w:sz w:val="16"/>
      <w:szCs w:val="16"/>
    </w:rPr>
  </w:style>
  <w:style w:type="paragraph" w:styleId="Commentaire">
    <w:name w:val="annotation text"/>
    <w:basedOn w:val="Normal"/>
    <w:link w:val="CommentaireCar"/>
    <w:uiPriority w:val="99"/>
    <w:semiHidden/>
    <w:unhideWhenUsed/>
    <w:rsid w:val="006C708C"/>
    <w:pPr>
      <w:spacing w:line="240" w:lineRule="auto"/>
    </w:pPr>
    <w:rPr>
      <w:sz w:val="20"/>
      <w:szCs w:val="20"/>
    </w:rPr>
  </w:style>
  <w:style w:type="character" w:customStyle="1" w:styleId="CommentaireCar">
    <w:name w:val="Commentaire Car"/>
    <w:basedOn w:val="Policepardfaut"/>
    <w:link w:val="Commentaire"/>
    <w:uiPriority w:val="99"/>
    <w:semiHidden/>
    <w:rsid w:val="006C708C"/>
    <w:rPr>
      <w:sz w:val="20"/>
      <w:szCs w:val="20"/>
    </w:rPr>
  </w:style>
  <w:style w:type="paragraph" w:styleId="Objetducommentaire">
    <w:name w:val="annotation subject"/>
    <w:basedOn w:val="Commentaire"/>
    <w:next w:val="Commentaire"/>
    <w:link w:val="ObjetducommentaireCar"/>
    <w:uiPriority w:val="99"/>
    <w:semiHidden/>
    <w:unhideWhenUsed/>
    <w:rsid w:val="006C708C"/>
    <w:rPr>
      <w:b/>
      <w:bCs/>
    </w:rPr>
  </w:style>
  <w:style w:type="character" w:customStyle="1" w:styleId="ObjetducommentaireCar">
    <w:name w:val="Objet du commentaire Car"/>
    <w:basedOn w:val="CommentaireCar"/>
    <w:link w:val="Objetducommentaire"/>
    <w:uiPriority w:val="99"/>
    <w:semiHidden/>
    <w:rsid w:val="006C708C"/>
    <w:rPr>
      <w:b/>
      <w:bCs/>
      <w:sz w:val="20"/>
      <w:szCs w:val="20"/>
    </w:rPr>
  </w:style>
  <w:style w:type="paragraph" w:styleId="Textedebulles">
    <w:name w:val="Balloon Text"/>
    <w:basedOn w:val="Normal"/>
    <w:link w:val="TextedebullesCar"/>
    <w:uiPriority w:val="99"/>
    <w:semiHidden/>
    <w:unhideWhenUsed/>
    <w:rsid w:val="006C708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C708C"/>
    <w:rPr>
      <w:rFonts w:ascii="Tahoma" w:hAnsi="Tahoma" w:cs="Tahoma"/>
      <w:sz w:val="16"/>
      <w:szCs w:val="16"/>
    </w:rPr>
  </w:style>
  <w:style w:type="character" w:customStyle="1" w:styleId="TestonotaapidipaginaCarattere1">
    <w:name w:val="Testo nota a piè di pagina Carattere1"/>
    <w:aliases w:val="Footnote Carattere,Schriftart: 9 pt Carattere,Schriftart: 10 pt Carattere,Schriftart: 8 pt Carattere,o Carattere,Testo nota a piè di pagina Carattere Carattere,Footnote text Carattere,Fußnote Carattere,f Carattere"/>
    <w:uiPriority w:val="99"/>
    <w:rsid w:val="00D63FB1"/>
    <w:rPr>
      <w:rFonts w:ascii="Times New Roman" w:eastAsia="Times New Roman" w:hAnsi="Times New Roman" w:cs="Times New Roman"/>
      <w:sz w:val="18"/>
      <w:szCs w:val="20"/>
      <w:lang w:val="de-AT" w:eastAsia="de-AT"/>
    </w:rPr>
  </w:style>
  <w:style w:type="paragraph" w:customStyle="1" w:styleId="FootnoteReferenceLVL6">
    <w:name w:val="Footnote Reference_LVL6"/>
    <w:aliases w:val="Footnote Reference_LVL61,Footnote Reference_LVL62,Footnote Reference_LVL63,Footnote Reference_LVL64,fr,Odwo&lt;0142&gt;anie przypisu,SUPER,BVI fnr Char1 Char,Odwołanie przypisu"/>
    <w:basedOn w:val="Normal"/>
    <w:next w:val="Normal"/>
    <w:link w:val="Appelnotedebasdep"/>
    <w:uiPriority w:val="19"/>
    <w:rsid w:val="00D63FB1"/>
    <w:pPr>
      <w:spacing w:after="60" w:line="240" w:lineRule="auto"/>
      <w:jc w:val="both"/>
    </w:pPr>
    <w:rPr>
      <w:vertAlign w:val="superscript"/>
    </w:rPr>
  </w:style>
  <w:style w:type="paragraph" w:customStyle="1" w:styleId="FGBbullet">
    <w:name w:val="FGB bullet"/>
    <w:basedOn w:val="FGBtext"/>
    <w:qFormat/>
    <w:rsid w:val="004B6B45"/>
    <w:pPr>
      <w:numPr>
        <w:numId w:val="5"/>
      </w:numPr>
    </w:pPr>
    <w:rPr>
      <w:rFonts w:eastAsiaTheme="minorEastAsia" w:cstheme="minorBidi"/>
      <w:szCs w:val="20"/>
      <w:lang w:eastAsia="en-US"/>
    </w:rPr>
  </w:style>
  <w:style w:type="paragraph" w:customStyle="1" w:styleId="FGBtext">
    <w:name w:val="FGB text"/>
    <w:basedOn w:val="Normal"/>
    <w:qFormat/>
    <w:rsid w:val="004B6B45"/>
    <w:pPr>
      <w:spacing w:after="120"/>
      <w:jc w:val="both"/>
    </w:pPr>
    <w:rPr>
      <w:rFonts w:ascii="Gill Sans MT" w:eastAsia="Times New Roman" w:hAnsi="Gill Sans MT" w:cs="Times New Roman"/>
      <w:lang w:val="en-GB" w:eastAsia="en-GB"/>
    </w:rPr>
  </w:style>
  <w:style w:type="character" w:customStyle="1" w:styleId="personname">
    <w:name w:val="person_name"/>
    <w:basedOn w:val="Policepardfaut"/>
    <w:rsid w:val="00FF41DF"/>
  </w:style>
  <w:style w:type="character" w:styleId="Accentuation">
    <w:name w:val="Emphasis"/>
    <w:basedOn w:val="Policepardfaut"/>
    <w:uiPriority w:val="20"/>
    <w:qFormat/>
    <w:rsid w:val="00FF41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535626">
      <w:bodyDiv w:val="1"/>
      <w:marLeft w:val="0"/>
      <w:marRight w:val="0"/>
      <w:marTop w:val="0"/>
      <w:marBottom w:val="0"/>
      <w:divBdr>
        <w:top w:val="none" w:sz="0" w:space="0" w:color="auto"/>
        <w:left w:val="none" w:sz="0" w:space="0" w:color="auto"/>
        <w:bottom w:val="none" w:sz="0" w:space="0" w:color="auto"/>
        <w:right w:val="none" w:sz="0" w:space="0" w:color="auto"/>
      </w:divBdr>
    </w:div>
    <w:div w:id="1069301741">
      <w:bodyDiv w:val="1"/>
      <w:marLeft w:val="0"/>
      <w:marRight w:val="0"/>
      <w:marTop w:val="0"/>
      <w:marBottom w:val="0"/>
      <w:divBdr>
        <w:top w:val="none" w:sz="0" w:space="0" w:color="auto"/>
        <w:left w:val="none" w:sz="0" w:space="0" w:color="auto"/>
        <w:bottom w:val="none" w:sz="0" w:space="0" w:color="auto"/>
        <w:right w:val="none" w:sz="0" w:space="0" w:color="auto"/>
      </w:divBdr>
      <w:divsChild>
        <w:div w:id="617376557">
          <w:marLeft w:val="0"/>
          <w:marRight w:val="0"/>
          <w:marTop w:val="0"/>
          <w:marBottom w:val="0"/>
          <w:divBdr>
            <w:top w:val="none" w:sz="0" w:space="0" w:color="auto"/>
            <w:left w:val="none" w:sz="0" w:space="0" w:color="auto"/>
            <w:bottom w:val="none" w:sz="0" w:space="0" w:color="auto"/>
            <w:right w:val="none" w:sz="0" w:space="0" w:color="auto"/>
          </w:divBdr>
        </w:div>
        <w:div w:id="1412432543">
          <w:marLeft w:val="0"/>
          <w:marRight w:val="0"/>
          <w:marTop w:val="0"/>
          <w:marBottom w:val="0"/>
          <w:divBdr>
            <w:top w:val="none" w:sz="0" w:space="0" w:color="auto"/>
            <w:left w:val="none" w:sz="0" w:space="0" w:color="auto"/>
            <w:bottom w:val="none" w:sz="0" w:space="0" w:color="auto"/>
            <w:right w:val="none" w:sz="0" w:space="0" w:color="auto"/>
          </w:divBdr>
        </w:div>
        <w:div w:id="685788863">
          <w:marLeft w:val="0"/>
          <w:marRight w:val="0"/>
          <w:marTop w:val="0"/>
          <w:marBottom w:val="0"/>
          <w:divBdr>
            <w:top w:val="none" w:sz="0" w:space="0" w:color="auto"/>
            <w:left w:val="none" w:sz="0" w:space="0" w:color="auto"/>
            <w:bottom w:val="none" w:sz="0" w:space="0" w:color="auto"/>
            <w:right w:val="none" w:sz="0" w:space="0" w:color="auto"/>
          </w:divBdr>
        </w:div>
        <w:div w:id="235745132">
          <w:marLeft w:val="0"/>
          <w:marRight w:val="0"/>
          <w:marTop w:val="0"/>
          <w:marBottom w:val="0"/>
          <w:divBdr>
            <w:top w:val="none" w:sz="0" w:space="0" w:color="auto"/>
            <w:left w:val="none" w:sz="0" w:space="0" w:color="auto"/>
            <w:bottom w:val="none" w:sz="0" w:space="0" w:color="auto"/>
            <w:right w:val="none" w:sz="0" w:space="0" w:color="auto"/>
          </w:divBdr>
        </w:div>
        <w:div w:id="1675648475">
          <w:marLeft w:val="0"/>
          <w:marRight w:val="0"/>
          <w:marTop w:val="0"/>
          <w:marBottom w:val="0"/>
          <w:divBdr>
            <w:top w:val="none" w:sz="0" w:space="0" w:color="auto"/>
            <w:left w:val="none" w:sz="0" w:space="0" w:color="auto"/>
            <w:bottom w:val="none" w:sz="0" w:space="0" w:color="auto"/>
            <w:right w:val="none" w:sz="0" w:space="0" w:color="auto"/>
          </w:divBdr>
        </w:div>
        <w:div w:id="1208224607">
          <w:marLeft w:val="0"/>
          <w:marRight w:val="0"/>
          <w:marTop w:val="0"/>
          <w:marBottom w:val="0"/>
          <w:divBdr>
            <w:top w:val="none" w:sz="0" w:space="0" w:color="auto"/>
            <w:left w:val="none" w:sz="0" w:space="0" w:color="auto"/>
            <w:bottom w:val="none" w:sz="0" w:space="0" w:color="auto"/>
            <w:right w:val="none" w:sz="0" w:space="0" w:color="auto"/>
          </w:divBdr>
        </w:div>
        <w:div w:id="1204058984">
          <w:marLeft w:val="0"/>
          <w:marRight w:val="0"/>
          <w:marTop w:val="0"/>
          <w:marBottom w:val="0"/>
          <w:divBdr>
            <w:top w:val="none" w:sz="0" w:space="0" w:color="auto"/>
            <w:left w:val="none" w:sz="0" w:space="0" w:color="auto"/>
            <w:bottom w:val="none" w:sz="0" w:space="0" w:color="auto"/>
            <w:right w:val="none" w:sz="0" w:space="0" w:color="auto"/>
          </w:divBdr>
        </w:div>
        <w:div w:id="1605652932">
          <w:marLeft w:val="0"/>
          <w:marRight w:val="0"/>
          <w:marTop w:val="0"/>
          <w:marBottom w:val="0"/>
          <w:divBdr>
            <w:top w:val="none" w:sz="0" w:space="0" w:color="auto"/>
            <w:left w:val="none" w:sz="0" w:space="0" w:color="auto"/>
            <w:bottom w:val="none" w:sz="0" w:space="0" w:color="auto"/>
            <w:right w:val="none" w:sz="0" w:space="0" w:color="auto"/>
          </w:divBdr>
        </w:div>
        <w:div w:id="2019916880">
          <w:marLeft w:val="0"/>
          <w:marRight w:val="0"/>
          <w:marTop w:val="0"/>
          <w:marBottom w:val="0"/>
          <w:divBdr>
            <w:top w:val="none" w:sz="0" w:space="0" w:color="auto"/>
            <w:left w:val="none" w:sz="0" w:space="0" w:color="auto"/>
            <w:bottom w:val="none" w:sz="0" w:space="0" w:color="auto"/>
            <w:right w:val="none" w:sz="0" w:space="0" w:color="auto"/>
          </w:divBdr>
        </w:div>
        <w:div w:id="1143237513">
          <w:marLeft w:val="0"/>
          <w:marRight w:val="0"/>
          <w:marTop w:val="0"/>
          <w:marBottom w:val="0"/>
          <w:divBdr>
            <w:top w:val="none" w:sz="0" w:space="0" w:color="auto"/>
            <w:left w:val="none" w:sz="0" w:space="0" w:color="auto"/>
            <w:bottom w:val="none" w:sz="0" w:space="0" w:color="auto"/>
            <w:right w:val="none" w:sz="0" w:space="0" w:color="auto"/>
          </w:divBdr>
        </w:div>
        <w:div w:id="2135950905">
          <w:marLeft w:val="0"/>
          <w:marRight w:val="0"/>
          <w:marTop w:val="0"/>
          <w:marBottom w:val="0"/>
          <w:divBdr>
            <w:top w:val="none" w:sz="0" w:space="0" w:color="auto"/>
            <w:left w:val="none" w:sz="0" w:space="0" w:color="auto"/>
            <w:bottom w:val="none" w:sz="0" w:space="0" w:color="auto"/>
            <w:right w:val="none" w:sz="0" w:space="0" w:color="auto"/>
          </w:divBdr>
        </w:div>
        <w:div w:id="1210609536">
          <w:marLeft w:val="0"/>
          <w:marRight w:val="0"/>
          <w:marTop w:val="0"/>
          <w:marBottom w:val="0"/>
          <w:divBdr>
            <w:top w:val="none" w:sz="0" w:space="0" w:color="auto"/>
            <w:left w:val="none" w:sz="0" w:space="0" w:color="auto"/>
            <w:bottom w:val="none" w:sz="0" w:space="0" w:color="auto"/>
            <w:right w:val="none" w:sz="0" w:space="0" w:color="auto"/>
          </w:divBdr>
        </w:div>
        <w:div w:id="963580799">
          <w:marLeft w:val="0"/>
          <w:marRight w:val="0"/>
          <w:marTop w:val="0"/>
          <w:marBottom w:val="0"/>
          <w:divBdr>
            <w:top w:val="none" w:sz="0" w:space="0" w:color="auto"/>
            <w:left w:val="none" w:sz="0" w:space="0" w:color="auto"/>
            <w:bottom w:val="none" w:sz="0" w:space="0" w:color="auto"/>
            <w:right w:val="none" w:sz="0" w:space="0" w:color="auto"/>
          </w:divBdr>
        </w:div>
        <w:div w:id="83186888">
          <w:marLeft w:val="0"/>
          <w:marRight w:val="0"/>
          <w:marTop w:val="0"/>
          <w:marBottom w:val="0"/>
          <w:divBdr>
            <w:top w:val="none" w:sz="0" w:space="0" w:color="auto"/>
            <w:left w:val="none" w:sz="0" w:space="0" w:color="auto"/>
            <w:bottom w:val="none" w:sz="0" w:space="0" w:color="auto"/>
            <w:right w:val="none" w:sz="0" w:space="0" w:color="auto"/>
          </w:divBdr>
        </w:div>
        <w:div w:id="354621087">
          <w:marLeft w:val="0"/>
          <w:marRight w:val="0"/>
          <w:marTop w:val="0"/>
          <w:marBottom w:val="0"/>
          <w:divBdr>
            <w:top w:val="none" w:sz="0" w:space="0" w:color="auto"/>
            <w:left w:val="none" w:sz="0" w:space="0" w:color="auto"/>
            <w:bottom w:val="none" w:sz="0" w:space="0" w:color="auto"/>
            <w:right w:val="none" w:sz="0" w:space="0" w:color="auto"/>
          </w:divBdr>
        </w:div>
        <w:div w:id="1625766056">
          <w:marLeft w:val="0"/>
          <w:marRight w:val="0"/>
          <w:marTop w:val="0"/>
          <w:marBottom w:val="0"/>
          <w:divBdr>
            <w:top w:val="none" w:sz="0" w:space="0" w:color="auto"/>
            <w:left w:val="none" w:sz="0" w:space="0" w:color="auto"/>
            <w:bottom w:val="none" w:sz="0" w:space="0" w:color="auto"/>
            <w:right w:val="none" w:sz="0" w:space="0" w:color="auto"/>
          </w:divBdr>
        </w:div>
        <w:div w:id="616716706">
          <w:marLeft w:val="0"/>
          <w:marRight w:val="0"/>
          <w:marTop w:val="0"/>
          <w:marBottom w:val="0"/>
          <w:divBdr>
            <w:top w:val="none" w:sz="0" w:space="0" w:color="auto"/>
            <w:left w:val="none" w:sz="0" w:space="0" w:color="auto"/>
            <w:bottom w:val="none" w:sz="0" w:space="0" w:color="auto"/>
            <w:right w:val="none" w:sz="0" w:space="0" w:color="auto"/>
          </w:divBdr>
        </w:div>
        <w:div w:id="1330979772">
          <w:marLeft w:val="0"/>
          <w:marRight w:val="0"/>
          <w:marTop w:val="0"/>
          <w:marBottom w:val="0"/>
          <w:divBdr>
            <w:top w:val="none" w:sz="0" w:space="0" w:color="auto"/>
            <w:left w:val="none" w:sz="0" w:space="0" w:color="auto"/>
            <w:bottom w:val="none" w:sz="0" w:space="0" w:color="auto"/>
            <w:right w:val="none" w:sz="0" w:space="0" w:color="auto"/>
          </w:divBdr>
        </w:div>
        <w:div w:id="2117868087">
          <w:marLeft w:val="0"/>
          <w:marRight w:val="0"/>
          <w:marTop w:val="0"/>
          <w:marBottom w:val="0"/>
          <w:divBdr>
            <w:top w:val="none" w:sz="0" w:space="0" w:color="auto"/>
            <w:left w:val="none" w:sz="0" w:space="0" w:color="auto"/>
            <w:bottom w:val="none" w:sz="0" w:space="0" w:color="auto"/>
            <w:right w:val="none" w:sz="0" w:space="0" w:color="auto"/>
          </w:divBdr>
        </w:div>
        <w:div w:id="1014696236">
          <w:marLeft w:val="0"/>
          <w:marRight w:val="0"/>
          <w:marTop w:val="0"/>
          <w:marBottom w:val="0"/>
          <w:divBdr>
            <w:top w:val="none" w:sz="0" w:space="0" w:color="auto"/>
            <w:left w:val="none" w:sz="0" w:space="0" w:color="auto"/>
            <w:bottom w:val="none" w:sz="0" w:space="0" w:color="auto"/>
            <w:right w:val="none" w:sz="0" w:space="0" w:color="auto"/>
          </w:divBdr>
        </w:div>
        <w:div w:id="1937328267">
          <w:marLeft w:val="0"/>
          <w:marRight w:val="0"/>
          <w:marTop w:val="0"/>
          <w:marBottom w:val="0"/>
          <w:divBdr>
            <w:top w:val="none" w:sz="0" w:space="0" w:color="auto"/>
            <w:left w:val="none" w:sz="0" w:space="0" w:color="auto"/>
            <w:bottom w:val="none" w:sz="0" w:space="0" w:color="auto"/>
            <w:right w:val="none" w:sz="0" w:space="0" w:color="auto"/>
          </w:divBdr>
        </w:div>
        <w:div w:id="711614032">
          <w:marLeft w:val="0"/>
          <w:marRight w:val="0"/>
          <w:marTop w:val="0"/>
          <w:marBottom w:val="0"/>
          <w:divBdr>
            <w:top w:val="none" w:sz="0" w:space="0" w:color="auto"/>
            <w:left w:val="none" w:sz="0" w:space="0" w:color="auto"/>
            <w:bottom w:val="none" w:sz="0" w:space="0" w:color="auto"/>
            <w:right w:val="none" w:sz="0" w:space="0" w:color="auto"/>
          </w:divBdr>
        </w:div>
        <w:div w:id="1152672393">
          <w:marLeft w:val="0"/>
          <w:marRight w:val="0"/>
          <w:marTop w:val="0"/>
          <w:marBottom w:val="0"/>
          <w:divBdr>
            <w:top w:val="none" w:sz="0" w:space="0" w:color="auto"/>
            <w:left w:val="none" w:sz="0" w:space="0" w:color="auto"/>
            <w:bottom w:val="none" w:sz="0" w:space="0" w:color="auto"/>
            <w:right w:val="none" w:sz="0" w:space="0" w:color="auto"/>
          </w:divBdr>
        </w:div>
        <w:div w:id="978416892">
          <w:marLeft w:val="0"/>
          <w:marRight w:val="0"/>
          <w:marTop w:val="0"/>
          <w:marBottom w:val="0"/>
          <w:divBdr>
            <w:top w:val="none" w:sz="0" w:space="0" w:color="auto"/>
            <w:left w:val="none" w:sz="0" w:space="0" w:color="auto"/>
            <w:bottom w:val="none" w:sz="0" w:space="0" w:color="auto"/>
            <w:right w:val="none" w:sz="0" w:space="0" w:color="auto"/>
          </w:divBdr>
        </w:div>
        <w:div w:id="258101563">
          <w:marLeft w:val="0"/>
          <w:marRight w:val="0"/>
          <w:marTop w:val="0"/>
          <w:marBottom w:val="0"/>
          <w:divBdr>
            <w:top w:val="none" w:sz="0" w:space="0" w:color="auto"/>
            <w:left w:val="none" w:sz="0" w:space="0" w:color="auto"/>
            <w:bottom w:val="none" w:sz="0" w:space="0" w:color="auto"/>
            <w:right w:val="none" w:sz="0" w:space="0" w:color="auto"/>
          </w:divBdr>
        </w:div>
        <w:div w:id="1794714902">
          <w:marLeft w:val="0"/>
          <w:marRight w:val="0"/>
          <w:marTop w:val="0"/>
          <w:marBottom w:val="0"/>
          <w:divBdr>
            <w:top w:val="none" w:sz="0" w:space="0" w:color="auto"/>
            <w:left w:val="none" w:sz="0" w:space="0" w:color="auto"/>
            <w:bottom w:val="none" w:sz="0" w:space="0" w:color="auto"/>
            <w:right w:val="none" w:sz="0" w:space="0" w:color="auto"/>
          </w:divBdr>
        </w:div>
        <w:div w:id="736711542">
          <w:marLeft w:val="0"/>
          <w:marRight w:val="0"/>
          <w:marTop w:val="0"/>
          <w:marBottom w:val="0"/>
          <w:divBdr>
            <w:top w:val="none" w:sz="0" w:space="0" w:color="auto"/>
            <w:left w:val="none" w:sz="0" w:space="0" w:color="auto"/>
            <w:bottom w:val="none" w:sz="0" w:space="0" w:color="auto"/>
            <w:right w:val="none" w:sz="0" w:space="0" w:color="auto"/>
          </w:divBdr>
        </w:div>
        <w:div w:id="1758404936">
          <w:marLeft w:val="0"/>
          <w:marRight w:val="0"/>
          <w:marTop w:val="0"/>
          <w:marBottom w:val="0"/>
          <w:divBdr>
            <w:top w:val="none" w:sz="0" w:space="0" w:color="auto"/>
            <w:left w:val="none" w:sz="0" w:space="0" w:color="auto"/>
            <w:bottom w:val="none" w:sz="0" w:space="0" w:color="auto"/>
            <w:right w:val="none" w:sz="0" w:space="0" w:color="auto"/>
          </w:divBdr>
        </w:div>
        <w:div w:id="1302225742">
          <w:marLeft w:val="0"/>
          <w:marRight w:val="0"/>
          <w:marTop w:val="0"/>
          <w:marBottom w:val="0"/>
          <w:divBdr>
            <w:top w:val="none" w:sz="0" w:space="0" w:color="auto"/>
            <w:left w:val="none" w:sz="0" w:space="0" w:color="auto"/>
            <w:bottom w:val="none" w:sz="0" w:space="0" w:color="auto"/>
            <w:right w:val="none" w:sz="0" w:space="0" w:color="auto"/>
          </w:divBdr>
        </w:div>
        <w:div w:id="992106157">
          <w:marLeft w:val="0"/>
          <w:marRight w:val="0"/>
          <w:marTop w:val="0"/>
          <w:marBottom w:val="0"/>
          <w:divBdr>
            <w:top w:val="none" w:sz="0" w:space="0" w:color="auto"/>
            <w:left w:val="none" w:sz="0" w:space="0" w:color="auto"/>
            <w:bottom w:val="none" w:sz="0" w:space="0" w:color="auto"/>
            <w:right w:val="none" w:sz="0" w:space="0" w:color="auto"/>
          </w:divBdr>
        </w:div>
        <w:div w:id="1291284609">
          <w:marLeft w:val="0"/>
          <w:marRight w:val="0"/>
          <w:marTop w:val="0"/>
          <w:marBottom w:val="0"/>
          <w:divBdr>
            <w:top w:val="none" w:sz="0" w:space="0" w:color="auto"/>
            <w:left w:val="none" w:sz="0" w:space="0" w:color="auto"/>
            <w:bottom w:val="none" w:sz="0" w:space="0" w:color="auto"/>
            <w:right w:val="none" w:sz="0" w:space="0" w:color="auto"/>
          </w:divBdr>
        </w:div>
        <w:div w:id="773743248">
          <w:marLeft w:val="0"/>
          <w:marRight w:val="0"/>
          <w:marTop w:val="0"/>
          <w:marBottom w:val="0"/>
          <w:divBdr>
            <w:top w:val="none" w:sz="0" w:space="0" w:color="auto"/>
            <w:left w:val="none" w:sz="0" w:space="0" w:color="auto"/>
            <w:bottom w:val="none" w:sz="0" w:space="0" w:color="auto"/>
            <w:right w:val="none" w:sz="0" w:space="0" w:color="auto"/>
          </w:divBdr>
        </w:div>
        <w:div w:id="1428193256">
          <w:marLeft w:val="0"/>
          <w:marRight w:val="0"/>
          <w:marTop w:val="0"/>
          <w:marBottom w:val="0"/>
          <w:divBdr>
            <w:top w:val="none" w:sz="0" w:space="0" w:color="auto"/>
            <w:left w:val="none" w:sz="0" w:space="0" w:color="auto"/>
            <w:bottom w:val="none" w:sz="0" w:space="0" w:color="auto"/>
            <w:right w:val="none" w:sz="0" w:space="0" w:color="auto"/>
          </w:divBdr>
        </w:div>
        <w:div w:id="351955914">
          <w:marLeft w:val="0"/>
          <w:marRight w:val="0"/>
          <w:marTop w:val="0"/>
          <w:marBottom w:val="0"/>
          <w:divBdr>
            <w:top w:val="none" w:sz="0" w:space="0" w:color="auto"/>
            <w:left w:val="none" w:sz="0" w:space="0" w:color="auto"/>
            <w:bottom w:val="none" w:sz="0" w:space="0" w:color="auto"/>
            <w:right w:val="none" w:sz="0" w:space="0" w:color="auto"/>
          </w:divBdr>
        </w:div>
        <w:div w:id="1435321820">
          <w:marLeft w:val="0"/>
          <w:marRight w:val="0"/>
          <w:marTop w:val="0"/>
          <w:marBottom w:val="0"/>
          <w:divBdr>
            <w:top w:val="none" w:sz="0" w:space="0" w:color="auto"/>
            <w:left w:val="none" w:sz="0" w:space="0" w:color="auto"/>
            <w:bottom w:val="none" w:sz="0" w:space="0" w:color="auto"/>
            <w:right w:val="none" w:sz="0" w:space="0" w:color="auto"/>
          </w:divBdr>
        </w:div>
        <w:div w:id="492180371">
          <w:marLeft w:val="0"/>
          <w:marRight w:val="0"/>
          <w:marTop w:val="0"/>
          <w:marBottom w:val="0"/>
          <w:divBdr>
            <w:top w:val="none" w:sz="0" w:space="0" w:color="auto"/>
            <w:left w:val="none" w:sz="0" w:space="0" w:color="auto"/>
            <w:bottom w:val="none" w:sz="0" w:space="0" w:color="auto"/>
            <w:right w:val="none" w:sz="0" w:space="0" w:color="auto"/>
          </w:divBdr>
        </w:div>
        <w:div w:id="2081638962">
          <w:marLeft w:val="0"/>
          <w:marRight w:val="0"/>
          <w:marTop w:val="0"/>
          <w:marBottom w:val="0"/>
          <w:divBdr>
            <w:top w:val="none" w:sz="0" w:space="0" w:color="auto"/>
            <w:left w:val="none" w:sz="0" w:space="0" w:color="auto"/>
            <w:bottom w:val="none" w:sz="0" w:space="0" w:color="auto"/>
            <w:right w:val="none" w:sz="0" w:space="0" w:color="auto"/>
          </w:divBdr>
        </w:div>
        <w:div w:id="1862275177">
          <w:marLeft w:val="0"/>
          <w:marRight w:val="0"/>
          <w:marTop w:val="0"/>
          <w:marBottom w:val="0"/>
          <w:divBdr>
            <w:top w:val="none" w:sz="0" w:space="0" w:color="auto"/>
            <w:left w:val="none" w:sz="0" w:space="0" w:color="auto"/>
            <w:bottom w:val="none" w:sz="0" w:space="0" w:color="auto"/>
            <w:right w:val="none" w:sz="0" w:space="0" w:color="auto"/>
          </w:divBdr>
        </w:div>
        <w:div w:id="499538887">
          <w:marLeft w:val="0"/>
          <w:marRight w:val="0"/>
          <w:marTop w:val="0"/>
          <w:marBottom w:val="0"/>
          <w:divBdr>
            <w:top w:val="none" w:sz="0" w:space="0" w:color="auto"/>
            <w:left w:val="none" w:sz="0" w:space="0" w:color="auto"/>
            <w:bottom w:val="none" w:sz="0" w:space="0" w:color="auto"/>
            <w:right w:val="none" w:sz="0" w:space="0" w:color="auto"/>
          </w:divBdr>
        </w:div>
        <w:div w:id="56321302">
          <w:marLeft w:val="0"/>
          <w:marRight w:val="0"/>
          <w:marTop w:val="0"/>
          <w:marBottom w:val="0"/>
          <w:divBdr>
            <w:top w:val="none" w:sz="0" w:space="0" w:color="auto"/>
            <w:left w:val="none" w:sz="0" w:space="0" w:color="auto"/>
            <w:bottom w:val="none" w:sz="0" w:space="0" w:color="auto"/>
            <w:right w:val="none" w:sz="0" w:space="0" w:color="auto"/>
          </w:divBdr>
        </w:div>
        <w:div w:id="713848811">
          <w:marLeft w:val="0"/>
          <w:marRight w:val="0"/>
          <w:marTop w:val="0"/>
          <w:marBottom w:val="0"/>
          <w:divBdr>
            <w:top w:val="none" w:sz="0" w:space="0" w:color="auto"/>
            <w:left w:val="none" w:sz="0" w:space="0" w:color="auto"/>
            <w:bottom w:val="none" w:sz="0" w:space="0" w:color="auto"/>
            <w:right w:val="none" w:sz="0" w:space="0" w:color="auto"/>
          </w:divBdr>
        </w:div>
        <w:div w:id="632520524">
          <w:marLeft w:val="0"/>
          <w:marRight w:val="0"/>
          <w:marTop w:val="0"/>
          <w:marBottom w:val="0"/>
          <w:divBdr>
            <w:top w:val="none" w:sz="0" w:space="0" w:color="auto"/>
            <w:left w:val="none" w:sz="0" w:space="0" w:color="auto"/>
            <w:bottom w:val="none" w:sz="0" w:space="0" w:color="auto"/>
            <w:right w:val="none" w:sz="0" w:space="0" w:color="auto"/>
          </w:divBdr>
        </w:div>
        <w:div w:id="791706639">
          <w:marLeft w:val="0"/>
          <w:marRight w:val="0"/>
          <w:marTop w:val="0"/>
          <w:marBottom w:val="0"/>
          <w:divBdr>
            <w:top w:val="none" w:sz="0" w:space="0" w:color="auto"/>
            <w:left w:val="none" w:sz="0" w:space="0" w:color="auto"/>
            <w:bottom w:val="none" w:sz="0" w:space="0" w:color="auto"/>
            <w:right w:val="none" w:sz="0" w:space="0" w:color="auto"/>
          </w:divBdr>
        </w:div>
        <w:div w:id="2093308397">
          <w:marLeft w:val="0"/>
          <w:marRight w:val="0"/>
          <w:marTop w:val="0"/>
          <w:marBottom w:val="0"/>
          <w:divBdr>
            <w:top w:val="none" w:sz="0" w:space="0" w:color="auto"/>
            <w:left w:val="none" w:sz="0" w:space="0" w:color="auto"/>
            <w:bottom w:val="none" w:sz="0" w:space="0" w:color="auto"/>
            <w:right w:val="none" w:sz="0" w:space="0" w:color="auto"/>
          </w:divBdr>
        </w:div>
        <w:div w:id="1820340528">
          <w:marLeft w:val="0"/>
          <w:marRight w:val="0"/>
          <w:marTop w:val="0"/>
          <w:marBottom w:val="0"/>
          <w:divBdr>
            <w:top w:val="none" w:sz="0" w:space="0" w:color="auto"/>
            <w:left w:val="none" w:sz="0" w:space="0" w:color="auto"/>
            <w:bottom w:val="none" w:sz="0" w:space="0" w:color="auto"/>
            <w:right w:val="none" w:sz="0" w:space="0" w:color="auto"/>
          </w:divBdr>
        </w:div>
        <w:div w:id="201402128">
          <w:marLeft w:val="0"/>
          <w:marRight w:val="0"/>
          <w:marTop w:val="0"/>
          <w:marBottom w:val="0"/>
          <w:divBdr>
            <w:top w:val="none" w:sz="0" w:space="0" w:color="auto"/>
            <w:left w:val="none" w:sz="0" w:space="0" w:color="auto"/>
            <w:bottom w:val="none" w:sz="0" w:space="0" w:color="auto"/>
            <w:right w:val="none" w:sz="0" w:space="0" w:color="auto"/>
          </w:divBdr>
        </w:div>
        <w:div w:id="294868888">
          <w:marLeft w:val="0"/>
          <w:marRight w:val="0"/>
          <w:marTop w:val="0"/>
          <w:marBottom w:val="0"/>
          <w:divBdr>
            <w:top w:val="none" w:sz="0" w:space="0" w:color="auto"/>
            <w:left w:val="none" w:sz="0" w:space="0" w:color="auto"/>
            <w:bottom w:val="none" w:sz="0" w:space="0" w:color="auto"/>
            <w:right w:val="none" w:sz="0" w:space="0" w:color="auto"/>
          </w:divBdr>
        </w:div>
        <w:div w:id="2066291064">
          <w:marLeft w:val="0"/>
          <w:marRight w:val="0"/>
          <w:marTop w:val="0"/>
          <w:marBottom w:val="0"/>
          <w:divBdr>
            <w:top w:val="none" w:sz="0" w:space="0" w:color="auto"/>
            <w:left w:val="none" w:sz="0" w:space="0" w:color="auto"/>
            <w:bottom w:val="none" w:sz="0" w:space="0" w:color="auto"/>
            <w:right w:val="none" w:sz="0" w:space="0" w:color="auto"/>
          </w:divBdr>
        </w:div>
        <w:div w:id="241304070">
          <w:marLeft w:val="0"/>
          <w:marRight w:val="0"/>
          <w:marTop w:val="0"/>
          <w:marBottom w:val="0"/>
          <w:divBdr>
            <w:top w:val="none" w:sz="0" w:space="0" w:color="auto"/>
            <w:left w:val="none" w:sz="0" w:space="0" w:color="auto"/>
            <w:bottom w:val="none" w:sz="0" w:space="0" w:color="auto"/>
            <w:right w:val="none" w:sz="0" w:space="0" w:color="auto"/>
          </w:divBdr>
        </w:div>
        <w:div w:id="699207038">
          <w:marLeft w:val="0"/>
          <w:marRight w:val="0"/>
          <w:marTop w:val="0"/>
          <w:marBottom w:val="0"/>
          <w:divBdr>
            <w:top w:val="none" w:sz="0" w:space="0" w:color="auto"/>
            <w:left w:val="none" w:sz="0" w:space="0" w:color="auto"/>
            <w:bottom w:val="none" w:sz="0" w:space="0" w:color="auto"/>
            <w:right w:val="none" w:sz="0" w:space="0" w:color="auto"/>
          </w:divBdr>
        </w:div>
        <w:div w:id="593712674">
          <w:marLeft w:val="0"/>
          <w:marRight w:val="0"/>
          <w:marTop w:val="0"/>
          <w:marBottom w:val="0"/>
          <w:divBdr>
            <w:top w:val="none" w:sz="0" w:space="0" w:color="auto"/>
            <w:left w:val="none" w:sz="0" w:space="0" w:color="auto"/>
            <w:bottom w:val="none" w:sz="0" w:space="0" w:color="auto"/>
            <w:right w:val="none" w:sz="0" w:space="0" w:color="auto"/>
          </w:divBdr>
        </w:div>
        <w:div w:id="2134783048">
          <w:marLeft w:val="0"/>
          <w:marRight w:val="0"/>
          <w:marTop w:val="0"/>
          <w:marBottom w:val="0"/>
          <w:divBdr>
            <w:top w:val="none" w:sz="0" w:space="0" w:color="auto"/>
            <w:left w:val="none" w:sz="0" w:space="0" w:color="auto"/>
            <w:bottom w:val="none" w:sz="0" w:space="0" w:color="auto"/>
            <w:right w:val="none" w:sz="0" w:space="0" w:color="auto"/>
          </w:divBdr>
        </w:div>
        <w:div w:id="1434127676">
          <w:marLeft w:val="0"/>
          <w:marRight w:val="0"/>
          <w:marTop w:val="0"/>
          <w:marBottom w:val="0"/>
          <w:divBdr>
            <w:top w:val="none" w:sz="0" w:space="0" w:color="auto"/>
            <w:left w:val="none" w:sz="0" w:space="0" w:color="auto"/>
            <w:bottom w:val="none" w:sz="0" w:space="0" w:color="auto"/>
            <w:right w:val="none" w:sz="0" w:space="0" w:color="auto"/>
          </w:divBdr>
        </w:div>
        <w:div w:id="1040739445">
          <w:marLeft w:val="0"/>
          <w:marRight w:val="0"/>
          <w:marTop w:val="0"/>
          <w:marBottom w:val="0"/>
          <w:divBdr>
            <w:top w:val="none" w:sz="0" w:space="0" w:color="auto"/>
            <w:left w:val="none" w:sz="0" w:space="0" w:color="auto"/>
            <w:bottom w:val="none" w:sz="0" w:space="0" w:color="auto"/>
            <w:right w:val="none" w:sz="0" w:space="0" w:color="auto"/>
          </w:divBdr>
        </w:div>
        <w:div w:id="2075933318">
          <w:marLeft w:val="0"/>
          <w:marRight w:val="0"/>
          <w:marTop w:val="0"/>
          <w:marBottom w:val="0"/>
          <w:divBdr>
            <w:top w:val="none" w:sz="0" w:space="0" w:color="auto"/>
            <w:left w:val="none" w:sz="0" w:space="0" w:color="auto"/>
            <w:bottom w:val="none" w:sz="0" w:space="0" w:color="auto"/>
            <w:right w:val="none" w:sz="0" w:space="0" w:color="auto"/>
          </w:divBdr>
        </w:div>
        <w:div w:id="1241522507">
          <w:marLeft w:val="0"/>
          <w:marRight w:val="0"/>
          <w:marTop w:val="0"/>
          <w:marBottom w:val="0"/>
          <w:divBdr>
            <w:top w:val="none" w:sz="0" w:space="0" w:color="auto"/>
            <w:left w:val="none" w:sz="0" w:space="0" w:color="auto"/>
            <w:bottom w:val="none" w:sz="0" w:space="0" w:color="auto"/>
            <w:right w:val="none" w:sz="0" w:space="0" w:color="auto"/>
          </w:divBdr>
        </w:div>
        <w:div w:id="1463307987">
          <w:marLeft w:val="0"/>
          <w:marRight w:val="0"/>
          <w:marTop w:val="0"/>
          <w:marBottom w:val="0"/>
          <w:divBdr>
            <w:top w:val="none" w:sz="0" w:space="0" w:color="auto"/>
            <w:left w:val="none" w:sz="0" w:space="0" w:color="auto"/>
            <w:bottom w:val="none" w:sz="0" w:space="0" w:color="auto"/>
            <w:right w:val="none" w:sz="0" w:space="0" w:color="auto"/>
          </w:divBdr>
        </w:div>
        <w:div w:id="143939365">
          <w:marLeft w:val="0"/>
          <w:marRight w:val="0"/>
          <w:marTop w:val="0"/>
          <w:marBottom w:val="0"/>
          <w:divBdr>
            <w:top w:val="none" w:sz="0" w:space="0" w:color="auto"/>
            <w:left w:val="none" w:sz="0" w:space="0" w:color="auto"/>
            <w:bottom w:val="none" w:sz="0" w:space="0" w:color="auto"/>
            <w:right w:val="none" w:sz="0" w:space="0" w:color="auto"/>
          </w:divBdr>
        </w:div>
        <w:div w:id="1487358180">
          <w:marLeft w:val="0"/>
          <w:marRight w:val="0"/>
          <w:marTop w:val="0"/>
          <w:marBottom w:val="0"/>
          <w:divBdr>
            <w:top w:val="none" w:sz="0" w:space="0" w:color="auto"/>
            <w:left w:val="none" w:sz="0" w:space="0" w:color="auto"/>
            <w:bottom w:val="none" w:sz="0" w:space="0" w:color="auto"/>
            <w:right w:val="none" w:sz="0" w:space="0" w:color="auto"/>
          </w:divBdr>
        </w:div>
        <w:div w:id="2045640848">
          <w:marLeft w:val="0"/>
          <w:marRight w:val="0"/>
          <w:marTop w:val="0"/>
          <w:marBottom w:val="0"/>
          <w:divBdr>
            <w:top w:val="none" w:sz="0" w:space="0" w:color="auto"/>
            <w:left w:val="none" w:sz="0" w:space="0" w:color="auto"/>
            <w:bottom w:val="none" w:sz="0" w:space="0" w:color="auto"/>
            <w:right w:val="none" w:sz="0" w:space="0" w:color="auto"/>
          </w:divBdr>
        </w:div>
        <w:div w:id="643848723">
          <w:marLeft w:val="0"/>
          <w:marRight w:val="0"/>
          <w:marTop w:val="0"/>
          <w:marBottom w:val="0"/>
          <w:divBdr>
            <w:top w:val="none" w:sz="0" w:space="0" w:color="auto"/>
            <w:left w:val="none" w:sz="0" w:space="0" w:color="auto"/>
            <w:bottom w:val="none" w:sz="0" w:space="0" w:color="auto"/>
            <w:right w:val="none" w:sz="0" w:space="0" w:color="auto"/>
          </w:divBdr>
        </w:div>
        <w:div w:id="631256534">
          <w:marLeft w:val="0"/>
          <w:marRight w:val="0"/>
          <w:marTop w:val="0"/>
          <w:marBottom w:val="0"/>
          <w:divBdr>
            <w:top w:val="none" w:sz="0" w:space="0" w:color="auto"/>
            <w:left w:val="none" w:sz="0" w:space="0" w:color="auto"/>
            <w:bottom w:val="none" w:sz="0" w:space="0" w:color="auto"/>
            <w:right w:val="none" w:sz="0" w:space="0" w:color="auto"/>
          </w:divBdr>
        </w:div>
        <w:div w:id="1851524203">
          <w:marLeft w:val="0"/>
          <w:marRight w:val="0"/>
          <w:marTop w:val="0"/>
          <w:marBottom w:val="0"/>
          <w:divBdr>
            <w:top w:val="none" w:sz="0" w:space="0" w:color="auto"/>
            <w:left w:val="none" w:sz="0" w:space="0" w:color="auto"/>
            <w:bottom w:val="none" w:sz="0" w:space="0" w:color="auto"/>
            <w:right w:val="none" w:sz="0" w:space="0" w:color="auto"/>
          </w:divBdr>
        </w:div>
        <w:div w:id="373240631">
          <w:marLeft w:val="0"/>
          <w:marRight w:val="0"/>
          <w:marTop w:val="0"/>
          <w:marBottom w:val="0"/>
          <w:divBdr>
            <w:top w:val="none" w:sz="0" w:space="0" w:color="auto"/>
            <w:left w:val="none" w:sz="0" w:space="0" w:color="auto"/>
            <w:bottom w:val="none" w:sz="0" w:space="0" w:color="auto"/>
            <w:right w:val="none" w:sz="0" w:space="0" w:color="auto"/>
          </w:divBdr>
        </w:div>
        <w:div w:id="1744793101">
          <w:marLeft w:val="0"/>
          <w:marRight w:val="0"/>
          <w:marTop w:val="0"/>
          <w:marBottom w:val="0"/>
          <w:divBdr>
            <w:top w:val="none" w:sz="0" w:space="0" w:color="auto"/>
            <w:left w:val="none" w:sz="0" w:space="0" w:color="auto"/>
            <w:bottom w:val="none" w:sz="0" w:space="0" w:color="auto"/>
            <w:right w:val="none" w:sz="0" w:space="0" w:color="auto"/>
          </w:divBdr>
        </w:div>
        <w:div w:id="602230519">
          <w:marLeft w:val="0"/>
          <w:marRight w:val="0"/>
          <w:marTop w:val="0"/>
          <w:marBottom w:val="0"/>
          <w:divBdr>
            <w:top w:val="none" w:sz="0" w:space="0" w:color="auto"/>
            <w:left w:val="none" w:sz="0" w:space="0" w:color="auto"/>
            <w:bottom w:val="none" w:sz="0" w:space="0" w:color="auto"/>
            <w:right w:val="none" w:sz="0" w:space="0" w:color="auto"/>
          </w:divBdr>
        </w:div>
        <w:div w:id="2143644673">
          <w:marLeft w:val="0"/>
          <w:marRight w:val="0"/>
          <w:marTop w:val="0"/>
          <w:marBottom w:val="0"/>
          <w:divBdr>
            <w:top w:val="none" w:sz="0" w:space="0" w:color="auto"/>
            <w:left w:val="none" w:sz="0" w:space="0" w:color="auto"/>
            <w:bottom w:val="none" w:sz="0" w:space="0" w:color="auto"/>
            <w:right w:val="none" w:sz="0" w:space="0" w:color="auto"/>
          </w:divBdr>
        </w:div>
        <w:div w:id="82730576">
          <w:marLeft w:val="0"/>
          <w:marRight w:val="0"/>
          <w:marTop w:val="0"/>
          <w:marBottom w:val="0"/>
          <w:divBdr>
            <w:top w:val="none" w:sz="0" w:space="0" w:color="auto"/>
            <w:left w:val="none" w:sz="0" w:space="0" w:color="auto"/>
            <w:bottom w:val="none" w:sz="0" w:space="0" w:color="auto"/>
            <w:right w:val="none" w:sz="0" w:space="0" w:color="auto"/>
          </w:divBdr>
        </w:div>
        <w:div w:id="1294600418">
          <w:marLeft w:val="0"/>
          <w:marRight w:val="0"/>
          <w:marTop w:val="0"/>
          <w:marBottom w:val="0"/>
          <w:divBdr>
            <w:top w:val="none" w:sz="0" w:space="0" w:color="auto"/>
            <w:left w:val="none" w:sz="0" w:space="0" w:color="auto"/>
            <w:bottom w:val="none" w:sz="0" w:space="0" w:color="auto"/>
            <w:right w:val="none" w:sz="0" w:space="0" w:color="auto"/>
          </w:divBdr>
        </w:div>
        <w:div w:id="1538161225">
          <w:marLeft w:val="0"/>
          <w:marRight w:val="0"/>
          <w:marTop w:val="0"/>
          <w:marBottom w:val="0"/>
          <w:divBdr>
            <w:top w:val="none" w:sz="0" w:space="0" w:color="auto"/>
            <w:left w:val="none" w:sz="0" w:space="0" w:color="auto"/>
            <w:bottom w:val="none" w:sz="0" w:space="0" w:color="auto"/>
            <w:right w:val="none" w:sz="0" w:space="0" w:color="auto"/>
          </w:divBdr>
        </w:div>
        <w:div w:id="1641764489">
          <w:marLeft w:val="0"/>
          <w:marRight w:val="0"/>
          <w:marTop w:val="0"/>
          <w:marBottom w:val="0"/>
          <w:divBdr>
            <w:top w:val="none" w:sz="0" w:space="0" w:color="auto"/>
            <w:left w:val="none" w:sz="0" w:space="0" w:color="auto"/>
            <w:bottom w:val="none" w:sz="0" w:space="0" w:color="auto"/>
            <w:right w:val="none" w:sz="0" w:space="0" w:color="auto"/>
          </w:divBdr>
        </w:div>
        <w:div w:id="1656370539">
          <w:marLeft w:val="0"/>
          <w:marRight w:val="0"/>
          <w:marTop w:val="0"/>
          <w:marBottom w:val="0"/>
          <w:divBdr>
            <w:top w:val="none" w:sz="0" w:space="0" w:color="auto"/>
            <w:left w:val="none" w:sz="0" w:space="0" w:color="auto"/>
            <w:bottom w:val="none" w:sz="0" w:space="0" w:color="auto"/>
            <w:right w:val="none" w:sz="0" w:space="0" w:color="auto"/>
          </w:divBdr>
        </w:div>
        <w:div w:id="1356343442">
          <w:marLeft w:val="0"/>
          <w:marRight w:val="0"/>
          <w:marTop w:val="0"/>
          <w:marBottom w:val="0"/>
          <w:divBdr>
            <w:top w:val="none" w:sz="0" w:space="0" w:color="auto"/>
            <w:left w:val="none" w:sz="0" w:space="0" w:color="auto"/>
            <w:bottom w:val="none" w:sz="0" w:space="0" w:color="auto"/>
            <w:right w:val="none" w:sz="0" w:space="0" w:color="auto"/>
          </w:divBdr>
        </w:div>
        <w:div w:id="201676363">
          <w:marLeft w:val="0"/>
          <w:marRight w:val="0"/>
          <w:marTop w:val="0"/>
          <w:marBottom w:val="0"/>
          <w:divBdr>
            <w:top w:val="none" w:sz="0" w:space="0" w:color="auto"/>
            <w:left w:val="none" w:sz="0" w:space="0" w:color="auto"/>
            <w:bottom w:val="none" w:sz="0" w:space="0" w:color="auto"/>
            <w:right w:val="none" w:sz="0" w:space="0" w:color="auto"/>
          </w:divBdr>
        </w:div>
        <w:div w:id="730234792">
          <w:marLeft w:val="0"/>
          <w:marRight w:val="0"/>
          <w:marTop w:val="0"/>
          <w:marBottom w:val="0"/>
          <w:divBdr>
            <w:top w:val="none" w:sz="0" w:space="0" w:color="auto"/>
            <w:left w:val="none" w:sz="0" w:space="0" w:color="auto"/>
            <w:bottom w:val="none" w:sz="0" w:space="0" w:color="auto"/>
            <w:right w:val="none" w:sz="0" w:space="0" w:color="auto"/>
          </w:divBdr>
        </w:div>
        <w:div w:id="1943294550">
          <w:marLeft w:val="0"/>
          <w:marRight w:val="0"/>
          <w:marTop w:val="0"/>
          <w:marBottom w:val="0"/>
          <w:divBdr>
            <w:top w:val="none" w:sz="0" w:space="0" w:color="auto"/>
            <w:left w:val="none" w:sz="0" w:space="0" w:color="auto"/>
            <w:bottom w:val="none" w:sz="0" w:space="0" w:color="auto"/>
            <w:right w:val="none" w:sz="0" w:space="0" w:color="auto"/>
          </w:divBdr>
        </w:div>
        <w:div w:id="1076585672">
          <w:marLeft w:val="0"/>
          <w:marRight w:val="0"/>
          <w:marTop w:val="0"/>
          <w:marBottom w:val="0"/>
          <w:divBdr>
            <w:top w:val="none" w:sz="0" w:space="0" w:color="auto"/>
            <w:left w:val="none" w:sz="0" w:space="0" w:color="auto"/>
            <w:bottom w:val="none" w:sz="0" w:space="0" w:color="auto"/>
            <w:right w:val="none" w:sz="0" w:space="0" w:color="auto"/>
          </w:divBdr>
        </w:div>
        <w:div w:id="2124956246">
          <w:marLeft w:val="0"/>
          <w:marRight w:val="0"/>
          <w:marTop w:val="0"/>
          <w:marBottom w:val="0"/>
          <w:divBdr>
            <w:top w:val="none" w:sz="0" w:space="0" w:color="auto"/>
            <w:left w:val="none" w:sz="0" w:space="0" w:color="auto"/>
            <w:bottom w:val="none" w:sz="0" w:space="0" w:color="auto"/>
            <w:right w:val="none" w:sz="0" w:space="0" w:color="auto"/>
          </w:divBdr>
        </w:div>
        <w:div w:id="1882596439">
          <w:marLeft w:val="0"/>
          <w:marRight w:val="0"/>
          <w:marTop w:val="0"/>
          <w:marBottom w:val="0"/>
          <w:divBdr>
            <w:top w:val="none" w:sz="0" w:space="0" w:color="auto"/>
            <w:left w:val="none" w:sz="0" w:space="0" w:color="auto"/>
            <w:bottom w:val="none" w:sz="0" w:space="0" w:color="auto"/>
            <w:right w:val="none" w:sz="0" w:space="0" w:color="auto"/>
          </w:divBdr>
        </w:div>
        <w:div w:id="1106579730">
          <w:marLeft w:val="0"/>
          <w:marRight w:val="0"/>
          <w:marTop w:val="0"/>
          <w:marBottom w:val="0"/>
          <w:divBdr>
            <w:top w:val="none" w:sz="0" w:space="0" w:color="auto"/>
            <w:left w:val="none" w:sz="0" w:space="0" w:color="auto"/>
            <w:bottom w:val="none" w:sz="0" w:space="0" w:color="auto"/>
            <w:right w:val="none" w:sz="0" w:space="0" w:color="auto"/>
          </w:divBdr>
        </w:div>
        <w:div w:id="1726948910">
          <w:marLeft w:val="0"/>
          <w:marRight w:val="0"/>
          <w:marTop w:val="0"/>
          <w:marBottom w:val="0"/>
          <w:divBdr>
            <w:top w:val="none" w:sz="0" w:space="0" w:color="auto"/>
            <w:left w:val="none" w:sz="0" w:space="0" w:color="auto"/>
            <w:bottom w:val="none" w:sz="0" w:space="0" w:color="auto"/>
            <w:right w:val="none" w:sz="0" w:space="0" w:color="auto"/>
          </w:divBdr>
        </w:div>
        <w:div w:id="1033002435">
          <w:marLeft w:val="0"/>
          <w:marRight w:val="0"/>
          <w:marTop w:val="0"/>
          <w:marBottom w:val="0"/>
          <w:divBdr>
            <w:top w:val="none" w:sz="0" w:space="0" w:color="auto"/>
            <w:left w:val="none" w:sz="0" w:space="0" w:color="auto"/>
            <w:bottom w:val="none" w:sz="0" w:space="0" w:color="auto"/>
            <w:right w:val="none" w:sz="0" w:space="0" w:color="auto"/>
          </w:divBdr>
        </w:div>
        <w:div w:id="364865455">
          <w:marLeft w:val="0"/>
          <w:marRight w:val="0"/>
          <w:marTop w:val="0"/>
          <w:marBottom w:val="0"/>
          <w:divBdr>
            <w:top w:val="none" w:sz="0" w:space="0" w:color="auto"/>
            <w:left w:val="none" w:sz="0" w:space="0" w:color="auto"/>
            <w:bottom w:val="none" w:sz="0" w:space="0" w:color="auto"/>
            <w:right w:val="none" w:sz="0" w:space="0" w:color="auto"/>
          </w:divBdr>
        </w:div>
        <w:div w:id="1168639981">
          <w:marLeft w:val="0"/>
          <w:marRight w:val="0"/>
          <w:marTop w:val="0"/>
          <w:marBottom w:val="0"/>
          <w:divBdr>
            <w:top w:val="none" w:sz="0" w:space="0" w:color="auto"/>
            <w:left w:val="none" w:sz="0" w:space="0" w:color="auto"/>
            <w:bottom w:val="none" w:sz="0" w:space="0" w:color="auto"/>
            <w:right w:val="none" w:sz="0" w:space="0" w:color="auto"/>
          </w:divBdr>
        </w:div>
        <w:div w:id="429473308">
          <w:marLeft w:val="0"/>
          <w:marRight w:val="0"/>
          <w:marTop w:val="0"/>
          <w:marBottom w:val="0"/>
          <w:divBdr>
            <w:top w:val="none" w:sz="0" w:space="0" w:color="auto"/>
            <w:left w:val="none" w:sz="0" w:space="0" w:color="auto"/>
            <w:bottom w:val="none" w:sz="0" w:space="0" w:color="auto"/>
            <w:right w:val="none" w:sz="0" w:space="0" w:color="auto"/>
          </w:divBdr>
        </w:div>
        <w:div w:id="1360085175">
          <w:marLeft w:val="0"/>
          <w:marRight w:val="0"/>
          <w:marTop w:val="0"/>
          <w:marBottom w:val="0"/>
          <w:divBdr>
            <w:top w:val="none" w:sz="0" w:space="0" w:color="auto"/>
            <w:left w:val="none" w:sz="0" w:space="0" w:color="auto"/>
            <w:bottom w:val="none" w:sz="0" w:space="0" w:color="auto"/>
            <w:right w:val="none" w:sz="0" w:space="0" w:color="auto"/>
          </w:divBdr>
        </w:div>
        <w:div w:id="1110466094">
          <w:marLeft w:val="0"/>
          <w:marRight w:val="0"/>
          <w:marTop w:val="0"/>
          <w:marBottom w:val="0"/>
          <w:divBdr>
            <w:top w:val="none" w:sz="0" w:space="0" w:color="auto"/>
            <w:left w:val="none" w:sz="0" w:space="0" w:color="auto"/>
            <w:bottom w:val="none" w:sz="0" w:space="0" w:color="auto"/>
            <w:right w:val="none" w:sz="0" w:space="0" w:color="auto"/>
          </w:divBdr>
        </w:div>
        <w:div w:id="606885451">
          <w:marLeft w:val="0"/>
          <w:marRight w:val="0"/>
          <w:marTop w:val="0"/>
          <w:marBottom w:val="0"/>
          <w:divBdr>
            <w:top w:val="none" w:sz="0" w:space="0" w:color="auto"/>
            <w:left w:val="none" w:sz="0" w:space="0" w:color="auto"/>
            <w:bottom w:val="none" w:sz="0" w:space="0" w:color="auto"/>
            <w:right w:val="none" w:sz="0" w:space="0" w:color="auto"/>
          </w:divBdr>
        </w:div>
        <w:div w:id="635645736">
          <w:marLeft w:val="0"/>
          <w:marRight w:val="0"/>
          <w:marTop w:val="0"/>
          <w:marBottom w:val="0"/>
          <w:divBdr>
            <w:top w:val="none" w:sz="0" w:space="0" w:color="auto"/>
            <w:left w:val="none" w:sz="0" w:space="0" w:color="auto"/>
            <w:bottom w:val="none" w:sz="0" w:space="0" w:color="auto"/>
            <w:right w:val="none" w:sz="0" w:space="0" w:color="auto"/>
          </w:divBdr>
        </w:div>
        <w:div w:id="449982145">
          <w:marLeft w:val="0"/>
          <w:marRight w:val="0"/>
          <w:marTop w:val="0"/>
          <w:marBottom w:val="0"/>
          <w:divBdr>
            <w:top w:val="none" w:sz="0" w:space="0" w:color="auto"/>
            <w:left w:val="none" w:sz="0" w:space="0" w:color="auto"/>
            <w:bottom w:val="none" w:sz="0" w:space="0" w:color="auto"/>
            <w:right w:val="none" w:sz="0" w:space="0" w:color="auto"/>
          </w:divBdr>
        </w:div>
        <w:div w:id="1251546630">
          <w:marLeft w:val="0"/>
          <w:marRight w:val="0"/>
          <w:marTop w:val="0"/>
          <w:marBottom w:val="0"/>
          <w:divBdr>
            <w:top w:val="none" w:sz="0" w:space="0" w:color="auto"/>
            <w:left w:val="none" w:sz="0" w:space="0" w:color="auto"/>
            <w:bottom w:val="none" w:sz="0" w:space="0" w:color="auto"/>
            <w:right w:val="none" w:sz="0" w:space="0" w:color="auto"/>
          </w:divBdr>
        </w:div>
        <w:div w:id="1627931682">
          <w:marLeft w:val="0"/>
          <w:marRight w:val="0"/>
          <w:marTop w:val="0"/>
          <w:marBottom w:val="0"/>
          <w:divBdr>
            <w:top w:val="none" w:sz="0" w:space="0" w:color="auto"/>
            <w:left w:val="none" w:sz="0" w:space="0" w:color="auto"/>
            <w:bottom w:val="none" w:sz="0" w:space="0" w:color="auto"/>
            <w:right w:val="none" w:sz="0" w:space="0" w:color="auto"/>
          </w:divBdr>
        </w:div>
        <w:div w:id="1548299045">
          <w:marLeft w:val="0"/>
          <w:marRight w:val="0"/>
          <w:marTop w:val="0"/>
          <w:marBottom w:val="0"/>
          <w:divBdr>
            <w:top w:val="none" w:sz="0" w:space="0" w:color="auto"/>
            <w:left w:val="none" w:sz="0" w:space="0" w:color="auto"/>
            <w:bottom w:val="none" w:sz="0" w:space="0" w:color="auto"/>
            <w:right w:val="none" w:sz="0" w:space="0" w:color="auto"/>
          </w:divBdr>
        </w:div>
        <w:div w:id="1310748134">
          <w:marLeft w:val="0"/>
          <w:marRight w:val="0"/>
          <w:marTop w:val="0"/>
          <w:marBottom w:val="0"/>
          <w:divBdr>
            <w:top w:val="none" w:sz="0" w:space="0" w:color="auto"/>
            <w:left w:val="none" w:sz="0" w:space="0" w:color="auto"/>
            <w:bottom w:val="none" w:sz="0" w:space="0" w:color="auto"/>
            <w:right w:val="none" w:sz="0" w:space="0" w:color="auto"/>
          </w:divBdr>
        </w:div>
        <w:div w:id="1020276055">
          <w:marLeft w:val="0"/>
          <w:marRight w:val="0"/>
          <w:marTop w:val="0"/>
          <w:marBottom w:val="0"/>
          <w:divBdr>
            <w:top w:val="none" w:sz="0" w:space="0" w:color="auto"/>
            <w:left w:val="none" w:sz="0" w:space="0" w:color="auto"/>
            <w:bottom w:val="none" w:sz="0" w:space="0" w:color="auto"/>
            <w:right w:val="none" w:sz="0" w:space="0" w:color="auto"/>
          </w:divBdr>
        </w:div>
        <w:div w:id="1883713597">
          <w:marLeft w:val="0"/>
          <w:marRight w:val="0"/>
          <w:marTop w:val="0"/>
          <w:marBottom w:val="0"/>
          <w:divBdr>
            <w:top w:val="none" w:sz="0" w:space="0" w:color="auto"/>
            <w:left w:val="none" w:sz="0" w:space="0" w:color="auto"/>
            <w:bottom w:val="none" w:sz="0" w:space="0" w:color="auto"/>
            <w:right w:val="none" w:sz="0" w:space="0" w:color="auto"/>
          </w:divBdr>
        </w:div>
        <w:div w:id="521555590">
          <w:marLeft w:val="0"/>
          <w:marRight w:val="0"/>
          <w:marTop w:val="0"/>
          <w:marBottom w:val="0"/>
          <w:divBdr>
            <w:top w:val="none" w:sz="0" w:space="0" w:color="auto"/>
            <w:left w:val="none" w:sz="0" w:space="0" w:color="auto"/>
            <w:bottom w:val="none" w:sz="0" w:space="0" w:color="auto"/>
            <w:right w:val="none" w:sz="0" w:space="0" w:color="auto"/>
          </w:divBdr>
        </w:div>
        <w:div w:id="19088671">
          <w:marLeft w:val="0"/>
          <w:marRight w:val="0"/>
          <w:marTop w:val="0"/>
          <w:marBottom w:val="0"/>
          <w:divBdr>
            <w:top w:val="none" w:sz="0" w:space="0" w:color="auto"/>
            <w:left w:val="none" w:sz="0" w:space="0" w:color="auto"/>
            <w:bottom w:val="none" w:sz="0" w:space="0" w:color="auto"/>
            <w:right w:val="none" w:sz="0" w:space="0" w:color="auto"/>
          </w:divBdr>
        </w:div>
        <w:div w:id="1677878913">
          <w:marLeft w:val="0"/>
          <w:marRight w:val="0"/>
          <w:marTop w:val="0"/>
          <w:marBottom w:val="0"/>
          <w:divBdr>
            <w:top w:val="none" w:sz="0" w:space="0" w:color="auto"/>
            <w:left w:val="none" w:sz="0" w:space="0" w:color="auto"/>
            <w:bottom w:val="none" w:sz="0" w:space="0" w:color="auto"/>
            <w:right w:val="none" w:sz="0" w:space="0" w:color="auto"/>
          </w:divBdr>
        </w:div>
        <w:div w:id="365104135">
          <w:marLeft w:val="0"/>
          <w:marRight w:val="0"/>
          <w:marTop w:val="0"/>
          <w:marBottom w:val="0"/>
          <w:divBdr>
            <w:top w:val="none" w:sz="0" w:space="0" w:color="auto"/>
            <w:left w:val="none" w:sz="0" w:space="0" w:color="auto"/>
            <w:bottom w:val="none" w:sz="0" w:space="0" w:color="auto"/>
            <w:right w:val="none" w:sz="0" w:space="0" w:color="auto"/>
          </w:divBdr>
        </w:div>
        <w:div w:id="57437390">
          <w:marLeft w:val="0"/>
          <w:marRight w:val="0"/>
          <w:marTop w:val="0"/>
          <w:marBottom w:val="0"/>
          <w:divBdr>
            <w:top w:val="none" w:sz="0" w:space="0" w:color="auto"/>
            <w:left w:val="none" w:sz="0" w:space="0" w:color="auto"/>
            <w:bottom w:val="none" w:sz="0" w:space="0" w:color="auto"/>
            <w:right w:val="none" w:sz="0" w:space="0" w:color="auto"/>
          </w:divBdr>
        </w:div>
        <w:div w:id="1170028013">
          <w:marLeft w:val="0"/>
          <w:marRight w:val="0"/>
          <w:marTop w:val="0"/>
          <w:marBottom w:val="0"/>
          <w:divBdr>
            <w:top w:val="none" w:sz="0" w:space="0" w:color="auto"/>
            <w:left w:val="none" w:sz="0" w:space="0" w:color="auto"/>
            <w:bottom w:val="none" w:sz="0" w:space="0" w:color="auto"/>
            <w:right w:val="none" w:sz="0" w:space="0" w:color="auto"/>
          </w:divBdr>
        </w:div>
        <w:div w:id="1719431983">
          <w:marLeft w:val="0"/>
          <w:marRight w:val="0"/>
          <w:marTop w:val="0"/>
          <w:marBottom w:val="0"/>
          <w:divBdr>
            <w:top w:val="none" w:sz="0" w:space="0" w:color="auto"/>
            <w:left w:val="none" w:sz="0" w:space="0" w:color="auto"/>
            <w:bottom w:val="none" w:sz="0" w:space="0" w:color="auto"/>
            <w:right w:val="none" w:sz="0" w:space="0" w:color="auto"/>
          </w:divBdr>
        </w:div>
        <w:div w:id="2014185807">
          <w:marLeft w:val="0"/>
          <w:marRight w:val="0"/>
          <w:marTop w:val="0"/>
          <w:marBottom w:val="0"/>
          <w:divBdr>
            <w:top w:val="none" w:sz="0" w:space="0" w:color="auto"/>
            <w:left w:val="none" w:sz="0" w:space="0" w:color="auto"/>
            <w:bottom w:val="none" w:sz="0" w:space="0" w:color="auto"/>
            <w:right w:val="none" w:sz="0" w:space="0" w:color="auto"/>
          </w:divBdr>
        </w:div>
        <w:div w:id="854659213">
          <w:marLeft w:val="0"/>
          <w:marRight w:val="0"/>
          <w:marTop w:val="0"/>
          <w:marBottom w:val="0"/>
          <w:divBdr>
            <w:top w:val="none" w:sz="0" w:space="0" w:color="auto"/>
            <w:left w:val="none" w:sz="0" w:space="0" w:color="auto"/>
            <w:bottom w:val="none" w:sz="0" w:space="0" w:color="auto"/>
            <w:right w:val="none" w:sz="0" w:space="0" w:color="auto"/>
          </w:divBdr>
        </w:div>
        <w:div w:id="1961451425">
          <w:marLeft w:val="0"/>
          <w:marRight w:val="0"/>
          <w:marTop w:val="0"/>
          <w:marBottom w:val="0"/>
          <w:divBdr>
            <w:top w:val="none" w:sz="0" w:space="0" w:color="auto"/>
            <w:left w:val="none" w:sz="0" w:space="0" w:color="auto"/>
            <w:bottom w:val="none" w:sz="0" w:space="0" w:color="auto"/>
            <w:right w:val="none" w:sz="0" w:space="0" w:color="auto"/>
          </w:divBdr>
        </w:div>
        <w:div w:id="1122768927">
          <w:marLeft w:val="0"/>
          <w:marRight w:val="0"/>
          <w:marTop w:val="0"/>
          <w:marBottom w:val="0"/>
          <w:divBdr>
            <w:top w:val="none" w:sz="0" w:space="0" w:color="auto"/>
            <w:left w:val="none" w:sz="0" w:space="0" w:color="auto"/>
            <w:bottom w:val="none" w:sz="0" w:space="0" w:color="auto"/>
            <w:right w:val="none" w:sz="0" w:space="0" w:color="auto"/>
          </w:divBdr>
        </w:div>
        <w:div w:id="1932464091">
          <w:marLeft w:val="0"/>
          <w:marRight w:val="0"/>
          <w:marTop w:val="0"/>
          <w:marBottom w:val="0"/>
          <w:divBdr>
            <w:top w:val="none" w:sz="0" w:space="0" w:color="auto"/>
            <w:left w:val="none" w:sz="0" w:space="0" w:color="auto"/>
            <w:bottom w:val="none" w:sz="0" w:space="0" w:color="auto"/>
            <w:right w:val="none" w:sz="0" w:space="0" w:color="auto"/>
          </w:divBdr>
        </w:div>
        <w:div w:id="1302929375">
          <w:marLeft w:val="0"/>
          <w:marRight w:val="0"/>
          <w:marTop w:val="0"/>
          <w:marBottom w:val="0"/>
          <w:divBdr>
            <w:top w:val="none" w:sz="0" w:space="0" w:color="auto"/>
            <w:left w:val="none" w:sz="0" w:space="0" w:color="auto"/>
            <w:bottom w:val="none" w:sz="0" w:space="0" w:color="auto"/>
            <w:right w:val="none" w:sz="0" w:space="0" w:color="auto"/>
          </w:divBdr>
        </w:div>
        <w:div w:id="1240365160">
          <w:marLeft w:val="0"/>
          <w:marRight w:val="0"/>
          <w:marTop w:val="0"/>
          <w:marBottom w:val="0"/>
          <w:divBdr>
            <w:top w:val="none" w:sz="0" w:space="0" w:color="auto"/>
            <w:left w:val="none" w:sz="0" w:space="0" w:color="auto"/>
            <w:bottom w:val="none" w:sz="0" w:space="0" w:color="auto"/>
            <w:right w:val="none" w:sz="0" w:space="0" w:color="auto"/>
          </w:divBdr>
        </w:div>
        <w:div w:id="1303655861">
          <w:marLeft w:val="0"/>
          <w:marRight w:val="0"/>
          <w:marTop w:val="0"/>
          <w:marBottom w:val="0"/>
          <w:divBdr>
            <w:top w:val="none" w:sz="0" w:space="0" w:color="auto"/>
            <w:left w:val="none" w:sz="0" w:space="0" w:color="auto"/>
            <w:bottom w:val="none" w:sz="0" w:space="0" w:color="auto"/>
            <w:right w:val="none" w:sz="0" w:space="0" w:color="auto"/>
          </w:divBdr>
        </w:div>
        <w:div w:id="2067676657">
          <w:marLeft w:val="0"/>
          <w:marRight w:val="0"/>
          <w:marTop w:val="0"/>
          <w:marBottom w:val="0"/>
          <w:divBdr>
            <w:top w:val="none" w:sz="0" w:space="0" w:color="auto"/>
            <w:left w:val="none" w:sz="0" w:space="0" w:color="auto"/>
            <w:bottom w:val="none" w:sz="0" w:space="0" w:color="auto"/>
            <w:right w:val="none" w:sz="0" w:space="0" w:color="auto"/>
          </w:divBdr>
        </w:div>
        <w:div w:id="1585991911">
          <w:marLeft w:val="0"/>
          <w:marRight w:val="0"/>
          <w:marTop w:val="0"/>
          <w:marBottom w:val="0"/>
          <w:divBdr>
            <w:top w:val="none" w:sz="0" w:space="0" w:color="auto"/>
            <w:left w:val="none" w:sz="0" w:space="0" w:color="auto"/>
            <w:bottom w:val="none" w:sz="0" w:space="0" w:color="auto"/>
            <w:right w:val="none" w:sz="0" w:space="0" w:color="auto"/>
          </w:divBdr>
        </w:div>
        <w:div w:id="1485193913">
          <w:marLeft w:val="0"/>
          <w:marRight w:val="0"/>
          <w:marTop w:val="0"/>
          <w:marBottom w:val="0"/>
          <w:divBdr>
            <w:top w:val="none" w:sz="0" w:space="0" w:color="auto"/>
            <w:left w:val="none" w:sz="0" w:space="0" w:color="auto"/>
            <w:bottom w:val="none" w:sz="0" w:space="0" w:color="auto"/>
            <w:right w:val="none" w:sz="0" w:space="0" w:color="auto"/>
          </w:divBdr>
        </w:div>
        <w:div w:id="1625110270">
          <w:marLeft w:val="0"/>
          <w:marRight w:val="0"/>
          <w:marTop w:val="0"/>
          <w:marBottom w:val="0"/>
          <w:divBdr>
            <w:top w:val="none" w:sz="0" w:space="0" w:color="auto"/>
            <w:left w:val="none" w:sz="0" w:space="0" w:color="auto"/>
            <w:bottom w:val="none" w:sz="0" w:space="0" w:color="auto"/>
            <w:right w:val="none" w:sz="0" w:space="0" w:color="auto"/>
          </w:divBdr>
        </w:div>
        <w:div w:id="1302807164">
          <w:marLeft w:val="0"/>
          <w:marRight w:val="0"/>
          <w:marTop w:val="0"/>
          <w:marBottom w:val="0"/>
          <w:divBdr>
            <w:top w:val="none" w:sz="0" w:space="0" w:color="auto"/>
            <w:left w:val="none" w:sz="0" w:space="0" w:color="auto"/>
            <w:bottom w:val="none" w:sz="0" w:space="0" w:color="auto"/>
            <w:right w:val="none" w:sz="0" w:space="0" w:color="auto"/>
          </w:divBdr>
        </w:div>
        <w:div w:id="655383426">
          <w:marLeft w:val="0"/>
          <w:marRight w:val="0"/>
          <w:marTop w:val="0"/>
          <w:marBottom w:val="0"/>
          <w:divBdr>
            <w:top w:val="none" w:sz="0" w:space="0" w:color="auto"/>
            <w:left w:val="none" w:sz="0" w:space="0" w:color="auto"/>
            <w:bottom w:val="none" w:sz="0" w:space="0" w:color="auto"/>
            <w:right w:val="none" w:sz="0" w:space="0" w:color="auto"/>
          </w:divBdr>
        </w:div>
        <w:div w:id="508062551">
          <w:marLeft w:val="0"/>
          <w:marRight w:val="0"/>
          <w:marTop w:val="0"/>
          <w:marBottom w:val="0"/>
          <w:divBdr>
            <w:top w:val="none" w:sz="0" w:space="0" w:color="auto"/>
            <w:left w:val="none" w:sz="0" w:space="0" w:color="auto"/>
            <w:bottom w:val="none" w:sz="0" w:space="0" w:color="auto"/>
            <w:right w:val="none" w:sz="0" w:space="0" w:color="auto"/>
          </w:divBdr>
        </w:div>
        <w:div w:id="334724673">
          <w:marLeft w:val="0"/>
          <w:marRight w:val="0"/>
          <w:marTop w:val="0"/>
          <w:marBottom w:val="0"/>
          <w:divBdr>
            <w:top w:val="none" w:sz="0" w:space="0" w:color="auto"/>
            <w:left w:val="none" w:sz="0" w:space="0" w:color="auto"/>
            <w:bottom w:val="none" w:sz="0" w:space="0" w:color="auto"/>
            <w:right w:val="none" w:sz="0" w:space="0" w:color="auto"/>
          </w:divBdr>
        </w:div>
        <w:div w:id="791285136">
          <w:marLeft w:val="0"/>
          <w:marRight w:val="0"/>
          <w:marTop w:val="0"/>
          <w:marBottom w:val="0"/>
          <w:divBdr>
            <w:top w:val="none" w:sz="0" w:space="0" w:color="auto"/>
            <w:left w:val="none" w:sz="0" w:space="0" w:color="auto"/>
            <w:bottom w:val="none" w:sz="0" w:space="0" w:color="auto"/>
            <w:right w:val="none" w:sz="0" w:space="0" w:color="auto"/>
          </w:divBdr>
        </w:div>
        <w:div w:id="1733117123">
          <w:marLeft w:val="0"/>
          <w:marRight w:val="0"/>
          <w:marTop w:val="0"/>
          <w:marBottom w:val="0"/>
          <w:divBdr>
            <w:top w:val="none" w:sz="0" w:space="0" w:color="auto"/>
            <w:left w:val="none" w:sz="0" w:space="0" w:color="auto"/>
            <w:bottom w:val="none" w:sz="0" w:space="0" w:color="auto"/>
            <w:right w:val="none" w:sz="0" w:space="0" w:color="auto"/>
          </w:divBdr>
        </w:div>
        <w:div w:id="348458907">
          <w:marLeft w:val="0"/>
          <w:marRight w:val="0"/>
          <w:marTop w:val="0"/>
          <w:marBottom w:val="0"/>
          <w:divBdr>
            <w:top w:val="none" w:sz="0" w:space="0" w:color="auto"/>
            <w:left w:val="none" w:sz="0" w:space="0" w:color="auto"/>
            <w:bottom w:val="none" w:sz="0" w:space="0" w:color="auto"/>
            <w:right w:val="none" w:sz="0" w:space="0" w:color="auto"/>
          </w:divBdr>
        </w:div>
        <w:div w:id="858272593">
          <w:marLeft w:val="0"/>
          <w:marRight w:val="0"/>
          <w:marTop w:val="0"/>
          <w:marBottom w:val="0"/>
          <w:divBdr>
            <w:top w:val="none" w:sz="0" w:space="0" w:color="auto"/>
            <w:left w:val="none" w:sz="0" w:space="0" w:color="auto"/>
            <w:bottom w:val="none" w:sz="0" w:space="0" w:color="auto"/>
            <w:right w:val="none" w:sz="0" w:space="0" w:color="auto"/>
          </w:divBdr>
        </w:div>
        <w:div w:id="906646250">
          <w:marLeft w:val="0"/>
          <w:marRight w:val="0"/>
          <w:marTop w:val="0"/>
          <w:marBottom w:val="0"/>
          <w:divBdr>
            <w:top w:val="none" w:sz="0" w:space="0" w:color="auto"/>
            <w:left w:val="none" w:sz="0" w:space="0" w:color="auto"/>
            <w:bottom w:val="none" w:sz="0" w:space="0" w:color="auto"/>
            <w:right w:val="none" w:sz="0" w:space="0" w:color="auto"/>
          </w:divBdr>
        </w:div>
        <w:div w:id="117114023">
          <w:marLeft w:val="0"/>
          <w:marRight w:val="0"/>
          <w:marTop w:val="0"/>
          <w:marBottom w:val="0"/>
          <w:divBdr>
            <w:top w:val="none" w:sz="0" w:space="0" w:color="auto"/>
            <w:left w:val="none" w:sz="0" w:space="0" w:color="auto"/>
            <w:bottom w:val="none" w:sz="0" w:space="0" w:color="auto"/>
            <w:right w:val="none" w:sz="0" w:space="0" w:color="auto"/>
          </w:divBdr>
        </w:div>
        <w:div w:id="272783842">
          <w:marLeft w:val="0"/>
          <w:marRight w:val="0"/>
          <w:marTop w:val="0"/>
          <w:marBottom w:val="0"/>
          <w:divBdr>
            <w:top w:val="none" w:sz="0" w:space="0" w:color="auto"/>
            <w:left w:val="none" w:sz="0" w:space="0" w:color="auto"/>
            <w:bottom w:val="none" w:sz="0" w:space="0" w:color="auto"/>
            <w:right w:val="none" w:sz="0" w:space="0" w:color="auto"/>
          </w:divBdr>
        </w:div>
        <w:div w:id="1594893050">
          <w:marLeft w:val="0"/>
          <w:marRight w:val="0"/>
          <w:marTop w:val="0"/>
          <w:marBottom w:val="0"/>
          <w:divBdr>
            <w:top w:val="none" w:sz="0" w:space="0" w:color="auto"/>
            <w:left w:val="none" w:sz="0" w:space="0" w:color="auto"/>
            <w:bottom w:val="none" w:sz="0" w:space="0" w:color="auto"/>
            <w:right w:val="none" w:sz="0" w:space="0" w:color="auto"/>
          </w:divBdr>
        </w:div>
        <w:div w:id="1490751827">
          <w:marLeft w:val="0"/>
          <w:marRight w:val="0"/>
          <w:marTop w:val="0"/>
          <w:marBottom w:val="0"/>
          <w:divBdr>
            <w:top w:val="none" w:sz="0" w:space="0" w:color="auto"/>
            <w:left w:val="none" w:sz="0" w:space="0" w:color="auto"/>
            <w:bottom w:val="none" w:sz="0" w:space="0" w:color="auto"/>
            <w:right w:val="none" w:sz="0" w:space="0" w:color="auto"/>
          </w:divBdr>
        </w:div>
        <w:div w:id="699206531">
          <w:marLeft w:val="0"/>
          <w:marRight w:val="0"/>
          <w:marTop w:val="0"/>
          <w:marBottom w:val="0"/>
          <w:divBdr>
            <w:top w:val="none" w:sz="0" w:space="0" w:color="auto"/>
            <w:left w:val="none" w:sz="0" w:space="0" w:color="auto"/>
            <w:bottom w:val="none" w:sz="0" w:space="0" w:color="auto"/>
            <w:right w:val="none" w:sz="0" w:space="0" w:color="auto"/>
          </w:divBdr>
        </w:div>
        <w:div w:id="895778676">
          <w:marLeft w:val="0"/>
          <w:marRight w:val="0"/>
          <w:marTop w:val="0"/>
          <w:marBottom w:val="0"/>
          <w:divBdr>
            <w:top w:val="none" w:sz="0" w:space="0" w:color="auto"/>
            <w:left w:val="none" w:sz="0" w:space="0" w:color="auto"/>
            <w:bottom w:val="none" w:sz="0" w:space="0" w:color="auto"/>
            <w:right w:val="none" w:sz="0" w:space="0" w:color="auto"/>
          </w:divBdr>
        </w:div>
      </w:divsChild>
    </w:div>
    <w:div w:id="1146164235">
      <w:bodyDiv w:val="1"/>
      <w:marLeft w:val="0"/>
      <w:marRight w:val="0"/>
      <w:marTop w:val="0"/>
      <w:marBottom w:val="0"/>
      <w:divBdr>
        <w:top w:val="none" w:sz="0" w:space="0" w:color="auto"/>
        <w:left w:val="none" w:sz="0" w:space="0" w:color="auto"/>
        <w:bottom w:val="none" w:sz="0" w:space="0" w:color="auto"/>
        <w:right w:val="none" w:sz="0" w:space="0" w:color="auto"/>
      </w:divBdr>
    </w:div>
    <w:div w:id="1489438871">
      <w:bodyDiv w:val="1"/>
      <w:marLeft w:val="0"/>
      <w:marRight w:val="0"/>
      <w:marTop w:val="0"/>
      <w:marBottom w:val="0"/>
      <w:divBdr>
        <w:top w:val="none" w:sz="0" w:space="0" w:color="auto"/>
        <w:left w:val="none" w:sz="0" w:space="0" w:color="auto"/>
        <w:bottom w:val="none" w:sz="0" w:space="0" w:color="auto"/>
        <w:right w:val="none" w:sz="0" w:space="0" w:color="auto"/>
      </w:divBdr>
      <w:divsChild>
        <w:div w:id="1822386672">
          <w:marLeft w:val="0"/>
          <w:marRight w:val="0"/>
          <w:marTop w:val="0"/>
          <w:marBottom w:val="0"/>
          <w:divBdr>
            <w:top w:val="none" w:sz="0" w:space="0" w:color="auto"/>
            <w:left w:val="none" w:sz="0" w:space="0" w:color="auto"/>
            <w:bottom w:val="none" w:sz="0" w:space="0" w:color="auto"/>
            <w:right w:val="none" w:sz="0" w:space="0" w:color="auto"/>
          </w:divBdr>
        </w:div>
        <w:div w:id="1387680555">
          <w:marLeft w:val="0"/>
          <w:marRight w:val="0"/>
          <w:marTop w:val="0"/>
          <w:marBottom w:val="0"/>
          <w:divBdr>
            <w:top w:val="none" w:sz="0" w:space="0" w:color="auto"/>
            <w:left w:val="none" w:sz="0" w:space="0" w:color="auto"/>
            <w:bottom w:val="none" w:sz="0" w:space="0" w:color="auto"/>
            <w:right w:val="none" w:sz="0" w:space="0" w:color="auto"/>
          </w:divBdr>
        </w:div>
        <w:div w:id="955794869">
          <w:marLeft w:val="0"/>
          <w:marRight w:val="0"/>
          <w:marTop w:val="0"/>
          <w:marBottom w:val="0"/>
          <w:divBdr>
            <w:top w:val="none" w:sz="0" w:space="0" w:color="auto"/>
            <w:left w:val="none" w:sz="0" w:space="0" w:color="auto"/>
            <w:bottom w:val="none" w:sz="0" w:space="0" w:color="auto"/>
            <w:right w:val="none" w:sz="0" w:space="0" w:color="auto"/>
          </w:divBdr>
        </w:div>
      </w:divsChild>
    </w:div>
    <w:div w:id="2003193103">
      <w:bodyDiv w:val="1"/>
      <w:marLeft w:val="0"/>
      <w:marRight w:val="0"/>
      <w:marTop w:val="0"/>
      <w:marBottom w:val="0"/>
      <w:divBdr>
        <w:top w:val="none" w:sz="0" w:space="0" w:color="auto"/>
        <w:left w:val="none" w:sz="0" w:space="0" w:color="auto"/>
        <w:bottom w:val="none" w:sz="0" w:space="0" w:color="auto"/>
        <w:right w:val="none" w:sz="0" w:space="0" w:color="auto"/>
      </w:divBdr>
      <w:divsChild>
        <w:div w:id="1781953608">
          <w:marLeft w:val="0"/>
          <w:marRight w:val="0"/>
          <w:marTop w:val="0"/>
          <w:marBottom w:val="0"/>
          <w:divBdr>
            <w:top w:val="none" w:sz="0" w:space="0" w:color="auto"/>
            <w:left w:val="none" w:sz="0" w:space="0" w:color="auto"/>
            <w:bottom w:val="none" w:sz="0" w:space="0" w:color="auto"/>
            <w:right w:val="none" w:sz="0" w:space="0" w:color="auto"/>
          </w:divBdr>
        </w:div>
        <w:div w:id="178550177">
          <w:marLeft w:val="0"/>
          <w:marRight w:val="0"/>
          <w:marTop w:val="0"/>
          <w:marBottom w:val="0"/>
          <w:divBdr>
            <w:top w:val="none" w:sz="0" w:space="0" w:color="auto"/>
            <w:left w:val="none" w:sz="0" w:space="0" w:color="auto"/>
            <w:bottom w:val="none" w:sz="0" w:space="0" w:color="auto"/>
            <w:right w:val="none" w:sz="0" w:space="0" w:color="auto"/>
          </w:divBdr>
        </w:div>
        <w:div w:id="1262032785">
          <w:marLeft w:val="0"/>
          <w:marRight w:val="0"/>
          <w:marTop w:val="0"/>
          <w:marBottom w:val="0"/>
          <w:divBdr>
            <w:top w:val="none" w:sz="0" w:space="0" w:color="auto"/>
            <w:left w:val="none" w:sz="0" w:space="0" w:color="auto"/>
            <w:bottom w:val="none" w:sz="0" w:space="0" w:color="auto"/>
            <w:right w:val="none" w:sz="0" w:space="0" w:color="auto"/>
          </w:divBdr>
        </w:div>
        <w:div w:id="776371351">
          <w:marLeft w:val="0"/>
          <w:marRight w:val="0"/>
          <w:marTop w:val="0"/>
          <w:marBottom w:val="0"/>
          <w:divBdr>
            <w:top w:val="none" w:sz="0" w:space="0" w:color="auto"/>
            <w:left w:val="none" w:sz="0" w:space="0" w:color="auto"/>
            <w:bottom w:val="none" w:sz="0" w:space="0" w:color="auto"/>
            <w:right w:val="none" w:sz="0" w:space="0" w:color="auto"/>
          </w:divBdr>
        </w:div>
        <w:div w:id="1584992511">
          <w:marLeft w:val="0"/>
          <w:marRight w:val="0"/>
          <w:marTop w:val="0"/>
          <w:marBottom w:val="0"/>
          <w:divBdr>
            <w:top w:val="none" w:sz="0" w:space="0" w:color="auto"/>
            <w:left w:val="none" w:sz="0" w:space="0" w:color="auto"/>
            <w:bottom w:val="none" w:sz="0" w:space="0" w:color="auto"/>
            <w:right w:val="none" w:sz="0" w:space="0" w:color="auto"/>
          </w:divBdr>
        </w:div>
        <w:div w:id="142936185">
          <w:marLeft w:val="0"/>
          <w:marRight w:val="0"/>
          <w:marTop w:val="0"/>
          <w:marBottom w:val="0"/>
          <w:divBdr>
            <w:top w:val="none" w:sz="0" w:space="0" w:color="auto"/>
            <w:left w:val="none" w:sz="0" w:space="0" w:color="auto"/>
            <w:bottom w:val="none" w:sz="0" w:space="0" w:color="auto"/>
            <w:right w:val="none" w:sz="0" w:space="0" w:color="auto"/>
          </w:divBdr>
        </w:div>
        <w:div w:id="483276775">
          <w:marLeft w:val="0"/>
          <w:marRight w:val="0"/>
          <w:marTop w:val="0"/>
          <w:marBottom w:val="0"/>
          <w:divBdr>
            <w:top w:val="none" w:sz="0" w:space="0" w:color="auto"/>
            <w:left w:val="none" w:sz="0" w:space="0" w:color="auto"/>
            <w:bottom w:val="none" w:sz="0" w:space="0" w:color="auto"/>
            <w:right w:val="none" w:sz="0" w:space="0" w:color="auto"/>
          </w:divBdr>
        </w:div>
        <w:div w:id="722220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vimez.inf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vimez.info" TargetMode="External"/><Relationship Id="rId4" Type="http://schemas.openxmlformats.org/officeDocument/2006/relationships/settings" Target="settings.xml"/><Relationship Id="rId9" Type="http://schemas.openxmlformats.org/officeDocument/2006/relationships/hyperlink" Target="http://www.cedefop.europa.eu"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albertovergani4@liber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D65D15-6F85-3B4E-AE01-375551ACE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1448</TotalTime>
  <Pages>16</Pages>
  <Words>7460</Words>
  <Characters>41036</Characters>
  <Application>Microsoft Office Word</Application>
  <DocSecurity>0</DocSecurity>
  <Lines>341</Lines>
  <Paragraphs>96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Jean-Victor Gruat</cp:lastModifiedBy>
  <cp:revision>466</cp:revision>
  <cp:lastPrinted>2018-09-12T07:56:00Z</cp:lastPrinted>
  <dcterms:created xsi:type="dcterms:W3CDTF">2018-09-04T13:50:00Z</dcterms:created>
  <dcterms:modified xsi:type="dcterms:W3CDTF">2018-11-08T17:42:00Z</dcterms:modified>
</cp:coreProperties>
</file>