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4"/>
        <w:tblpPr w:leftFromText="180" w:rightFromText="180" w:vertAnchor="page" w:horzAnchor="margin" w:tblpY="2041"/>
        <w:tblW w:w="8926" w:type="dxa"/>
        <w:tblLook w:val="04A0" w:firstRow="1" w:lastRow="0" w:firstColumn="1" w:lastColumn="0" w:noHBand="0" w:noVBand="1"/>
      </w:tblPr>
      <w:tblGrid>
        <w:gridCol w:w="945"/>
        <w:gridCol w:w="6042"/>
        <w:gridCol w:w="1939"/>
      </w:tblGrid>
      <w:tr w:rsidR="00D37461" w:rsidRPr="000A6488" w14:paraId="3397D3F8" w14:textId="77777777" w:rsidTr="00D37461">
        <w:trPr>
          <w:trHeight w:val="1191"/>
        </w:trPr>
        <w:tc>
          <w:tcPr>
            <w:tcW w:w="8926" w:type="dxa"/>
            <w:gridSpan w:val="3"/>
            <w:shd w:val="clear" w:color="auto" w:fill="E7E6E6"/>
            <w:vAlign w:val="center"/>
          </w:tcPr>
          <w:p w14:paraId="28432965" w14:textId="77777777" w:rsidR="00D37461" w:rsidRPr="0012072A" w:rsidRDefault="00D37461" w:rsidP="00D37461">
            <w:pPr>
              <w:spacing w:after="0"/>
              <w:rPr>
                <w:sz w:val="20"/>
                <w:szCs w:val="20"/>
                <w:lang w:val="en-GB"/>
              </w:rPr>
            </w:pPr>
            <w:r w:rsidRPr="0012072A">
              <w:rPr>
                <w:sz w:val="20"/>
                <w:szCs w:val="20"/>
                <w:lang w:val="en-GB"/>
              </w:rPr>
              <w:t xml:space="preserve">R6 </w:t>
            </w:r>
            <w:proofErr w:type="gramStart"/>
            <w:r w:rsidRPr="0012072A">
              <w:rPr>
                <w:sz w:val="20"/>
                <w:szCs w:val="20"/>
                <w:lang w:val="en-GB"/>
              </w:rPr>
              <w:t>The</w:t>
            </w:r>
            <w:proofErr w:type="gramEnd"/>
            <w:r w:rsidRPr="0012072A">
              <w:rPr>
                <w:sz w:val="20"/>
                <w:szCs w:val="20"/>
                <w:lang w:val="en-GB"/>
              </w:rPr>
              <w:t xml:space="preserve"> capacity of </w:t>
            </w:r>
            <w:proofErr w:type="spellStart"/>
            <w:r w:rsidRPr="0012072A">
              <w:rPr>
                <w:sz w:val="20"/>
                <w:szCs w:val="20"/>
                <w:lang w:val="en-GB"/>
              </w:rPr>
              <w:t>MoF</w:t>
            </w:r>
            <w:proofErr w:type="spellEnd"/>
            <w:r w:rsidRPr="0012072A">
              <w:rPr>
                <w:sz w:val="20"/>
                <w:szCs w:val="20"/>
                <w:lang w:val="en-GB"/>
              </w:rPr>
              <w:t xml:space="preserve"> financial management and supervision of central and local model of social security system and the extension of social security system coverage are enhanced, in particular in the fields of division of expenditure responsibilities, mid -terms budgeting of fund, and performance assessment model.</w:t>
            </w:r>
          </w:p>
        </w:tc>
      </w:tr>
      <w:tr w:rsidR="00D37461" w:rsidRPr="0012072A" w14:paraId="6058E104" w14:textId="77777777" w:rsidTr="00D37461">
        <w:trPr>
          <w:trHeight w:val="567"/>
        </w:trPr>
        <w:tc>
          <w:tcPr>
            <w:tcW w:w="945" w:type="dxa"/>
            <w:vAlign w:val="center"/>
          </w:tcPr>
          <w:p w14:paraId="62ABA77C" w14:textId="77777777" w:rsidR="00D37461" w:rsidRPr="0012072A" w:rsidRDefault="00D37461" w:rsidP="00D37461">
            <w:pPr>
              <w:spacing w:after="0"/>
              <w:rPr>
                <w:sz w:val="20"/>
                <w:szCs w:val="20"/>
                <w:lang w:val="en-GB"/>
              </w:rPr>
            </w:pPr>
            <w:r w:rsidRPr="0012072A">
              <w:rPr>
                <w:sz w:val="20"/>
                <w:szCs w:val="20"/>
                <w:lang w:val="en-GB"/>
              </w:rPr>
              <w:t>2.1.1</w:t>
            </w:r>
          </w:p>
        </w:tc>
        <w:tc>
          <w:tcPr>
            <w:tcW w:w="6042" w:type="dxa"/>
            <w:vAlign w:val="center"/>
          </w:tcPr>
          <w:p w14:paraId="6E452A71" w14:textId="77777777" w:rsidR="00D37461" w:rsidRPr="0012072A" w:rsidRDefault="00D37461" w:rsidP="00D37461">
            <w:pPr>
              <w:spacing w:after="0"/>
              <w:rPr>
                <w:sz w:val="20"/>
                <w:szCs w:val="20"/>
                <w:lang w:val="en-GB"/>
              </w:rPr>
            </w:pPr>
            <w:r w:rsidRPr="0012072A">
              <w:rPr>
                <w:sz w:val="20"/>
                <w:szCs w:val="20"/>
                <w:lang w:val="en-GB"/>
              </w:rPr>
              <w:t>Division of decision power and expenditure responsibilities on social security between central and local government</w:t>
            </w:r>
          </w:p>
        </w:tc>
        <w:tc>
          <w:tcPr>
            <w:tcW w:w="1939" w:type="dxa"/>
            <w:vAlign w:val="center"/>
          </w:tcPr>
          <w:p w14:paraId="6E7A2E8E" w14:textId="77777777" w:rsidR="00D37461" w:rsidRPr="0012072A" w:rsidRDefault="00D37461" w:rsidP="00D37461">
            <w:pPr>
              <w:spacing w:after="0"/>
              <w:rPr>
                <w:sz w:val="20"/>
                <w:szCs w:val="20"/>
                <w:lang w:val="en-GB"/>
              </w:rPr>
            </w:pPr>
            <w:r w:rsidRPr="0012072A">
              <w:rPr>
                <w:sz w:val="20"/>
                <w:szCs w:val="20"/>
                <w:lang w:val="en-GB"/>
              </w:rPr>
              <w:t>2015</w:t>
            </w:r>
          </w:p>
        </w:tc>
      </w:tr>
      <w:tr w:rsidR="00D37461" w:rsidRPr="0012072A" w14:paraId="3761091F" w14:textId="77777777" w:rsidTr="00D37461">
        <w:trPr>
          <w:trHeight w:val="567"/>
        </w:trPr>
        <w:tc>
          <w:tcPr>
            <w:tcW w:w="945" w:type="dxa"/>
            <w:vAlign w:val="center"/>
          </w:tcPr>
          <w:p w14:paraId="4CBD31CA" w14:textId="77777777" w:rsidR="00D37461" w:rsidRPr="0012072A" w:rsidRDefault="00D37461" w:rsidP="00D37461">
            <w:pPr>
              <w:spacing w:after="0"/>
              <w:rPr>
                <w:sz w:val="20"/>
                <w:szCs w:val="20"/>
                <w:lang w:val="en-GB"/>
              </w:rPr>
            </w:pPr>
            <w:r w:rsidRPr="0012072A">
              <w:rPr>
                <w:sz w:val="20"/>
                <w:szCs w:val="20"/>
                <w:lang w:val="en-GB"/>
              </w:rPr>
              <w:t>2.1.2</w:t>
            </w:r>
          </w:p>
        </w:tc>
        <w:tc>
          <w:tcPr>
            <w:tcW w:w="6042" w:type="dxa"/>
            <w:vAlign w:val="center"/>
          </w:tcPr>
          <w:p w14:paraId="112BFC56" w14:textId="77777777" w:rsidR="00D37461" w:rsidRPr="0012072A" w:rsidRDefault="00D37461" w:rsidP="00D37461">
            <w:pPr>
              <w:spacing w:after="0"/>
              <w:rPr>
                <w:sz w:val="20"/>
                <w:szCs w:val="20"/>
                <w:lang w:val="en-GB"/>
              </w:rPr>
            </w:pPr>
            <w:r w:rsidRPr="0012072A">
              <w:rPr>
                <w:sz w:val="20"/>
                <w:szCs w:val="20"/>
                <w:lang w:val="en-GB"/>
              </w:rPr>
              <w:t>Social security coverage on atypical employment: methodologies and tools of analysis and management</w:t>
            </w:r>
          </w:p>
        </w:tc>
        <w:tc>
          <w:tcPr>
            <w:tcW w:w="1939" w:type="dxa"/>
            <w:vAlign w:val="center"/>
          </w:tcPr>
          <w:p w14:paraId="5F7C1C92" w14:textId="77777777" w:rsidR="00D37461" w:rsidRPr="0012072A" w:rsidRDefault="00D37461" w:rsidP="00D37461">
            <w:pPr>
              <w:spacing w:after="0"/>
              <w:rPr>
                <w:sz w:val="20"/>
                <w:szCs w:val="20"/>
                <w:lang w:val="en-GB"/>
              </w:rPr>
            </w:pPr>
            <w:r w:rsidRPr="0012072A">
              <w:rPr>
                <w:sz w:val="20"/>
                <w:szCs w:val="20"/>
                <w:lang w:val="en-GB"/>
              </w:rPr>
              <w:t>2015-2016</w:t>
            </w:r>
          </w:p>
        </w:tc>
      </w:tr>
      <w:tr w:rsidR="00D37461" w:rsidRPr="0012072A" w14:paraId="0D15CB06" w14:textId="77777777" w:rsidTr="00D37461">
        <w:trPr>
          <w:trHeight w:val="567"/>
        </w:trPr>
        <w:tc>
          <w:tcPr>
            <w:tcW w:w="945" w:type="dxa"/>
            <w:shd w:val="clear" w:color="auto" w:fill="FFC000"/>
            <w:vAlign w:val="center"/>
          </w:tcPr>
          <w:p w14:paraId="20A7BC4F" w14:textId="77777777" w:rsidR="00D37461" w:rsidRPr="0012072A" w:rsidRDefault="00D37461" w:rsidP="00D37461">
            <w:pPr>
              <w:spacing w:after="0"/>
              <w:rPr>
                <w:sz w:val="20"/>
                <w:szCs w:val="20"/>
                <w:lang w:val="en-GB"/>
              </w:rPr>
            </w:pPr>
            <w:r w:rsidRPr="0012072A">
              <w:rPr>
                <w:sz w:val="20"/>
                <w:szCs w:val="20"/>
                <w:lang w:val="en-GB"/>
              </w:rPr>
              <w:t>2.1.3</w:t>
            </w:r>
          </w:p>
        </w:tc>
        <w:tc>
          <w:tcPr>
            <w:tcW w:w="6042" w:type="dxa"/>
            <w:shd w:val="clear" w:color="auto" w:fill="FFC000"/>
            <w:vAlign w:val="center"/>
          </w:tcPr>
          <w:p w14:paraId="5DEFF891" w14:textId="77777777" w:rsidR="00D37461" w:rsidRPr="0012072A" w:rsidDel="001E5370" w:rsidRDefault="00D37461" w:rsidP="00D37461">
            <w:pPr>
              <w:spacing w:after="0"/>
              <w:rPr>
                <w:sz w:val="20"/>
                <w:szCs w:val="20"/>
                <w:lang w:val="en-GB"/>
              </w:rPr>
            </w:pPr>
            <w:r w:rsidRPr="0012072A">
              <w:rPr>
                <w:sz w:val="20"/>
                <w:szCs w:val="20"/>
                <w:lang w:val="en-GB"/>
              </w:rPr>
              <w:t>Alternative policy measures to cope with the impact of ageing on the financial sustainability of the social security system</w:t>
            </w:r>
          </w:p>
        </w:tc>
        <w:tc>
          <w:tcPr>
            <w:tcW w:w="1939" w:type="dxa"/>
            <w:shd w:val="clear" w:color="auto" w:fill="FFC000"/>
            <w:vAlign w:val="center"/>
          </w:tcPr>
          <w:p w14:paraId="5A1FB2A8" w14:textId="77777777" w:rsidR="00D37461" w:rsidRPr="0012072A" w:rsidRDefault="00D37461" w:rsidP="00D37461">
            <w:pPr>
              <w:spacing w:after="0"/>
              <w:rPr>
                <w:sz w:val="20"/>
                <w:szCs w:val="20"/>
                <w:lang w:val="en-GB"/>
              </w:rPr>
            </w:pPr>
            <w:r w:rsidRPr="0012072A">
              <w:rPr>
                <w:sz w:val="20"/>
                <w:szCs w:val="20"/>
                <w:lang w:val="en-GB"/>
              </w:rPr>
              <w:t>Introduced 2018</w:t>
            </w:r>
          </w:p>
        </w:tc>
      </w:tr>
      <w:tr w:rsidR="00D37461" w:rsidRPr="0012072A" w14:paraId="05D9098A" w14:textId="77777777" w:rsidTr="00D37461">
        <w:trPr>
          <w:trHeight w:val="442"/>
        </w:trPr>
        <w:tc>
          <w:tcPr>
            <w:tcW w:w="945" w:type="dxa"/>
            <w:shd w:val="clear" w:color="auto" w:fill="70AD47"/>
            <w:vAlign w:val="center"/>
          </w:tcPr>
          <w:p w14:paraId="181A5F8D" w14:textId="77777777" w:rsidR="00D37461" w:rsidRPr="0012072A" w:rsidRDefault="00D37461" w:rsidP="00D37461">
            <w:pPr>
              <w:spacing w:after="0"/>
              <w:rPr>
                <w:sz w:val="20"/>
                <w:szCs w:val="20"/>
                <w:lang w:val="en-GB"/>
              </w:rPr>
            </w:pPr>
            <w:r w:rsidRPr="0012072A">
              <w:rPr>
                <w:sz w:val="20"/>
                <w:szCs w:val="20"/>
                <w:lang w:val="en-GB"/>
              </w:rPr>
              <w:t>2.1.4</w:t>
            </w:r>
          </w:p>
        </w:tc>
        <w:tc>
          <w:tcPr>
            <w:tcW w:w="6042" w:type="dxa"/>
            <w:shd w:val="clear" w:color="auto" w:fill="70AD47"/>
            <w:vAlign w:val="center"/>
          </w:tcPr>
          <w:p w14:paraId="46D06ACE" w14:textId="77777777" w:rsidR="00D37461" w:rsidRPr="0012072A" w:rsidRDefault="00D37461" w:rsidP="00D37461">
            <w:pPr>
              <w:spacing w:after="0"/>
              <w:rPr>
                <w:sz w:val="20"/>
                <w:szCs w:val="20"/>
                <w:lang w:val="en-GB"/>
              </w:rPr>
            </w:pPr>
            <w:r w:rsidRPr="0012072A">
              <w:rPr>
                <w:sz w:val="20"/>
                <w:szCs w:val="20"/>
                <w:lang w:val="en-GB"/>
              </w:rPr>
              <w:t>An integrated system for the coordinated management of the social assistance system</w:t>
            </w:r>
          </w:p>
        </w:tc>
        <w:tc>
          <w:tcPr>
            <w:tcW w:w="1939" w:type="dxa"/>
            <w:shd w:val="clear" w:color="auto" w:fill="70AD47"/>
            <w:vAlign w:val="center"/>
          </w:tcPr>
          <w:p w14:paraId="449E3EB9" w14:textId="77777777" w:rsidR="00D37461" w:rsidRPr="0012072A" w:rsidRDefault="00D37461" w:rsidP="00D37461">
            <w:pPr>
              <w:spacing w:after="0"/>
              <w:rPr>
                <w:sz w:val="20"/>
                <w:szCs w:val="20"/>
                <w:lang w:val="en-GB"/>
              </w:rPr>
            </w:pPr>
            <w:r w:rsidRPr="0012072A">
              <w:rPr>
                <w:sz w:val="20"/>
                <w:szCs w:val="20"/>
                <w:lang w:val="en-GB"/>
              </w:rPr>
              <w:t>2017</w:t>
            </w:r>
          </w:p>
        </w:tc>
      </w:tr>
      <w:tr w:rsidR="00D37461" w:rsidRPr="0012072A" w14:paraId="2B1D2FEE" w14:textId="77777777" w:rsidTr="00D37461">
        <w:trPr>
          <w:trHeight w:val="479"/>
        </w:trPr>
        <w:tc>
          <w:tcPr>
            <w:tcW w:w="945" w:type="dxa"/>
            <w:shd w:val="clear" w:color="auto" w:fill="FFC000"/>
            <w:vAlign w:val="center"/>
          </w:tcPr>
          <w:p w14:paraId="724FADCD" w14:textId="77777777" w:rsidR="00D37461" w:rsidRPr="0012072A" w:rsidRDefault="00D37461" w:rsidP="00D37461">
            <w:pPr>
              <w:spacing w:after="0"/>
              <w:rPr>
                <w:sz w:val="20"/>
                <w:szCs w:val="20"/>
                <w:lang w:val="en-GB"/>
              </w:rPr>
            </w:pPr>
            <w:r w:rsidRPr="0012072A">
              <w:rPr>
                <w:sz w:val="20"/>
                <w:szCs w:val="20"/>
                <w:lang w:val="en-GB"/>
              </w:rPr>
              <w:t>2.1.5</w:t>
            </w:r>
          </w:p>
        </w:tc>
        <w:tc>
          <w:tcPr>
            <w:tcW w:w="6042" w:type="dxa"/>
            <w:shd w:val="clear" w:color="auto" w:fill="FFC000"/>
            <w:vAlign w:val="center"/>
          </w:tcPr>
          <w:p w14:paraId="75CB73ED" w14:textId="77777777" w:rsidR="00D37461" w:rsidRPr="0012072A" w:rsidRDefault="00D37461" w:rsidP="00D37461">
            <w:pPr>
              <w:spacing w:after="0"/>
              <w:rPr>
                <w:sz w:val="20"/>
                <w:szCs w:val="20"/>
                <w:lang w:val="en-GB"/>
              </w:rPr>
            </w:pPr>
            <w:r w:rsidRPr="0012072A">
              <w:rPr>
                <w:sz w:val="20"/>
                <w:szCs w:val="20"/>
                <w:lang w:val="en-GB"/>
              </w:rPr>
              <w:t>Social contribution collections: toward a unified system</w:t>
            </w:r>
          </w:p>
        </w:tc>
        <w:tc>
          <w:tcPr>
            <w:tcW w:w="1939" w:type="dxa"/>
            <w:shd w:val="clear" w:color="auto" w:fill="FFC000"/>
            <w:vAlign w:val="center"/>
          </w:tcPr>
          <w:p w14:paraId="192B3F04" w14:textId="77777777" w:rsidR="00D37461" w:rsidRPr="0012072A" w:rsidRDefault="00D37461" w:rsidP="00D37461">
            <w:pPr>
              <w:spacing w:after="0"/>
              <w:rPr>
                <w:sz w:val="20"/>
                <w:szCs w:val="20"/>
                <w:lang w:val="en-GB"/>
              </w:rPr>
            </w:pPr>
            <w:r w:rsidRPr="0012072A">
              <w:rPr>
                <w:sz w:val="20"/>
                <w:szCs w:val="20"/>
                <w:lang w:val="en-GB"/>
              </w:rPr>
              <w:t>Introduced 2018</w:t>
            </w:r>
          </w:p>
        </w:tc>
      </w:tr>
      <w:tr w:rsidR="00D37461" w:rsidRPr="0012072A" w14:paraId="56313200" w14:textId="77777777" w:rsidTr="00D37461">
        <w:trPr>
          <w:trHeight w:val="415"/>
        </w:trPr>
        <w:tc>
          <w:tcPr>
            <w:tcW w:w="945" w:type="dxa"/>
            <w:shd w:val="clear" w:color="auto" w:fill="70AD47"/>
            <w:vAlign w:val="center"/>
          </w:tcPr>
          <w:p w14:paraId="19C48F23" w14:textId="77777777" w:rsidR="00D37461" w:rsidRPr="0012072A" w:rsidRDefault="00D37461" w:rsidP="00D37461">
            <w:pPr>
              <w:spacing w:after="0"/>
              <w:rPr>
                <w:sz w:val="20"/>
                <w:szCs w:val="20"/>
                <w:lang w:val="en-GB"/>
              </w:rPr>
            </w:pPr>
            <w:r w:rsidRPr="0012072A">
              <w:rPr>
                <w:sz w:val="20"/>
                <w:szCs w:val="20"/>
                <w:lang w:val="en-GB"/>
              </w:rPr>
              <w:t>2.1.6</w:t>
            </w:r>
          </w:p>
        </w:tc>
        <w:tc>
          <w:tcPr>
            <w:tcW w:w="6042" w:type="dxa"/>
            <w:shd w:val="clear" w:color="auto" w:fill="70AD47"/>
            <w:vAlign w:val="center"/>
          </w:tcPr>
          <w:p w14:paraId="24B3E4BE" w14:textId="77777777" w:rsidR="00D37461" w:rsidRPr="0012072A" w:rsidRDefault="00D37461" w:rsidP="00D37461">
            <w:pPr>
              <w:spacing w:after="0"/>
              <w:rPr>
                <w:sz w:val="20"/>
                <w:szCs w:val="20"/>
                <w:lang w:val="en-GB"/>
              </w:rPr>
            </w:pPr>
            <w:r w:rsidRPr="005B6D9F">
              <w:rPr>
                <w:sz w:val="20"/>
                <w:szCs w:val="20"/>
                <w:lang w:val="en-GB"/>
              </w:rPr>
              <w:t xml:space="preserve">Development of Old-age Services and </w:t>
            </w:r>
            <w:proofErr w:type="gramStart"/>
            <w:r w:rsidRPr="005B6D9F">
              <w:rPr>
                <w:sz w:val="20"/>
                <w:szCs w:val="20"/>
                <w:lang w:val="en-GB"/>
              </w:rPr>
              <w:t>Long Term</w:t>
            </w:r>
            <w:proofErr w:type="gramEnd"/>
            <w:r w:rsidRPr="005B6D9F">
              <w:rPr>
                <w:sz w:val="20"/>
                <w:szCs w:val="20"/>
                <w:lang w:val="en-GB"/>
              </w:rPr>
              <w:t xml:space="preserve"> Care System</w:t>
            </w:r>
          </w:p>
        </w:tc>
        <w:tc>
          <w:tcPr>
            <w:tcW w:w="1939" w:type="dxa"/>
            <w:shd w:val="clear" w:color="auto" w:fill="70AD47"/>
            <w:vAlign w:val="center"/>
          </w:tcPr>
          <w:p w14:paraId="245B1B40" w14:textId="77777777" w:rsidR="00D37461" w:rsidRPr="0012072A" w:rsidRDefault="00D37461" w:rsidP="00D37461">
            <w:pPr>
              <w:spacing w:after="0"/>
              <w:rPr>
                <w:sz w:val="20"/>
                <w:szCs w:val="20"/>
                <w:lang w:val="en-GB"/>
              </w:rPr>
            </w:pPr>
            <w:r w:rsidRPr="0012072A">
              <w:rPr>
                <w:sz w:val="20"/>
                <w:szCs w:val="20"/>
                <w:lang w:val="en-GB"/>
              </w:rPr>
              <w:t>2017</w:t>
            </w:r>
          </w:p>
        </w:tc>
      </w:tr>
      <w:tr w:rsidR="00D37461" w:rsidRPr="000A6488" w14:paraId="2744167D" w14:textId="77777777" w:rsidTr="00D37461">
        <w:trPr>
          <w:trHeight w:val="680"/>
        </w:trPr>
        <w:tc>
          <w:tcPr>
            <w:tcW w:w="8926" w:type="dxa"/>
            <w:gridSpan w:val="3"/>
            <w:shd w:val="clear" w:color="auto" w:fill="E7E6E6"/>
            <w:vAlign w:val="center"/>
          </w:tcPr>
          <w:p w14:paraId="38581C57" w14:textId="77777777" w:rsidR="00D37461" w:rsidRPr="0012072A" w:rsidRDefault="00D37461" w:rsidP="00D37461">
            <w:pPr>
              <w:spacing w:after="0"/>
              <w:rPr>
                <w:sz w:val="20"/>
                <w:szCs w:val="20"/>
                <w:lang w:val="en-GB"/>
              </w:rPr>
            </w:pPr>
            <w:r w:rsidRPr="0012072A">
              <w:rPr>
                <w:sz w:val="20"/>
                <w:szCs w:val="20"/>
                <w:lang w:val="en-GB"/>
              </w:rPr>
              <w:t>R7 Enhance the top-level design ability in the basic pension insurance; establish actuarial analysis models for basic pension insurance reform.</w:t>
            </w:r>
          </w:p>
        </w:tc>
      </w:tr>
      <w:tr w:rsidR="00D37461" w:rsidRPr="0012072A" w14:paraId="576DBD53" w14:textId="77777777" w:rsidTr="00D37461">
        <w:trPr>
          <w:trHeight w:val="476"/>
        </w:trPr>
        <w:tc>
          <w:tcPr>
            <w:tcW w:w="945" w:type="dxa"/>
            <w:shd w:val="clear" w:color="auto" w:fill="auto"/>
            <w:vAlign w:val="center"/>
          </w:tcPr>
          <w:p w14:paraId="7A1F8DED" w14:textId="77777777" w:rsidR="00D37461" w:rsidRPr="0012072A" w:rsidRDefault="00D37461" w:rsidP="00D37461">
            <w:pPr>
              <w:spacing w:after="0"/>
              <w:rPr>
                <w:sz w:val="20"/>
                <w:szCs w:val="20"/>
                <w:lang w:val="en-GB"/>
              </w:rPr>
            </w:pPr>
            <w:r w:rsidRPr="0012072A">
              <w:rPr>
                <w:sz w:val="20"/>
                <w:szCs w:val="20"/>
                <w:lang w:val="en-GB"/>
              </w:rPr>
              <w:t>2.2.1</w:t>
            </w:r>
          </w:p>
        </w:tc>
        <w:tc>
          <w:tcPr>
            <w:tcW w:w="6042" w:type="dxa"/>
            <w:shd w:val="clear" w:color="auto" w:fill="auto"/>
            <w:vAlign w:val="center"/>
          </w:tcPr>
          <w:p w14:paraId="2794B91B" w14:textId="77777777" w:rsidR="00D37461" w:rsidRPr="0012072A" w:rsidRDefault="00D37461" w:rsidP="00D37461">
            <w:pPr>
              <w:spacing w:after="0"/>
              <w:rPr>
                <w:sz w:val="20"/>
                <w:szCs w:val="20"/>
                <w:lang w:val="en-GB"/>
              </w:rPr>
            </w:pPr>
            <w:r w:rsidRPr="0012072A">
              <w:rPr>
                <w:sz w:val="20"/>
                <w:szCs w:val="20"/>
                <w:lang w:val="en-GB"/>
              </w:rPr>
              <w:t>Nominal personal account reform in the basic pension insurance system</w:t>
            </w:r>
          </w:p>
        </w:tc>
        <w:tc>
          <w:tcPr>
            <w:tcW w:w="1939" w:type="dxa"/>
            <w:shd w:val="clear" w:color="auto" w:fill="auto"/>
            <w:vAlign w:val="center"/>
          </w:tcPr>
          <w:p w14:paraId="0F8E0BF7" w14:textId="77777777" w:rsidR="00D37461" w:rsidRPr="0012072A" w:rsidRDefault="00D37461" w:rsidP="00D37461">
            <w:pPr>
              <w:spacing w:after="0"/>
              <w:rPr>
                <w:sz w:val="20"/>
                <w:szCs w:val="20"/>
                <w:lang w:val="en-GB"/>
              </w:rPr>
            </w:pPr>
            <w:r w:rsidRPr="0012072A">
              <w:rPr>
                <w:sz w:val="20"/>
                <w:szCs w:val="20"/>
                <w:lang w:val="en-GB"/>
              </w:rPr>
              <w:t>2015</w:t>
            </w:r>
          </w:p>
        </w:tc>
      </w:tr>
      <w:tr w:rsidR="00D37461" w:rsidRPr="0012072A" w14:paraId="74054F05" w14:textId="77777777" w:rsidTr="00D37461">
        <w:trPr>
          <w:trHeight w:val="567"/>
        </w:trPr>
        <w:tc>
          <w:tcPr>
            <w:tcW w:w="945" w:type="dxa"/>
            <w:shd w:val="clear" w:color="auto" w:fill="auto"/>
            <w:vAlign w:val="center"/>
          </w:tcPr>
          <w:p w14:paraId="2804F4A4" w14:textId="77777777" w:rsidR="00D37461" w:rsidRPr="0012072A" w:rsidRDefault="00D37461" w:rsidP="00D37461">
            <w:pPr>
              <w:spacing w:after="0"/>
              <w:rPr>
                <w:sz w:val="20"/>
                <w:szCs w:val="20"/>
                <w:lang w:val="en-GB"/>
              </w:rPr>
            </w:pPr>
            <w:r w:rsidRPr="0012072A">
              <w:rPr>
                <w:sz w:val="20"/>
                <w:szCs w:val="20"/>
                <w:lang w:val="en-GB"/>
              </w:rPr>
              <w:t>2.2.2</w:t>
            </w:r>
          </w:p>
        </w:tc>
        <w:tc>
          <w:tcPr>
            <w:tcW w:w="6042" w:type="dxa"/>
            <w:shd w:val="clear" w:color="auto" w:fill="auto"/>
            <w:vAlign w:val="center"/>
          </w:tcPr>
          <w:p w14:paraId="612A0919" w14:textId="77777777" w:rsidR="00D37461" w:rsidRPr="0012072A" w:rsidRDefault="00D37461" w:rsidP="00D37461">
            <w:pPr>
              <w:spacing w:after="0"/>
              <w:rPr>
                <w:sz w:val="20"/>
                <w:szCs w:val="20"/>
                <w:lang w:val="en-GB"/>
              </w:rPr>
            </w:pPr>
            <w:r w:rsidRPr="0012072A">
              <w:rPr>
                <w:sz w:val="20"/>
                <w:szCs w:val="20"/>
                <w:lang w:val="en-GB"/>
              </w:rPr>
              <w:t>Models and Methodologies for the Social and Economic sustainability analysis in social protection system</w:t>
            </w:r>
          </w:p>
        </w:tc>
        <w:tc>
          <w:tcPr>
            <w:tcW w:w="1939" w:type="dxa"/>
            <w:shd w:val="clear" w:color="auto" w:fill="auto"/>
            <w:vAlign w:val="center"/>
          </w:tcPr>
          <w:p w14:paraId="24ABF5E6" w14:textId="77777777" w:rsidR="00D37461" w:rsidRPr="0012072A" w:rsidRDefault="00D37461" w:rsidP="00D37461">
            <w:pPr>
              <w:spacing w:after="0"/>
              <w:rPr>
                <w:sz w:val="20"/>
                <w:szCs w:val="20"/>
                <w:lang w:val="en-GB"/>
              </w:rPr>
            </w:pPr>
            <w:r w:rsidRPr="0012072A">
              <w:rPr>
                <w:sz w:val="20"/>
                <w:szCs w:val="20"/>
                <w:lang w:val="en-GB"/>
              </w:rPr>
              <w:t>2015-2016</w:t>
            </w:r>
          </w:p>
        </w:tc>
      </w:tr>
      <w:tr w:rsidR="00D37461" w:rsidRPr="000A6488" w14:paraId="6BD1322B" w14:textId="77777777" w:rsidTr="00D37461">
        <w:trPr>
          <w:trHeight w:val="907"/>
        </w:trPr>
        <w:tc>
          <w:tcPr>
            <w:tcW w:w="8926" w:type="dxa"/>
            <w:gridSpan w:val="3"/>
            <w:shd w:val="clear" w:color="auto" w:fill="E7E6E6"/>
            <w:vAlign w:val="center"/>
          </w:tcPr>
          <w:p w14:paraId="0AB56430" w14:textId="77777777" w:rsidR="00D37461" w:rsidRPr="0012072A" w:rsidRDefault="00D37461" w:rsidP="00D37461">
            <w:pPr>
              <w:spacing w:after="0"/>
              <w:rPr>
                <w:sz w:val="20"/>
                <w:szCs w:val="20"/>
                <w:lang w:val="en-GB"/>
              </w:rPr>
            </w:pPr>
            <w:r w:rsidRPr="0012072A">
              <w:rPr>
                <w:sz w:val="20"/>
                <w:szCs w:val="20"/>
                <w:lang w:val="en-GB"/>
              </w:rPr>
              <w:t xml:space="preserve">R8 </w:t>
            </w:r>
            <w:proofErr w:type="gramStart"/>
            <w:r w:rsidRPr="0012072A">
              <w:rPr>
                <w:sz w:val="20"/>
                <w:szCs w:val="20"/>
                <w:lang w:val="en-GB"/>
              </w:rPr>
              <w:t>The</w:t>
            </w:r>
            <w:proofErr w:type="gramEnd"/>
            <w:r w:rsidRPr="0012072A">
              <w:rPr>
                <w:sz w:val="20"/>
                <w:szCs w:val="20"/>
                <w:lang w:val="en-GB"/>
              </w:rPr>
              <w:t xml:space="preserve"> capacity of the </w:t>
            </w:r>
            <w:proofErr w:type="spellStart"/>
            <w:r w:rsidRPr="0012072A">
              <w:rPr>
                <w:sz w:val="20"/>
                <w:szCs w:val="20"/>
                <w:lang w:val="en-GB"/>
              </w:rPr>
              <w:t>MoF</w:t>
            </w:r>
            <w:proofErr w:type="spellEnd"/>
            <w:r w:rsidRPr="0012072A">
              <w:rPr>
                <w:sz w:val="20"/>
                <w:szCs w:val="20"/>
                <w:lang w:val="en-GB"/>
              </w:rPr>
              <w:t xml:space="preserve"> in the management of social insurance funds, focusing on fiscal support budgeting, account system, investment techniques and adjustment mechanisms for pension benefits is strengthened.</w:t>
            </w:r>
          </w:p>
        </w:tc>
      </w:tr>
      <w:tr w:rsidR="00D37461" w:rsidRPr="0012072A" w14:paraId="01BE3488" w14:textId="77777777" w:rsidTr="00D37461">
        <w:trPr>
          <w:trHeight w:val="430"/>
        </w:trPr>
        <w:tc>
          <w:tcPr>
            <w:tcW w:w="945" w:type="dxa"/>
            <w:shd w:val="clear" w:color="auto" w:fill="70AD47"/>
            <w:vAlign w:val="center"/>
          </w:tcPr>
          <w:p w14:paraId="537E8651" w14:textId="77777777" w:rsidR="00D37461" w:rsidRPr="0012072A" w:rsidRDefault="00D37461" w:rsidP="00D37461">
            <w:pPr>
              <w:spacing w:after="0"/>
              <w:rPr>
                <w:sz w:val="20"/>
                <w:szCs w:val="20"/>
                <w:lang w:val="en-GB"/>
              </w:rPr>
            </w:pPr>
            <w:r w:rsidRPr="0012072A">
              <w:rPr>
                <w:sz w:val="20"/>
                <w:szCs w:val="20"/>
                <w:lang w:val="en-GB"/>
              </w:rPr>
              <w:t>2.3.1</w:t>
            </w:r>
          </w:p>
        </w:tc>
        <w:tc>
          <w:tcPr>
            <w:tcW w:w="6042" w:type="dxa"/>
            <w:shd w:val="clear" w:color="auto" w:fill="70AD47"/>
            <w:vAlign w:val="center"/>
          </w:tcPr>
          <w:p w14:paraId="37F3C471" w14:textId="77777777" w:rsidR="00D37461" w:rsidRPr="0012072A" w:rsidRDefault="00D37461" w:rsidP="00D37461">
            <w:pPr>
              <w:spacing w:after="0"/>
              <w:rPr>
                <w:sz w:val="20"/>
                <w:szCs w:val="20"/>
                <w:lang w:val="en-GB"/>
              </w:rPr>
            </w:pPr>
            <w:r w:rsidRPr="0012072A">
              <w:rPr>
                <w:sz w:val="20"/>
                <w:szCs w:val="20"/>
                <w:lang w:val="en-GB"/>
              </w:rPr>
              <w:t>Investment strategies of social funds and risk control methodologies</w:t>
            </w:r>
          </w:p>
        </w:tc>
        <w:tc>
          <w:tcPr>
            <w:tcW w:w="1939" w:type="dxa"/>
            <w:shd w:val="clear" w:color="auto" w:fill="70AD47"/>
            <w:vAlign w:val="center"/>
          </w:tcPr>
          <w:p w14:paraId="1DC3F5ED" w14:textId="77777777" w:rsidR="00D37461" w:rsidRPr="0012072A" w:rsidRDefault="00D37461" w:rsidP="00D37461">
            <w:pPr>
              <w:spacing w:after="0"/>
              <w:rPr>
                <w:sz w:val="20"/>
                <w:szCs w:val="20"/>
                <w:lang w:val="en-GB"/>
              </w:rPr>
            </w:pPr>
            <w:r w:rsidRPr="0012072A">
              <w:rPr>
                <w:sz w:val="20"/>
                <w:szCs w:val="20"/>
                <w:lang w:val="en-GB"/>
              </w:rPr>
              <w:t>2017</w:t>
            </w:r>
          </w:p>
        </w:tc>
      </w:tr>
      <w:tr w:rsidR="00D37461" w:rsidRPr="0012072A" w14:paraId="56C8AE28" w14:textId="77777777" w:rsidTr="00D37461">
        <w:trPr>
          <w:trHeight w:val="567"/>
        </w:trPr>
        <w:tc>
          <w:tcPr>
            <w:tcW w:w="945" w:type="dxa"/>
            <w:shd w:val="clear" w:color="auto" w:fill="FFC000"/>
            <w:vAlign w:val="center"/>
          </w:tcPr>
          <w:p w14:paraId="78F1F80E" w14:textId="77777777" w:rsidR="00D37461" w:rsidRPr="0012072A" w:rsidRDefault="00D37461" w:rsidP="00D37461">
            <w:pPr>
              <w:spacing w:after="0"/>
              <w:rPr>
                <w:sz w:val="20"/>
                <w:szCs w:val="20"/>
                <w:lang w:val="en-GB"/>
              </w:rPr>
            </w:pPr>
            <w:r w:rsidRPr="0012072A">
              <w:rPr>
                <w:sz w:val="20"/>
                <w:szCs w:val="20"/>
                <w:lang w:val="en-GB"/>
              </w:rPr>
              <w:t>2.3.2</w:t>
            </w:r>
          </w:p>
        </w:tc>
        <w:tc>
          <w:tcPr>
            <w:tcW w:w="6042" w:type="dxa"/>
            <w:shd w:val="clear" w:color="auto" w:fill="FFC000"/>
            <w:vAlign w:val="center"/>
          </w:tcPr>
          <w:p w14:paraId="75C62932" w14:textId="77777777" w:rsidR="00D37461" w:rsidRPr="0012072A" w:rsidRDefault="00D37461" w:rsidP="00D37461">
            <w:pPr>
              <w:spacing w:after="0"/>
              <w:rPr>
                <w:sz w:val="20"/>
                <w:szCs w:val="20"/>
                <w:lang w:val="en-GB"/>
              </w:rPr>
            </w:pPr>
            <w:r w:rsidRPr="0012072A">
              <w:rPr>
                <w:sz w:val="20"/>
                <w:szCs w:val="20"/>
                <w:lang w:val="en-GB"/>
              </w:rPr>
              <w:t>The role of public finance and enterprise annuities funds in the Chinese social security system</w:t>
            </w:r>
          </w:p>
        </w:tc>
        <w:tc>
          <w:tcPr>
            <w:tcW w:w="1939" w:type="dxa"/>
            <w:shd w:val="clear" w:color="auto" w:fill="FFC000"/>
            <w:vAlign w:val="center"/>
          </w:tcPr>
          <w:p w14:paraId="4E275A86" w14:textId="77777777" w:rsidR="00D37461" w:rsidRPr="0012072A" w:rsidRDefault="00D37461" w:rsidP="00D37461">
            <w:pPr>
              <w:spacing w:after="0"/>
              <w:rPr>
                <w:sz w:val="20"/>
                <w:szCs w:val="20"/>
                <w:lang w:val="en-GB"/>
              </w:rPr>
            </w:pPr>
            <w:r w:rsidRPr="0012072A">
              <w:rPr>
                <w:sz w:val="20"/>
                <w:szCs w:val="20"/>
                <w:lang w:val="en-GB"/>
              </w:rPr>
              <w:t>Introduced 2018</w:t>
            </w:r>
          </w:p>
        </w:tc>
      </w:tr>
    </w:tbl>
    <w:p w14:paraId="18896BD4" w14:textId="799F5C2E" w:rsidR="00D37461" w:rsidRPr="00D37461" w:rsidRDefault="00D37461" w:rsidP="00D37461">
      <w:pPr>
        <w:spacing w:line="320" w:lineRule="exact"/>
        <w:jc w:val="both"/>
        <w:rPr>
          <w:lang w:val="en-US"/>
        </w:rPr>
      </w:pPr>
      <w:r w:rsidRPr="00D37461">
        <w:rPr>
          <w:lang w:val="en-US"/>
        </w:rPr>
        <w:t xml:space="preserve">COMPONENT </w:t>
      </w:r>
      <w:r>
        <w:rPr>
          <w:lang w:val="en-US"/>
        </w:rPr>
        <w:t>TWO</w:t>
      </w:r>
      <w:r w:rsidRPr="00D37461">
        <w:rPr>
          <w:lang w:val="en-US"/>
        </w:rPr>
        <w:t xml:space="preserve"> – CONSOLIDATED LIST OF TOPICS</w:t>
      </w:r>
    </w:p>
    <w:p w14:paraId="624011C4" w14:textId="77777777" w:rsidR="00D37461" w:rsidRDefault="00D37461">
      <w:pPr>
        <w:rPr>
          <w:lang w:val="en-GB"/>
        </w:rPr>
      </w:pPr>
    </w:p>
    <w:tbl>
      <w:tblPr>
        <w:tblStyle w:val="TableGrid5"/>
        <w:tblpPr w:leftFromText="180" w:rightFromText="180" w:vertAnchor="text" w:horzAnchor="page" w:tblpX="3046" w:tblpY="481"/>
        <w:tblW w:w="0" w:type="auto"/>
        <w:tblLook w:val="04A0" w:firstRow="1" w:lastRow="0" w:firstColumn="1" w:lastColumn="0" w:noHBand="0" w:noVBand="1"/>
      </w:tblPr>
      <w:tblGrid>
        <w:gridCol w:w="3226"/>
        <w:gridCol w:w="1622"/>
      </w:tblGrid>
      <w:tr w:rsidR="00D37461" w:rsidRPr="0012072A" w14:paraId="78F5D849" w14:textId="77777777" w:rsidTr="00D37461">
        <w:trPr>
          <w:trHeight w:val="404"/>
        </w:trPr>
        <w:tc>
          <w:tcPr>
            <w:tcW w:w="3226" w:type="dxa"/>
            <w:vAlign w:val="center"/>
          </w:tcPr>
          <w:p w14:paraId="3C14C2DA" w14:textId="77777777" w:rsidR="00D37461" w:rsidRPr="0012072A" w:rsidRDefault="00D37461" w:rsidP="00D37461">
            <w:pPr>
              <w:spacing w:after="0"/>
              <w:rPr>
                <w:sz w:val="20"/>
                <w:szCs w:val="18"/>
                <w:lang w:val="en-GB"/>
              </w:rPr>
            </w:pPr>
            <w:r w:rsidRPr="0012072A">
              <w:rPr>
                <w:sz w:val="20"/>
                <w:szCs w:val="18"/>
                <w:lang w:val="en-GB"/>
              </w:rPr>
              <w:t>Topics implemented in 2015-2016</w:t>
            </w:r>
          </w:p>
        </w:tc>
        <w:tc>
          <w:tcPr>
            <w:tcW w:w="1622" w:type="dxa"/>
            <w:vAlign w:val="center"/>
          </w:tcPr>
          <w:p w14:paraId="0383F90B" w14:textId="77777777" w:rsidR="00D37461" w:rsidRPr="0012072A" w:rsidRDefault="00D37461" w:rsidP="00D37461">
            <w:pPr>
              <w:spacing w:after="0"/>
              <w:rPr>
                <w:sz w:val="20"/>
                <w:szCs w:val="18"/>
                <w:lang w:val="en-GB"/>
              </w:rPr>
            </w:pPr>
            <w:r w:rsidRPr="0012072A">
              <w:rPr>
                <w:sz w:val="20"/>
                <w:szCs w:val="18"/>
                <w:lang w:val="en-GB"/>
              </w:rPr>
              <w:t>White colour</w:t>
            </w:r>
          </w:p>
        </w:tc>
      </w:tr>
      <w:tr w:rsidR="00D37461" w:rsidRPr="0012072A" w14:paraId="4613B665" w14:textId="77777777" w:rsidTr="00D37461">
        <w:trPr>
          <w:trHeight w:val="437"/>
        </w:trPr>
        <w:tc>
          <w:tcPr>
            <w:tcW w:w="3226" w:type="dxa"/>
            <w:shd w:val="clear" w:color="auto" w:fill="92D050"/>
            <w:vAlign w:val="center"/>
          </w:tcPr>
          <w:p w14:paraId="0A7758B1" w14:textId="77777777" w:rsidR="00D37461" w:rsidRPr="0012072A" w:rsidRDefault="00D37461" w:rsidP="00D37461">
            <w:pPr>
              <w:spacing w:after="0"/>
              <w:rPr>
                <w:sz w:val="20"/>
                <w:szCs w:val="18"/>
                <w:lang w:val="en-GB"/>
              </w:rPr>
            </w:pPr>
            <w:r w:rsidRPr="0012072A">
              <w:rPr>
                <w:sz w:val="20"/>
                <w:szCs w:val="18"/>
                <w:lang w:val="en-GB"/>
              </w:rPr>
              <w:t>Topics implemented in 2017</w:t>
            </w:r>
          </w:p>
        </w:tc>
        <w:tc>
          <w:tcPr>
            <w:tcW w:w="1622" w:type="dxa"/>
            <w:shd w:val="clear" w:color="auto" w:fill="92D050"/>
            <w:vAlign w:val="center"/>
          </w:tcPr>
          <w:p w14:paraId="1F922EA2" w14:textId="77777777" w:rsidR="00D37461" w:rsidRPr="0012072A" w:rsidRDefault="00D37461" w:rsidP="00D37461">
            <w:pPr>
              <w:spacing w:after="0"/>
              <w:rPr>
                <w:sz w:val="20"/>
                <w:szCs w:val="18"/>
                <w:lang w:val="en-GB"/>
              </w:rPr>
            </w:pPr>
            <w:r w:rsidRPr="0012072A">
              <w:rPr>
                <w:sz w:val="20"/>
                <w:szCs w:val="18"/>
                <w:lang w:val="en-GB"/>
              </w:rPr>
              <w:t>Green colour</w:t>
            </w:r>
          </w:p>
        </w:tc>
      </w:tr>
      <w:tr w:rsidR="00D37461" w:rsidRPr="0012072A" w14:paraId="66B2ADD0" w14:textId="77777777" w:rsidTr="00D37461">
        <w:trPr>
          <w:trHeight w:val="369"/>
        </w:trPr>
        <w:tc>
          <w:tcPr>
            <w:tcW w:w="3226" w:type="dxa"/>
            <w:shd w:val="clear" w:color="auto" w:fill="FFC000"/>
            <w:vAlign w:val="center"/>
          </w:tcPr>
          <w:p w14:paraId="7D492DB5" w14:textId="77777777" w:rsidR="00D37461" w:rsidRPr="0012072A" w:rsidRDefault="00D37461" w:rsidP="00D37461">
            <w:pPr>
              <w:spacing w:after="0"/>
              <w:rPr>
                <w:sz w:val="20"/>
                <w:szCs w:val="18"/>
                <w:lang w:val="en-GB"/>
              </w:rPr>
            </w:pPr>
            <w:r w:rsidRPr="0012072A">
              <w:rPr>
                <w:sz w:val="20"/>
                <w:szCs w:val="18"/>
                <w:lang w:val="en-GB"/>
              </w:rPr>
              <w:t>Topics foreseen in 2018</w:t>
            </w:r>
          </w:p>
        </w:tc>
        <w:tc>
          <w:tcPr>
            <w:tcW w:w="1622" w:type="dxa"/>
            <w:shd w:val="clear" w:color="auto" w:fill="FFC000"/>
            <w:vAlign w:val="center"/>
          </w:tcPr>
          <w:p w14:paraId="7B6B83F8" w14:textId="77777777" w:rsidR="00D37461" w:rsidRPr="0012072A" w:rsidRDefault="00D37461" w:rsidP="00D37461">
            <w:pPr>
              <w:spacing w:after="0"/>
              <w:rPr>
                <w:sz w:val="20"/>
                <w:szCs w:val="18"/>
                <w:lang w:val="en-GB"/>
              </w:rPr>
            </w:pPr>
            <w:r w:rsidRPr="0012072A">
              <w:rPr>
                <w:sz w:val="20"/>
                <w:szCs w:val="18"/>
                <w:lang w:val="en-GB"/>
              </w:rPr>
              <w:t>Orange colour</w:t>
            </w:r>
          </w:p>
        </w:tc>
      </w:tr>
    </w:tbl>
    <w:p w14:paraId="70F61E69" w14:textId="6FEC95E9" w:rsidR="00D37461" w:rsidRDefault="00D37461">
      <w:r w:rsidRPr="0012072A">
        <w:rPr>
          <w:lang w:val="en-GB"/>
        </w:rPr>
        <w:t>Legend:</w:t>
      </w:r>
      <w:bookmarkStart w:id="0" w:name="_GoBack"/>
      <w:bookmarkEnd w:id="0"/>
    </w:p>
    <w:sectPr w:rsidR="00D37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tane">
    <w:altName w:val="Calibri"/>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1"/>
    <w:rsid w:val="00D3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D368"/>
  <w15:chartTrackingRefBased/>
  <w15:docId w15:val="{31C43F37-CDDB-4F29-B4F5-B56CAFF5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461"/>
    <w:pPr>
      <w:spacing w:after="200" w:line="276" w:lineRule="auto"/>
    </w:pPr>
    <w:rPr>
      <w:rFonts w:ascii="Optane" w:eastAsia="宋体" w:hAnsi="Optane" w:cs="Times New Roman"/>
      <w:kern w:val="0"/>
      <w:sz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qFormat/>
    <w:rsid w:val="00D37461"/>
    <w:rPr>
      <w:rFonts w:ascii="Cambria" w:eastAsia="宋体" w:hAnsi="Cambria" w:cs="Times New Roman"/>
      <w:kern w:val="0"/>
      <w:sz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D37461"/>
    <w:rPr>
      <w:rFonts w:ascii="Cambria" w:eastAsia="宋体" w:hAnsi="Cambria" w:cs="Times New Roman"/>
      <w:kern w:val="0"/>
      <w:sz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SPRP-BJ User</dc:creator>
  <cp:keywords/>
  <dc:description/>
  <cp:lastModifiedBy>SPRP-BJ User</cp:lastModifiedBy>
  <cp:revision>1</cp:revision>
  <dcterms:created xsi:type="dcterms:W3CDTF">2018-11-27T08:10:00Z</dcterms:created>
  <dcterms:modified xsi:type="dcterms:W3CDTF">2018-11-27T08:15:00Z</dcterms:modified>
</cp:coreProperties>
</file>