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2" w:type="dxa"/>
        <w:tblLayout w:type="fixed"/>
        <w:tblCellMar>
          <w:left w:w="10" w:type="dxa"/>
          <w:right w:w="10" w:type="dxa"/>
        </w:tblCellMar>
        <w:tblLook w:val="0000" w:firstRow="0" w:lastRow="0" w:firstColumn="0" w:lastColumn="0" w:noHBand="0" w:noVBand="0"/>
      </w:tblPr>
      <w:tblGrid>
        <w:gridCol w:w="1455"/>
        <w:gridCol w:w="2728"/>
        <w:gridCol w:w="3092"/>
        <w:gridCol w:w="4183"/>
        <w:gridCol w:w="2946"/>
      </w:tblGrid>
      <w:tr w:rsidR="000022C1" w:rsidRPr="006E3673" w:rsidTr="004F15E8">
        <w:trPr>
          <w:trHeight w:val="536"/>
        </w:trPr>
        <w:tc>
          <w:tcPr>
            <w:tcW w:w="1455" w:type="dxa"/>
            <w:tcBorders>
              <w:bottom w:val="single" w:sz="4" w:space="0" w:color="000000"/>
              <w:right w:val="single" w:sz="4" w:space="0" w:color="000000"/>
            </w:tcBorders>
            <w:shd w:val="clear" w:color="auto" w:fill="auto"/>
            <w:tcMar>
              <w:top w:w="0" w:type="dxa"/>
              <w:left w:w="108" w:type="dxa"/>
              <w:bottom w:w="0" w:type="dxa"/>
              <w:right w:w="108" w:type="dxa"/>
            </w:tcMar>
          </w:tcPr>
          <w:p w:rsidR="000022C1" w:rsidRPr="006E3673" w:rsidRDefault="000022C1" w:rsidP="004F15E8">
            <w:pPr>
              <w:spacing w:after="0"/>
              <w:rPr>
                <w:sz w:val="20"/>
                <w:szCs w:val="20"/>
                <w:lang w:val="en-GB"/>
              </w:rPr>
            </w:pPr>
          </w:p>
        </w:tc>
        <w:tc>
          <w:tcPr>
            <w:tcW w:w="272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6E3673" w:rsidRDefault="000022C1" w:rsidP="004F15E8">
            <w:pPr>
              <w:spacing w:after="0"/>
              <w:jc w:val="center"/>
              <w:rPr>
                <w:sz w:val="20"/>
                <w:szCs w:val="20"/>
                <w:lang w:val="en-GB"/>
              </w:rPr>
            </w:pPr>
            <w:r w:rsidRPr="006E3673">
              <w:rPr>
                <w:b/>
                <w:sz w:val="20"/>
                <w:szCs w:val="20"/>
                <w:lang w:val="en-GB"/>
              </w:rPr>
              <w:t>INTERVENTION LOGIC</w:t>
            </w:r>
          </w:p>
        </w:tc>
        <w:tc>
          <w:tcPr>
            <w:tcW w:w="309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6E3673" w:rsidRDefault="000022C1" w:rsidP="004F15E8">
            <w:pPr>
              <w:spacing w:after="0"/>
              <w:jc w:val="center"/>
              <w:rPr>
                <w:sz w:val="20"/>
                <w:szCs w:val="20"/>
                <w:lang w:val="en-GB"/>
              </w:rPr>
            </w:pPr>
            <w:r w:rsidRPr="006E3673">
              <w:rPr>
                <w:b/>
                <w:sz w:val="20"/>
                <w:szCs w:val="20"/>
                <w:lang w:val="en-GB"/>
              </w:rPr>
              <w:t>OBJECTIVELY VERIFIABLE INDICATORS</w:t>
            </w:r>
          </w:p>
        </w:tc>
        <w:tc>
          <w:tcPr>
            <w:tcW w:w="418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6E3673" w:rsidRDefault="000022C1" w:rsidP="004F15E8">
            <w:pPr>
              <w:spacing w:after="0"/>
              <w:ind w:left="82" w:hanging="82"/>
              <w:jc w:val="center"/>
              <w:rPr>
                <w:sz w:val="20"/>
                <w:szCs w:val="20"/>
                <w:lang w:val="en-GB"/>
              </w:rPr>
            </w:pPr>
            <w:r w:rsidRPr="006E3673">
              <w:rPr>
                <w:b/>
                <w:sz w:val="20"/>
                <w:szCs w:val="20"/>
                <w:lang w:val="en-GB"/>
              </w:rPr>
              <w:t>SOURCES AND MEANS OF VERIFICATION</w:t>
            </w:r>
          </w:p>
        </w:tc>
        <w:tc>
          <w:tcPr>
            <w:tcW w:w="2946"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022C1" w:rsidRPr="006E3673" w:rsidRDefault="000022C1" w:rsidP="004F15E8">
            <w:pPr>
              <w:spacing w:after="0"/>
              <w:ind w:left="82" w:hanging="82"/>
              <w:jc w:val="center"/>
              <w:rPr>
                <w:b/>
                <w:sz w:val="20"/>
                <w:szCs w:val="20"/>
                <w:lang w:val="en-GB"/>
              </w:rPr>
            </w:pPr>
            <w:r w:rsidRPr="006E3673">
              <w:rPr>
                <w:b/>
                <w:sz w:val="20"/>
                <w:szCs w:val="20"/>
                <w:lang w:val="en-GB"/>
              </w:rPr>
              <w:t>ASSUMPTIONS</w:t>
            </w:r>
          </w:p>
        </w:tc>
      </w:tr>
      <w:tr w:rsidR="000022C1" w:rsidRPr="006E3673" w:rsidTr="004F15E8">
        <w:trPr>
          <w:trHeight w:val="1638"/>
        </w:trPr>
        <w:tc>
          <w:tcPr>
            <w:tcW w:w="145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6E3673" w:rsidRDefault="000022C1" w:rsidP="004F15E8">
            <w:pPr>
              <w:spacing w:after="0"/>
              <w:jc w:val="center"/>
              <w:rPr>
                <w:sz w:val="20"/>
                <w:szCs w:val="20"/>
                <w:lang w:val="en-GB"/>
              </w:rPr>
            </w:pPr>
            <w:r w:rsidRPr="006E3673">
              <w:rPr>
                <w:rFonts w:cs="Calibri"/>
                <w:b/>
                <w:bCs/>
                <w:sz w:val="20"/>
                <w:szCs w:val="20"/>
                <w:lang w:val="en-GB"/>
              </w:rPr>
              <w:t>Overall Objective</w:t>
            </w:r>
          </w:p>
        </w:tc>
        <w:tc>
          <w:tcPr>
            <w:tcW w:w="2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2C1" w:rsidRPr="006E3673" w:rsidRDefault="000022C1" w:rsidP="004F15E8">
            <w:pPr>
              <w:spacing w:after="0"/>
              <w:rPr>
                <w:sz w:val="20"/>
                <w:szCs w:val="20"/>
                <w:lang w:val="en-GB"/>
              </w:rPr>
            </w:pPr>
            <w:r w:rsidRPr="006E3673">
              <w:rPr>
                <w:sz w:val="20"/>
                <w:szCs w:val="20"/>
                <w:lang w:val="en-GB"/>
              </w:rPr>
              <w:t>Furthering social equity and inclusiveness of economic development throughout Chinese society</w:t>
            </w:r>
          </w:p>
        </w:tc>
        <w:tc>
          <w:tcPr>
            <w:tcW w:w="3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2C1" w:rsidRPr="006E3673"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6E3673">
              <w:rPr>
                <w:sz w:val="20"/>
                <w:szCs w:val="20"/>
                <w:lang w:val="en-GB"/>
              </w:rPr>
              <w:t>Social protection coverage, income distribution, poverty levels, government budget and GDP shares allocated to social protection</w:t>
            </w:r>
          </w:p>
        </w:tc>
        <w:tc>
          <w:tcPr>
            <w:tcW w:w="41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2C1" w:rsidRPr="006E3673"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6E3673">
              <w:rPr>
                <w:sz w:val="20"/>
                <w:szCs w:val="20"/>
                <w:lang w:val="en-GB"/>
              </w:rPr>
              <w:t xml:space="preserve"> National and provincial statistics.</w:t>
            </w:r>
          </w:p>
        </w:tc>
        <w:tc>
          <w:tcPr>
            <w:tcW w:w="2946" w:type="dxa"/>
            <w:tcBorders>
              <w:top w:val="single" w:sz="4" w:space="0" w:color="000000"/>
              <w:left w:val="single" w:sz="4" w:space="0" w:color="000000"/>
              <w:bottom w:val="single" w:sz="4" w:space="0" w:color="auto"/>
              <w:right w:val="single" w:sz="4" w:space="0" w:color="000000"/>
            </w:tcBorders>
            <w:vAlign w:val="center"/>
          </w:tcPr>
          <w:p w:rsidR="000022C1" w:rsidRPr="006E3673"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6E3673">
              <w:rPr>
                <w:sz w:val="20"/>
                <w:szCs w:val="20"/>
                <w:lang w:val="en-GB"/>
              </w:rPr>
              <w:t>Guidelines and priorities of the Chinese government regarding the reform do not change</w:t>
            </w:r>
          </w:p>
          <w:p w:rsidR="000022C1" w:rsidRPr="006E3673"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6E3673">
              <w:rPr>
                <w:sz w:val="20"/>
                <w:szCs w:val="20"/>
                <w:lang w:val="en-GB"/>
              </w:rPr>
              <w:t>The EU and Chinese institutions remain interested in the project activities</w:t>
            </w:r>
          </w:p>
        </w:tc>
      </w:tr>
      <w:tr w:rsidR="000022C1" w:rsidRPr="006E3673" w:rsidTr="004F15E8">
        <w:trPr>
          <w:trHeight w:val="1785"/>
        </w:trPr>
        <w:tc>
          <w:tcPr>
            <w:tcW w:w="1455" w:type="dxa"/>
            <w:vMerge w:val="restart"/>
            <w:tcBorders>
              <w:top w:val="single" w:sz="4" w:space="0" w:color="000000"/>
              <w:left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6E3673" w:rsidRDefault="000022C1" w:rsidP="004F15E8">
            <w:pPr>
              <w:spacing w:after="0"/>
              <w:jc w:val="center"/>
              <w:rPr>
                <w:sz w:val="20"/>
                <w:szCs w:val="20"/>
                <w:lang w:val="en-GB"/>
              </w:rPr>
            </w:pPr>
            <w:r w:rsidRPr="006E3673">
              <w:rPr>
                <w:rFonts w:cs="Calibri"/>
                <w:b/>
                <w:bCs/>
                <w:sz w:val="20"/>
                <w:szCs w:val="20"/>
                <w:lang w:val="en-GB"/>
              </w:rPr>
              <w:t>Specific Objectives</w:t>
            </w:r>
          </w:p>
        </w:tc>
        <w:tc>
          <w:tcPr>
            <w:tcW w:w="2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2C1" w:rsidRPr="006E3673" w:rsidRDefault="000022C1" w:rsidP="004F15E8">
            <w:pPr>
              <w:spacing w:after="0"/>
              <w:rPr>
                <w:sz w:val="20"/>
                <w:szCs w:val="20"/>
                <w:lang w:val="en-GB"/>
              </w:rPr>
            </w:pPr>
            <w:r w:rsidRPr="006E3673">
              <w:rPr>
                <w:sz w:val="20"/>
                <w:szCs w:val="20"/>
                <w:lang w:val="en-GB"/>
              </w:rPr>
              <w:t>C1. Greater effectiveness and inclusiveness of China’s social security system through strengthening the institutional capacity for developing policies</w:t>
            </w:r>
          </w:p>
        </w:tc>
        <w:tc>
          <w:tcPr>
            <w:tcW w:w="3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2C1" w:rsidRPr="006E3673"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6E3673">
              <w:rPr>
                <w:sz w:val="20"/>
                <w:szCs w:val="20"/>
                <w:lang w:val="en-GB"/>
              </w:rPr>
              <w:t>Comprehensive reforms proposals are developed and subject of public discussion</w:t>
            </w:r>
          </w:p>
        </w:tc>
        <w:tc>
          <w:tcPr>
            <w:tcW w:w="4183"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022C1" w:rsidRPr="006E3673"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6E3673">
              <w:rPr>
                <w:sz w:val="20"/>
                <w:szCs w:val="20"/>
                <w:lang w:val="en-GB"/>
              </w:rPr>
              <w:t xml:space="preserve"> See C1 six-months reports </w:t>
            </w:r>
          </w:p>
          <w:p w:rsidR="000022C1" w:rsidRPr="006E3673"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6E3673">
              <w:rPr>
                <w:sz w:val="20"/>
                <w:szCs w:val="20"/>
                <w:lang w:val="en-GB"/>
              </w:rPr>
              <w:t xml:space="preserve"> COMPENDIUM OF FIRST SET OF PENSION REFORM PROPOSALS (EN-CN)</w:t>
            </w:r>
          </w:p>
          <w:p w:rsidR="000022C1" w:rsidRPr="006E3673" w:rsidRDefault="00C1633D" w:rsidP="004F15E8">
            <w:pPr>
              <w:suppressAutoHyphens/>
              <w:autoSpaceDN w:val="0"/>
              <w:spacing w:after="0" w:line="240" w:lineRule="auto"/>
              <w:textAlignment w:val="baseline"/>
              <w:rPr>
                <w:sz w:val="20"/>
                <w:szCs w:val="20"/>
                <w:lang w:val="en-GB"/>
              </w:rPr>
            </w:pPr>
            <w:hyperlink r:id="rId5" w:history="1">
              <w:r w:rsidR="000022C1" w:rsidRPr="006E3673">
                <w:rPr>
                  <w:color w:val="0000FF"/>
                  <w:sz w:val="20"/>
                  <w:szCs w:val="20"/>
                  <w:u w:val="single"/>
                  <w:lang w:val="en-GB"/>
                </w:rPr>
                <w:t>http://sprp-cn.eu/reports/2015DraftReformProposalsEN.pd</w:t>
              </w:r>
            </w:hyperlink>
            <w:r w:rsidR="000022C1" w:rsidRPr="006E3673">
              <w:rPr>
                <w:sz w:val="20"/>
                <w:szCs w:val="20"/>
                <w:lang w:val="en-GB"/>
              </w:rPr>
              <w:t xml:space="preserve"> </w:t>
            </w:r>
          </w:p>
          <w:p w:rsidR="000022C1" w:rsidRPr="006E3673" w:rsidRDefault="00C1633D" w:rsidP="004F15E8">
            <w:pPr>
              <w:suppressAutoHyphens/>
              <w:autoSpaceDN w:val="0"/>
              <w:spacing w:after="0" w:line="240" w:lineRule="auto"/>
              <w:textAlignment w:val="baseline"/>
              <w:rPr>
                <w:sz w:val="20"/>
                <w:szCs w:val="20"/>
                <w:lang w:val="en-GB"/>
              </w:rPr>
            </w:pPr>
            <w:hyperlink r:id="rId6" w:history="1">
              <w:r w:rsidR="000022C1" w:rsidRPr="006E3673">
                <w:rPr>
                  <w:color w:val="0000FF"/>
                  <w:sz w:val="20"/>
                  <w:szCs w:val="20"/>
                  <w:u w:val="single"/>
                  <w:lang w:val="en-GB"/>
                </w:rPr>
                <w:t>http://sprp-cn.eu/reports/2015DraftReformProposalsCN.pdf</w:t>
              </w:r>
            </w:hyperlink>
          </w:p>
        </w:tc>
        <w:tc>
          <w:tcPr>
            <w:tcW w:w="2946" w:type="dxa"/>
            <w:vMerge w:val="restart"/>
            <w:tcBorders>
              <w:top w:val="single" w:sz="4" w:space="0" w:color="auto"/>
              <w:left w:val="single" w:sz="4" w:space="0" w:color="auto"/>
              <w:right w:val="single" w:sz="4" w:space="0" w:color="auto"/>
            </w:tcBorders>
            <w:vAlign w:val="center"/>
          </w:tcPr>
          <w:p w:rsidR="000022C1" w:rsidRPr="006E3673"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6E3673">
              <w:rPr>
                <w:sz w:val="20"/>
                <w:szCs w:val="20"/>
                <w:lang w:val="en-GB"/>
              </w:rPr>
              <w:t>NDRC, MoF, MoCA and other Stakeholders remain fully committed to share the experience, the Best Practices and the proposals suggested by the Consortium;</w:t>
            </w:r>
          </w:p>
          <w:p w:rsidR="000022C1" w:rsidRPr="006E3673"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6E3673">
              <w:rPr>
                <w:sz w:val="20"/>
                <w:szCs w:val="20"/>
                <w:lang w:val="en-GB"/>
              </w:rPr>
              <w:t>NDRC, MoF, MoCA, Chinese Expert, and other Stakeholders ensure their availability for operational meeting, interviews etc., according to the plan shared in order to contribute actively to the project;</w:t>
            </w:r>
          </w:p>
          <w:p w:rsidR="000022C1" w:rsidRPr="006E3673"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6E3673">
              <w:rPr>
                <w:sz w:val="20"/>
                <w:szCs w:val="20"/>
                <w:lang w:val="en-GB"/>
              </w:rPr>
              <w:t>The EU and Chinese institutions remain interests in long-term cooperation/partnership</w:t>
            </w:r>
          </w:p>
        </w:tc>
      </w:tr>
      <w:tr w:rsidR="000022C1" w:rsidRPr="006E3673" w:rsidTr="004F15E8">
        <w:trPr>
          <w:trHeight w:val="1701"/>
        </w:trPr>
        <w:tc>
          <w:tcPr>
            <w:tcW w:w="1455"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6E3673" w:rsidRDefault="000022C1" w:rsidP="004F15E8">
            <w:pPr>
              <w:jc w:val="center"/>
              <w:rPr>
                <w:rFonts w:cs="Calibri"/>
                <w:b/>
                <w:bCs/>
                <w:sz w:val="20"/>
                <w:szCs w:val="20"/>
                <w:lang w:val="en-GB"/>
              </w:rPr>
            </w:pPr>
          </w:p>
        </w:tc>
        <w:tc>
          <w:tcPr>
            <w:tcW w:w="27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2C1" w:rsidRPr="006E3673" w:rsidRDefault="000022C1" w:rsidP="004F15E8">
            <w:pPr>
              <w:spacing w:after="0"/>
              <w:rPr>
                <w:sz w:val="20"/>
                <w:szCs w:val="20"/>
                <w:lang w:val="en-GB"/>
              </w:rPr>
            </w:pPr>
            <w:r w:rsidRPr="006E3673">
              <w:rPr>
                <w:sz w:val="20"/>
                <w:szCs w:val="20"/>
                <w:lang w:val="en-GB"/>
              </w:rPr>
              <w:t>C2. Implementation of appropriate legal and regulatory frameworks and for enhanced and sustainable financial management of the social security system</w:t>
            </w:r>
          </w:p>
        </w:tc>
        <w:tc>
          <w:tcPr>
            <w:tcW w:w="30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2C1" w:rsidRPr="006E3673"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6E3673">
              <w:rPr>
                <w:sz w:val="20"/>
                <w:szCs w:val="20"/>
                <w:lang w:val="en-GB"/>
              </w:rPr>
              <w:t>Mechanisms for Social security financial management are clarified and subject of public discussion</w:t>
            </w:r>
          </w:p>
        </w:tc>
        <w:tc>
          <w:tcPr>
            <w:tcW w:w="4183"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rsidR="000022C1" w:rsidRPr="006E3673"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6E3673">
              <w:rPr>
                <w:sz w:val="20"/>
                <w:szCs w:val="20"/>
                <w:lang w:val="en-GB"/>
              </w:rPr>
              <w:t>PAC meeting minutes</w:t>
            </w:r>
          </w:p>
          <w:p w:rsidR="000022C1" w:rsidRPr="006E3673"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6E3673">
              <w:rPr>
                <w:sz w:val="20"/>
                <w:szCs w:val="20"/>
                <w:lang w:val="en-GB"/>
              </w:rPr>
              <w:t>Evidence of public debate (e.g. media excerpts)</w:t>
            </w:r>
          </w:p>
          <w:p w:rsidR="000022C1" w:rsidRPr="006E3673"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6E3673">
              <w:rPr>
                <w:sz w:val="20"/>
                <w:szCs w:val="20"/>
                <w:lang w:val="en-GB"/>
              </w:rPr>
              <w:t>Statistical reports from MoCA</w:t>
            </w:r>
          </w:p>
        </w:tc>
        <w:tc>
          <w:tcPr>
            <w:tcW w:w="2946" w:type="dxa"/>
            <w:vMerge/>
            <w:tcBorders>
              <w:left w:val="single" w:sz="4" w:space="0" w:color="auto"/>
              <w:right w:val="single" w:sz="4" w:space="0" w:color="auto"/>
            </w:tcBorders>
          </w:tcPr>
          <w:p w:rsidR="000022C1" w:rsidRPr="006E3673" w:rsidRDefault="000022C1" w:rsidP="000022C1">
            <w:pPr>
              <w:numPr>
                <w:ilvl w:val="0"/>
                <w:numId w:val="3"/>
              </w:numPr>
              <w:spacing w:after="0" w:line="240" w:lineRule="auto"/>
              <w:contextualSpacing/>
              <w:rPr>
                <w:sz w:val="20"/>
                <w:szCs w:val="20"/>
                <w:lang w:val="en-GB"/>
              </w:rPr>
            </w:pPr>
          </w:p>
        </w:tc>
      </w:tr>
      <w:tr w:rsidR="000022C1" w:rsidRPr="006E3673" w:rsidTr="004F15E8">
        <w:trPr>
          <w:trHeight w:val="593"/>
        </w:trPr>
        <w:tc>
          <w:tcPr>
            <w:tcW w:w="1455"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6E3673" w:rsidRDefault="000022C1" w:rsidP="004F15E8">
            <w:pPr>
              <w:jc w:val="center"/>
              <w:rPr>
                <w:rFonts w:cs="Calibri"/>
                <w:b/>
                <w:bCs/>
                <w:sz w:val="20"/>
                <w:szCs w:val="20"/>
                <w:lang w:val="en-GB"/>
              </w:rPr>
            </w:pPr>
          </w:p>
        </w:tc>
        <w:tc>
          <w:tcPr>
            <w:tcW w:w="272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022C1" w:rsidRPr="000022C1" w:rsidRDefault="000022C1" w:rsidP="004F15E8">
            <w:pPr>
              <w:spacing w:after="0"/>
              <w:rPr>
                <w:sz w:val="20"/>
                <w:szCs w:val="20"/>
                <w:lang w:val="en-GB"/>
              </w:rPr>
            </w:pPr>
            <w:r w:rsidRPr="000022C1">
              <w:rPr>
                <w:sz w:val="20"/>
                <w:szCs w:val="20"/>
                <w:lang w:val="en-GB"/>
              </w:rPr>
              <w:t>C3. Improvement of the policy and legal framework and policy enforcement of social assistance.</w:t>
            </w:r>
          </w:p>
        </w:tc>
        <w:tc>
          <w:tcPr>
            <w:tcW w:w="30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022C1" w:rsidRPr="000022C1"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0022C1">
              <w:rPr>
                <w:sz w:val="20"/>
                <w:szCs w:val="20"/>
                <w:lang w:val="en-GB"/>
              </w:rPr>
              <w:t>Reports concerning access to social assistance show improvements in benefits targeting</w:t>
            </w:r>
          </w:p>
        </w:tc>
        <w:tc>
          <w:tcPr>
            <w:tcW w:w="4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22C1" w:rsidRPr="000022C1"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0022C1">
              <w:rPr>
                <w:sz w:val="20"/>
                <w:szCs w:val="20"/>
                <w:lang w:val="en-GB"/>
              </w:rPr>
              <w:t>PAC meeting minutes</w:t>
            </w:r>
          </w:p>
          <w:p w:rsidR="000022C1" w:rsidRPr="000022C1"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0022C1">
              <w:rPr>
                <w:sz w:val="20"/>
                <w:szCs w:val="20"/>
                <w:lang w:val="en-GB"/>
              </w:rPr>
              <w:t>Evidence of public debate (e.g. media excerpts)</w:t>
            </w:r>
          </w:p>
          <w:p w:rsidR="000022C1" w:rsidRPr="000022C1"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0022C1">
              <w:rPr>
                <w:sz w:val="20"/>
                <w:szCs w:val="20"/>
                <w:lang w:val="en-GB"/>
              </w:rPr>
              <w:t>Statistical reports from MoCA</w:t>
            </w:r>
          </w:p>
        </w:tc>
        <w:tc>
          <w:tcPr>
            <w:tcW w:w="2946" w:type="dxa"/>
            <w:vMerge/>
            <w:tcBorders>
              <w:left w:val="single" w:sz="4" w:space="0" w:color="auto"/>
              <w:right w:val="single" w:sz="4" w:space="0" w:color="auto"/>
            </w:tcBorders>
          </w:tcPr>
          <w:p w:rsidR="000022C1" w:rsidRPr="006E3673" w:rsidRDefault="000022C1" w:rsidP="000022C1">
            <w:pPr>
              <w:numPr>
                <w:ilvl w:val="0"/>
                <w:numId w:val="3"/>
              </w:numPr>
              <w:spacing w:after="0" w:line="240" w:lineRule="auto"/>
              <w:contextualSpacing/>
              <w:rPr>
                <w:sz w:val="20"/>
                <w:szCs w:val="20"/>
                <w:lang w:val="en-GB"/>
              </w:rPr>
            </w:pPr>
          </w:p>
        </w:tc>
      </w:tr>
      <w:tr w:rsidR="000022C1" w:rsidRPr="006E3673" w:rsidTr="004F15E8">
        <w:trPr>
          <w:trHeight w:val="592"/>
        </w:trPr>
        <w:tc>
          <w:tcPr>
            <w:tcW w:w="1455" w:type="dxa"/>
            <w:vMerge/>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6E3673" w:rsidRDefault="000022C1" w:rsidP="004F15E8">
            <w:pPr>
              <w:jc w:val="center"/>
              <w:rPr>
                <w:rFonts w:cs="Calibri"/>
                <w:b/>
                <w:bCs/>
                <w:sz w:val="20"/>
                <w:szCs w:val="20"/>
                <w:lang w:val="en-GB"/>
              </w:rPr>
            </w:pPr>
          </w:p>
        </w:tc>
        <w:tc>
          <w:tcPr>
            <w:tcW w:w="272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022C1" w:rsidRPr="000022C1" w:rsidRDefault="000022C1" w:rsidP="004F15E8">
            <w:pPr>
              <w:spacing w:after="0"/>
              <w:rPr>
                <w:sz w:val="20"/>
                <w:szCs w:val="20"/>
                <w:lang w:val="en-GB"/>
              </w:rPr>
            </w:pPr>
          </w:p>
        </w:tc>
        <w:tc>
          <w:tcPr>
            <w:tcW w:w="3092"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rsidR="000022C1" w:rsidRPr="00C1633D" w:rsidRDefault="000022C1" w:rsidP="00C1633D">
            <w:pPr>
              <w:pStyle w:val="Paragraphedeliste"/>
              <w:numPr>
                <w:ilvl w:val="0"/>
                <w:numId w:val="2"/>
              </w:numPr>
              <w:ind w:left="67" w:hanging="90"/>
              <w:rPr>
                <w:sz w:val="20"/>
                <w:szCs w:val="20"/>
                <w:lang w:val="en-GB"/>
              </w:rPr>
            </w:pPr>
            <w:r w:rsidRPr="00C1633D">
              <w:rPr>
                <w:sz w:val="20"/>
                <w:szCs w:val="20"/>
                <w:lang w:val="en-GB"/>
              </w:rPr>
              <w:t>Memoranda of Understanding / cooperation agreement</w:t>
            </w:r>
          </w:p>
        </w:tc>
        <w:tc>
          <w:tcPr>
            <w:tcW w:w="41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022C1" w:rsidRPr="000022C1"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0022C1">
              <w:rPr>
                <w:sz w:val="20"/>
                <w:szCs w:val="20"/>
                <w:lang w:val="en-GB"/>
              </w:rPr>
              <w:tab/>
              <w:t>Signed with Poland April 2016</w:t>
            </w:r>
            <w:r w:rsidRPr="000022C1">
              <w:rPr>
                <w:sz w:val="20"/>
                <w:szCs w:val="20"/>
                <w:lang w:val="en-GB"/>
              </w:rPr>
              <w:tab/>
            </w:r>
          </w:p>
          <w:p w:rsidR="000022C1" w:rsidRPr="000022C1" w:rsidRDefault="000022C1" w:rsidP="000022C1">
            <w:pPr>
              <w:numPr>
                <w:ilvl w:val="0"/>
                <w:numId w:val="2"/>
              </w:numPr>
              <w:suppressAutoHyphens/>
              <w:autoSpaceDN w:val="0"/>
              <w:spacing w:after="0" w:line="240" w:lineRule="auto"/>
              <w:ind w:left="82" w:hanging="82"/>
              <w:textAlignment w:val="baseline"/>
              <w:rPr>
                <w:sz w:val="20"/>
                <w:szCs w:val="20"/>
                <w:lang w:val="en-GB"/>
              </w:rPr>
            </w:pPr>
            <w:r w:rsidRPr="000022C1">
              <w:rPr>
                <w:sz w:val="20"/>
                <w:szCs w:val="20"/>
                <w:lang w:val="en-GB"/>
              </w:rPr>
              <w:t>6 month Project report</w:t>
            </w:r>
          </w:p>
        </w:tc>
        <w:tc>
          <w:tcPr>
            <w:tcW w:w="2946" w:type="dxa"/>
            <w:vMerge/>
            <w:tcBorders>
              <w:left w:val="single" w:sz="4" w:space="0" w:color="auto"/>
              <w:bottom w:val="single" w:sz="4" w:space="0" w:color="auto"/>
              <w:right w:val="single" w:sz="4" w:space="0" w:color="auto"/>
            </w:tcBorders>
          </w:tcPr>
          <w:p w:rsidR="000022C1" w:rsidRPr="006E3673" w:rsidRDefault="000022C1" w:rsidP="000022C1">
            <w:pPr>
              <w:numPr>
                <w:ilvl w:val="0"/>
                <w:numId w:val="3"/>
              </w:numPr>
              <w:spacing w:after="0" w:line="240" w:lineRule="auto"/>
              <w:contextualSpacing/>
              <w:rPr>
                <w:sz w:val="20"/>
                <w:szCs w:val="20"/>
                <w:lang w:val="en-GB"/>
              </w:rPr>
            </w:pPr>
          </w:p>
        </w:tc>
      </w:tr>
    </w:tbl>
    <w:p w:rsidR="00DD0149" w:rsidRDefault="00DD0149"/>
    <w:p w:rsidR="0003305A" w:rsidRDefault="0003305A"/>
    <w:tbl>
      <w:tblPr>
        <w:tblW w:w="0" w:type="auto"/>
        <w:tblInd w:w="142" w:type="dxa"/>
        <w:tblLayout w:type="fixed"/>
        <w:tblCellMar>
          <w:left w:w="10" w:type="dxa"/>
          <w:right w:w="10" w:type="dxa"/>
        </w:tblCellMar>
        <w:tblLook w:val="0000" w:firstRow="0" w:lastRow="0" w:firstColumn="0" w:lastColumn="0" w:noHBand="0" w:noVBand="0"/>
      </w:tblPr>
      <w:tblGrid>
        <w:gridCol w:w="1463"/>
        <w:gridCol w:w="2805"/>
        <w:gridCol w:w="3778"/>
        <w:gridCol w:w="3402"/>
        <w:gridCol w:w="3002"/>
      </w:tblGrid>
      <w:tr w:rsidR="000022C1" w:rsidRPr="006E3673" w:rsidTr="004F15E8">
        <w:trPr>
          <w:trHeight w:val="523"/>
        </w:trPr>
        <w:tc>
          <w:tcPr>
            <w:tcW w:w="1463" w:type="dxa"/>
            <w:tcBorders>
              <w:bottom w:val="single" w:sz="4" w:space="0" w:color="000000"/>
              <w:right w:val="single" w:sz="4" w:space="0" w:color="000000"/>
            </w:tcBorders>
            <w:shd w:val="clear" w:color="auto" w:fill="auto"/>
            <w:tcMar>
              <w:top w:w="0" w:type="dxa"/>
              <w:left w:w="108" w:type="dxa"/>
              <w:bottom w:w="0" w:type="dxa"/>
              <w:right w:w="108" w:type="dxa"/>
            </w:tcMar>
          </w:tcPr>
          <w:p w:rsidR="000022C1" w:rsidRPr="006E3673" w:rsidRDefault="000022C1" w:rsidP="004F15E8">
            <w:pPr>
              <w:spacing w:after="0"/>
              <w:rPr>
                <w:sz w:val="20"/>
                <w:szCs w:val="20"/>
                <w:lang w:val="en-GB"/>
              </w:rPr>
            </w:pPr>
          </w:p>
        </w:tc>
        <w:tc>
          <w:tcPr>
            <w:tcW w:w="2805"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6E3673" w:rsidRDefault="000022C1" w:rsidP="004F15E8">
            <w:pPr>
              <w:spacing w:after="0"/>
              <w:jc w:val="center"/>
              <w:rPr>
                <w:sz w:val="20"/>
                <w:szCs w:val="20"/>
                <w:lang w:val="en-GB"/>
              </w:rPr>
            </w:pPr>
            <w:r w:rsidRPr="006E3673">
              <w:rPr>
                <w:b/>
                <w:sz w:val="20"/>
                <w:szCs w:val="20"/>
                <w:lang w:val="en-GB"/>
              </w:rPr>
              <w:t>INTERVENTION LOGIC</w:t>
            </w:r>
          </w:p>
        </w:tc>
        <w:tc>
          <w:tcPr>
            <w:tcW w:w="3778"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6E3673" w:rsidRDefault="000022C1" w:rsidP="004F15E8">
            <w:pPr>
              <w:spacing w:after="0"/>
              <w:jc w:val="center"/>
              <w:rPr>
                <w:sz w:val="20"/>
                <w:szCs w:val="20"/>
                <w:lang w:val="en-GB"/>
              </w:rPr>
            </w:pPr>
            <w:r w:rsidRPr="006E3673">
              <w:rPr>
                <w:b/>
                <w:sz w:val="20"/>
                <w:szCs w:val="20"/>
                <w:lang w:val="en-GB"/>
              </w:rPr>
              <w:t>OBJECTIVELY VERIFIABLE INDICATORS</w:t>
            </w:r>
          </w:p>
        </w:tc>
        <w:tc>
          <w:tcPr>
            <w:tcW w:w="3402"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6E3673" w:rsidRDefault="000022C1" w:rsidP="004F15E8">
            <w:pPr>
              <w:spacing w:after="0"/>
              <w:jc w:val="center"/>
              <w:rPr>
                <w:sz w:val="20"/>
                <w:szCs w:val="20"/>
                <w:lang w:val="en-GB"/>
              </w:rPr>
            </w:pPr>
            <w:r w:rsidRPr="006E3673">
              <w:rPr>
                <w:b/>
                <w:sz w:val="20"/>
                <w:szCs w:val="20"/>
                <w:lang w:val="en-GB"/>
              </w:rPr>
              <w:t>SOURCES AND MEANS OF VERIFICATION</w:t>
            </w:r>
          </w:p>
        </w:tc>
        <w:tc>
          <w:tcPr>
            <w:tcW w:w="3002" w:type="dxa"/>
            <w:tcBorders>
              <w:top w:val="single" w:sz="4" w:space="0" w:color="000000"/>
              <w:left w:val="single" w:sz="4" w:space="0" w:color="000000"/>
              <w:bottom w:val="single" w:sz="4" w:space="0" w:color="000000"/>
              <w:right w:val="single" w:sz="4" w:space="0" w:color="000000"/>
            </w:tcBorders>
            <w:shd w:val="clear" w:color="auto" w:fill="DEEAF6"/>
            <w:vAlign w:val="center"/>
          </w:tcPr>
          <w:p w:rsidR="000022C1" w:rsidRPr="006E3673" w:rsidRDefault="000022C1" w:rsidP="004F15E8">
            <w:pPr>
              <w:spacing w:after="0"/>
              <w:jc w:val="center"/>
              <w:rPr>
                <w:b/>
                <w:sz w:val="20"/>
                <w:szCs w:val="20"/>
                <w:lang w:val="en-GB"/>
              </w:rPr>
            </w:pPr>
            <w:r w:rsidRPr="006E3673">
              <w:rPr>
                <w:b/>
                <w:sz w:val="20"/>
                <w:szCs w:val="20"/>
                <w:lang w:val="en-GB"/>
              </w:rPr>
              <w:t>ASSUMPTIONS</w:t>
            </w:r>
          </w:p>
        </w:tc>
      </w:tr>
      <w:tr w:rsidR="000022C1" w:rsidRPr="006E3673" w:rsidTr="004F15E8">
        <w:trPr>
          <w:trHeight w:val="4912"/>
        </w:trPr>
        <w:tc>
          <w:tcPr>
            <w:tcW w:w="146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6E3673" w:rsidRDefault="000022C1" w:rsidP="004F15E8">
            <w:pPr>
              <w:jc w:val="center"/>
              <w:rPr>
                <w:sz w:val="20"/>
                <w:szCs w:val="20"/>
                <w:lang w:val="en-GB"/>
              </w:rPr>
            </w:pPr>
            <w:r w:rsidRPr="006E3673">
              <w:rPr>
                <w:b/>
                <w:sz w:val="20"/>
                <w:szCs w:val="20"/>
                <w:lang w:val="en-GB"/>
              </w:rPr>
              <w:t>Results</w:t>
            </w:r>
          </w:p>
        </w:tc>
        <w:tc>
          <w:tcPr>
            <w:tcW w:w="280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2C1" w:rsidRPr="006E3673" w:rsidRDefault="000022C1" w:rsidP="004F15E8">
            <w:pPr>
              <w:rPr>
                <w:sz w:val="20"/>
                <w:szCs w:val="20"/>
                <w:lang w:val="en-GB"/>
              </w:rPr>
            </w:pPr>
            <w:r w:rsidRPr="006E3673">
              <w:rPr>
                <w:b/>
                <w:sz w:val="20"/>
                <w:szCs w:val="20"/>
                <w:lang w:val="en-GB"/>
              </w:rPr>
              <w:t>R1.</w:t>
            </w:r>
            <w:r w:rsidRPr="006E3673">
              <w:rPr>
                <w:sz w:val="20"/>
                <w:szCs w:val="20"/>
                <w:lang w:val="en-GB"/>
              </w:rPr>
              <w:t xml:space="preserve"> Mechanisms for EU-China high level policy dialogue on social protection reform is established and partnerships between Specialized Public Bodies of EU Member States and the National Development and Reform Commission (NDRC), the Ministry of Finance (MoF) and the Ministry of Civil Affairs (MoCA) on social protection are developed</w:t>
            </w:r>
          </w:p>
        </w:tc>
        <w:tc>
          <w:tcPr>
            <w:tcW w:w="3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High level conferences attract attention of the technical specialists and of the media</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Mechanisms for further high level dialogue on social protection policy development, financial management and social assistance after the end of the project agreed;</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Dedicated Project Website updated every month;</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2 Electronic Newsletters a year;</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List of users registered to the Electronic Directory of Contacts is widespread among the participants each quarter;</w:t>
            </w:r>
          </w:p>
          <w:p w:rsidR="000022C1"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Cooperative work between EU and national stakeholders in social protection is documented</w:t>
            </w:r>
          </w:p>
          <w:p w:rsidR="0003305A" w:rsidRPr="006E3673" w:rsidRDefault="0003305A" w:rsidP="0003305A">
            <w:pPr>
              <w:pStyle w:val="ColorfulList-Accent11"/>
              <w:numPr>
                <w:ilvl w:val="0"/>
                <w:numId w:val="4"/>
              </w:numPr>
              <w:suppressAutoHyphens/>
              <w:autoSpaceDN w:val="0"/>
              <w:spacing w:after="0"/>
              <w:ind w:left="162" w:hanging="162"/>
              <w:textAlignment w:val="baseline"/>
              <w:rPr>
                <w:sz w:val="20"/>
                <w:szCs w:val="20"/>
                <w:lang w:val="en-GB"/>
              </w:rPr>
            </w:pPr>
            <w:r w:rsidRPr="0003305A">
              <w:rPr>
                <w:sz w:val="20"/>
                <w:szCs w:val="20"/>
                <w:lang w:val="en-GB"/>
              </w:rPr>
              <w:t>A Task Force to ensure coherence and synergies in project intervention is established, which contributes to enhancing the level of policy dialogue on social protection reform between the EU and China</w:t>
            </w:r>
          </w:p>
        </w:tc>
        <w:tc>
          <w:tcPr>
            <w:tcW w:w="340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External project evaluation reports;</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NDRC, MoF, MoCA and local government publications, documents and reports;</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National and ministerial statistics;</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National audit reports;</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Media &amp; news report;</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Project Website;</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Electronic Newsletters;</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Directory of Contacts;</w:t>
            </w:r>
          </w:p>
          <w:p w:rsidR="0003305A"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Constitutional PAC meeting, Press Conference, High Level International Conferences and Closing Conference minutes</w:t>
            </w:r>
          </w:p>
          <w:p w:rsidR="000022C1" w:rsidRPr="006E3673" w:rsidRDefault="0003305A" w:rsidP="0003305A">
            <w:pPr>
              <w:pStyle w:val="ColorfulList-Accent11"/>
              <w:numPr>
                <w:ilvl w:val="0"/>
                <w:numId w:val="4"/>
              </w:numPr>
              <w:suppressAutoHyphens/>
              <w:autoSpaceDN w:val="0"/>
              <w:spacing w:after="0"/>
              <w:ind w:left="166" w:hanging="166"/>
              <w:textAlignment w:val="baseline"/>
              <w:rPr>
                <w:sz w:val="20"/>
                <w:szCs w:val="20"/>
                <w:lang w:val="en-GB"/>
              </w:rPr>
            </w:pPr>
            <w:r>
              <w:rPr>
                <w:sz w:val="20"/>
                <w:szCs w:val="20"/>
                <w:lang w:val="en-GB"/>
              </w:rPr>
              <w:t>- Task Force reports and documents</w:t>
            </w:r>
            <w:r w:rsidR="000022C1" w:rsidRPr="006E3673">
              <w:rPr>
                <w:sz w:val="20"/>
                <w:szCs w:val="20"/>
                <w:lang w:val="en-GB"/>
              </w:rPr>
              <w:t>.</w:t>
            </w:r>
          </w:p>
        </w:tc>
        <w:tc>
          <w:tcPr>
            <w:tcW w:w="3002" w:type="dxa"/>
            <w:tcBorders>
              <w:top w:val="single" w:sz="4" w:space="0" w:color="000000"/>
              <w:left w:val="single" w:sz="4" w:space="0" w:color="000000"/>
              <w:bottom w:val="single" w:sz="4" w:space="0" w:color="000000"/>
              <w:right w:val="single" w:sz="4" w:space="0" w:color="000000"/>
            </w:tcBorders>
            <w:vAlign w:val="center"/>
          </w:tcPr>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NDRC, MoF, MoCA and other Stakeholders remain fully committed to share the experience, the Best Practices and the proposals suggested by the Consortium;</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NDRC, MoF, MoCA, Chinese Expert, and other Stakeholders ensure their availability for operational meeting, interviews etc., according to the plan shared in order to contribute actively to the project;</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The EU and Chinese institutions remain interests in long-term cooperation/partnership;</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The main Chinese stakeholders promptly satisfy operational requests of the Consortium.</w:t>
            </w:r>
          </w:p>
        </w:tc>
      </w:tr>
    </w:tbl>
    <w:p w:rsidR="000022C1" w:rsidRDefault="000022C1">
      <w:pPr>
        <w:rPr>
          <w:lang w:val="en-GB"/>
        </w:rPr>
      </w:pPr>
    </w:p>
    <w:p w:rsidR="000022C1" w:rsidRDefault="000022C1">
      <w:pPr>
        <w:rPr>
          <w:lang w:val="en-GB"/>
        </w:rPr>
      </w:pPr>
    </w:p>
    <w:p w:rsidR="000022C1" w:rsidRDefault="000022C1">
      <w:pPr>
        <w:rPr>
          <w:lang w:val="en-GB"/>
        </w:rPr>
      </w:pPr>
    </w:p>
    <w:p w:rsidR="000022C1" w:rsidRDefault="000022C1">
      <w:pPr>
        <w:rPr>
          <w:lang w:val="en-GB"/>
        </w:rPr>
      </w:pPr>
    </w:p>
    <w:p w:rsidR="000022C1" w:rsidRDefault="000022C1">
      <w:pPr>
        <w:rPr>
          <w:lang w:val="en-GB"/>
        </w:rPr>
      </w:pPr>
    </w:p>
    <w:tbl>
      <w:tblPr>
        <w:tblW w:w="14001" w:type="dxa"/>
        <w:tblInd w:w="108" w:type="dxa"/>
        <w:tblCellMar>
          <w:left w:w="10" w:type="dxa"/>
          <w:right w:w="10" w:type="dxa"/>
        </w:tblCellMar>
        <w:tblLook w:val="0000" w:firstRow="0" w:lastRow="0" w:firstColumn="0" w:lastColumn="0" w:noHBand="0" w:noVBand="0"/>
      </w:tblPr>
      <w:tblGrid>
        <w:gridCol w:w="1177"/>
        <w:gridCol w:w="2670"/>
        <w:gridCol w:w="4913"/>
        <w:gridCol w:w="2683"/>
        <w:gridCol w:w="2558"/>
      </w:tblGrid>
      <w:tr w:rsidR="000022C1" w:rsidRPr="005A080E" w:rsidTr="004F15E8">
        <w:trPr>
          <w:trHeight w:val="540"/>
        </w:trPr>
        <w:tc>
          <w:tcPr>
            <w:tcW w:w="1177" w:type="dxa"/>
            <w:tcBorders>
              <w:bottom w:val="single" w:sz="4" w:space="0" w:color="000000"/>
              <w:right w:val="single" w:sz="4" w:space="0" w:color="000000"/>
            </w:tcBorders>
            <w:shd w:val="clear" w:color="auto" w:fill="auto"/>
            <w:tcMar>
              <w:top w:w="0" w:type="dxa"/>
              <w:left w:w="108" w:type="dxa"/>
              <w:bottom w:w="0" w:type="dxa"/>
              <w:right w:w="108" w:type="dxa"/>
            </w:tcMar>
          </w:tcPr>
          <w:p w:rsidR="000022C1" w:rsidRPr="005A080E" w:rsidRDefault="000022C1" w:rsidP="004F15E8">
            <w:pPr>
              <w:rPr>
                <w:rFonts w:cs="Calibri"/>
              </w:rPr>
            </w:pPr>
            <w:r w:rsidRPr="006E3673">
              <w:rPr>
                <w:lang w:val="en-GB"/>
              </w:rPr>
              <w:br w:type="page"/>
            </w:r>
          </w:p>
        </w:tc>
        <w:tc>
          <w:tcPr>
            <w:tcW w:w="2670"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4F15E8">
            <w:pPr>
              <w:jc w:val="center"/>
              <w:rPr>
                <w:rFonts w:cs="Calibri"/>
                <w:sz w:val="20"/>
                <w:szCs w:val="20"/>
              </w:rPr>
            </w:pPr>
            <w:r w:rsidRPr="005A080E">
              <w:rPr>
                <w:rFonts w:cs="Calibri"/>
                <w:b/>
                <w:sz w:val="20"/>
                <w:szCs w:val="20"/>
              </w:rPr>
              <w:t>INTERVENTION LOGIC</w:t>
            </w:r>
          </w:p>
        </w:tc>
        <w:tc>
          <w:tcPr>
            <w:tcW w:w="491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4F15E8">
            <w:pPr>
              <w:jc w:val="center"/>
              <w:rPr>
                <w:rFonts w:cs="Calibri"/>
                <w:sz w:val="20"/>
                <w:szCs w:val="20"/>
              </w:rPr>
            </w:pPr>
            <w:r w:rsidRPr="005A080E">
              <w:rPr>
                <w:rFonts w:cs="Calibri"/>
                <w:b/>
                <w:sz w:val="20"/>
                <w:szCs w:val="20"/>
              </w:rPr>
              <w:t>OBJECTIVELY VERIFIABLE INDICATORS</w:t>
            </w:r>
          </w:p>
        </w:tc>
        <w:tc>
          <w:tcPr>
            <w:tcW w:w="2683" w:type="dxa"/>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4F15E8">
            <w:pPr>
              <w:ind w:left="82" w:hanging="82"/>
              <w:jc w:val="center"/>
              <w:rPr>
                <w:rFonts w:cs="Calibri"/>
                <w:sz w:val="20"/>
                <w:szCs w:val="20"/>
              </w:rPr>
            </w:pPr>
            <w:r w:rsidRPr="005A080E">
              <w:rPr>
                <w:rFonts w:cs="Calibri"/>
                <w:b/>
                <w:sz w:val="20"/>
                <w:szCs w:val="20"/>
              </w:rPr>
              <w:t>SOURCES AND MEANS OF VERIFICATION</w:t>
            </w:r>
          </w:p>
        </w:tc>
        <w:tc>
          <w:tcPr>
            <w:tcW w:w="2558" w:type="dxa"/>
            <w:tcBorders>
              <w:top w:val="single" w:sz="4" w:space="0" w:color="000000"/>
              <w:left w:val="single" w:sz="4" w:space="0" w:color="000000"/>
              <w:bottom w:val="single" w:sz="4" w:space="0" w:color="000000"/>
              <w:right w:val="single" w:sz="4" w:space="0" w:color="000000"/>
            </w:tcBorders>
            <w:shd w:val="clear" w:color="auto" w:fill="DEEAF6"/>
          </w:tcPr>
          <w:p w:rsidR="000022C1" w:rsidRPr="005A080E" w:rsidRDefault="000022C1" w:rsidP="004F15E8">
            <w:pPr>
              <w:ind w:left="82" w:hanging="82"/>
              <w:jc w:val="center"/>
              <w:rPr>
                <w:rFonts w:cs="Calibri"/>
                <w:b/>
                <w:sz w:val="20"/>
                <w:szCs w:val="20"/>
              </w:rPr>
            </w:pPr>
            <w:r w:rsidRPr="005A080E">
              <w:rPr>
                <w:rFonts w:cs="Calibri"/>
                <w:b/>
                <w:sz w:val="20"/>
                <w:szCs w:val="20"/>
              </w:rPr>
              <w:t>ASSUMPTIONS</w:t>
            </w:r>
          </w:p>
        </w:tc>
      </w:tr>
      <w:tr w:rsidR="000022C1" w:rsidRPr="005A080E" w:rsidTr="004F15E8">
        <w:trPr>
          <w:trHeight w:val="1167"/>
        </w:trPr>
        <w:tc>
          <w:tcPr>
            <w:tcW w:w="1177" w:type="dxa"/>
            <w:vMerge w:val="restart"/>
            <w:tcBorders>
              <w:top w:val="single" w:sz="4" w:space="0" w:color="000000"/>
              <w:left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4F15E8">
            <w:pPr>
              <w:jc w:val="center"/>
              <w:rPr>
                <w:rFonts w:cs="Calibri"/>
                <w:b/>
                <w:bCs/>
              </w:rPr>
            </w:pPr>
            <w:r w:rsidRPr="005A080E">
              <w:rPr>
                <w:rFonts w:cs="Calibri"/>
                <w:b/>
                <w:bCs/>
              </w:rPr>
              <w:t>Result</w:t>
            </w:r>
          </w:p>
        </w:tc>
        <w:tc>
          <w:tcPr>
            <w:tcW w:w="267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4F15E8">
            <w:pPr>
              <w:spacing w:line="240" w:lineRule="exact"/>
              <w:rPr>
                <w:rFonts w:cs="Calibri"/>
                <w:sz w:val="20"/>
                <w:szCs w:val="20"/>
              </w:rPr>
            </w:pPr>
            <w:r w:rsidRPr="005A080E">
              <w:rPr>
                <w:rFonts w:cs="Calibri"/>
                <w:sz w:val="20"/>
                <w:szCs w:val="20"/>
              </w:rPr>
              <w:t>R2. Under the leadership of NDRC, coordination of policy making among government agencies in areas related to social protection reform is strengthened.</w:t>
            </w: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Paragraphedeliste1"/>
              <w:numPr>
                <w:ilvl w:val="0"/>
                <w:numId w:val="5"/>
              </w:numPr>
              <w:suppressAutoHyphens/>
              <w:autoSpaceDN w:val="0"/>
              <w:spacing w:after="0" w:line="240" w:lineRule="auto"/>
              <w:ind w:left="176" w:hanging="142"/>
              <w:jc w:val="left"/>
              <w:textAlignment w:val="baseline"/>
              <w:rPr>
                <w:rFonts w:ascii="Optane" w:hAnsi="Optane"/>
                <w:sz w:val="20"/>
                <w:szCs w:val="20"/>
                <w:lang w:val="en-GB"/>
              </w:rPr>
            </w:pPr>
            <w:r w:rsidRPr="00C1633D">
              <w:rPr>
                <w:rFonts w:ascii="Optane" w:hAnsi="Optane"/>
                <w:sz w:val="20"/>
                <w:szCs w:val="20"/>
                <w:lang w:val="en-GB"/>
              </w:rPr>
              <w:t>NDRC proposals on social protection reform for inclusion in the XIIIth Five-years Plan are shared with other stakeholders and taken as a basis for discussion in preparatory works;</w:t>
            </w:r>
          </w:p>
          <w:p w:rsidR="000022C1" w:rsidRPr="00C1633D" w:rsidRDefault="000022C1" w:rsidP="004F15E8">
            <w:pPr>
              <w:pStyle w:val="Paragraphedeliste1"/>
              <w:suppressAutoHyphens/>
              <w:autoSpaceDN w:val="0"/>
              <w:spacing w:after="0" w:line="240" w:lineRule="auto"/>
              <w:ind w:left="34"/>
              <w:jc w:val="left"/>
              <w:textAlignment w:val="baseline"/>
              <w:rPr>
                <w:rFonts w:ascii="Optane" w:hAnsi="Optane"/>
                <w:sz w:val="20"/>
                <w:szCs w:val="20"/>
                <w:lang w:val="en-GB"/>
              </w:rPr>
            </w:pPr>
          </w:p>
        </w:tc>
        <w:tc>
          <w:tcPr>
            <w:tcW w:w="268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Paragraphedeliste1"/>
              <w:numPr>
                <w:ilvl w:val="0"/>
                <w:numId w:val="5"/>
              </w:numPr>
              <w:suppressAutoHyphens/>
              <w:autoSpaceDN w:val="0"/>
              <w:spacing w:after="0" w:line="240" w:lineRule="auto"/>
              <w:ind w:left="207" w:hanging="207"/>
              <w:jc w:val="left"/>
              <w:textAlignment w:val="baseline"/>
              <w:rPr>
                <w:rFonts w:ascii="Optane" w:hAnsi="Optane"/>
                <w:sz w:val="20"/>
                <w:szCs w:val="20"/>
                <w:lang w:val="en-GB"/>
              </w:rPr>
            </w:pPr>
            <w:r w:rsidRPr="00C1633D">
              <w:rPr>
                <w:rFonts w:ascii="Optane" w:hAnsi="Optane"/>
                <w:sz w:val="20"/>
                <w:szCs w:val="20"/>
                <w:lang w:val="en-GB"/>
              </w:rPr>
              <w:t>See NDRC website and reports on activities</w:t>
            </w:r>
          </w:p>
          <w:p w:rsidR="000022C1" w:rsidRPr="00C1633D" w:rsidRDefault="000022C1" w:rsidP="000022C1">
            <w:pPr>
              <w:pStyle w:val="Paragraphedeliste1"/>
              <w:numPr>
                <w:ilvl w:val="0"/>
                <w:numId w:val="5"/>
              </w:numPr>
              <w:suppressAutoHyphens/>
              <w:autoSpaceDN w:val="0"/>
              <w:spacing w:after="0" w:line="240" w:lineRule="auto"/>
              <w:ind w:left="207" w:hanging="207"/>
              <w:jc w:val="left"/>
              <w:textAlignment w:val="baseline"/>
              <w:rPr>
                <w:rFonts w:ascii="Optane" w:hAnsi="Optane"/>
                <w:sz w:val="20"/>
                <w:szCs w:val="20"/>
              </w:rPr>
            </w:pPr>
            <w:r w:rsidRPr="00C1633D">
              <w:rPr>
                <w:rFonts w:ascii="Optane" w:hAnsi="Optane"/>
                <w:sz w:val="20"/>
                <w:szCs w:val="20"/>
                <w:lang w:val="en-GB"/>
              </w:rPr>
              <w:t>See project website</w:t>
            </w:r>
          </w:p>
        </w:tc>
        <w:tc>
          <w:tcPr>
            <w:tcW w:w="2558" w:type="dxa"/>
            <w:vMerge w:val="restart"/>
            <w:tcBorders>
              <w:top w:val="single" w:sz="4" w:space="0" w:color="000000"/>
              <w:left w:val="single" w:sz="4" w:space="0" w:color="000000"/>
              <w:right w:val="single" w:sz="4" w:space="0" w:color="000000"/>
            </w:tcBorders>
            <w:vAlign w:val="center"/>
          </w:tcPr>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NDRC and other</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Component 1</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Stakeholders remain fully</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committed to share the</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experience, the Best</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Practices and the</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proposals suggested by</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the Consortium ;</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  NDRC, Component 1</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Chinese Expert, and other</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Component 1</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Stakeholder ensure their</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availability for</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operational meeting,</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interviews etc., according</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to the plan shared in</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order to contribute</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actively to the project;</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  The EU and Chinese</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institutions remain</w:t>
            </w:r>
          </w:p>
          <w:p w:rsidR="000022C1" w:rsidRPr="005A080E" w:rsidRDefault="000022C1" w:rsidP="004F15E8">
            <w:pPr>
              <w:autoSpaceDE w:val="0"/>
              <w:autoSpaceDN w:val="0"/>
              <w:adjustRightInd w:val="0"/>
              <w:spacing w:after="0" w:line="240" w:lineRule="auto"/>
              <w:rPr>
                <w:rFonts w:eastAsia="等线" w:cs="Calibri"/>
                <w:sz w:val="20"/>
                <w:szCs w:val="20"/>
                <w:lang w:val="en-US" w:eastAsia="zh-CN"/>
              </w:rPr>
            </w:pPr>
            <w:r w:rsidRPr="005A080E">
              <w:rPr>
                <w:rFonts w:eastAsia="等线" w:cs="Calibri"/>
                <w:sz w:val="20"/>
                <w:szCs w:val="20"/>
                <w:lang w:val="en-US" w:eastAsia="zh-CN"/>
              </w:rPr>
              <w:t>interests in long-term</w:t>
            </w:r>
          </w:p>
          <w:p w:rsidR="000022C1" w:rsidRPr="005A080E" w:rsidRDefault="000022C1" w:rsidP="004F15E8">
            <w:pPr>
              <w:pStyle w:val="Paragraphedeliste1"/>
              <w:suppressAutoHyphens/>
              <w:autoSpaceDN w:val="0"/>
              <w:spacing w:after="0" w:line="240" w:lineRule="auto"/>
              <w:ind w:left="207"/>
              <w:jc w:val="left"/>
              <w:textAlignment w:val="baseline"/>
              <w:rPr>
                <w:rFonts w:ascii="Optane" w:hAnsi="Optane"/>
                <w:lang w:val="en-GB"/>
              </w:rPr>
            </w:pPr>
            <w:proofErr w:type="gramStart"/>
            <w:r w:rsidRPr="005A080E">
              <w:rPr>
                <w:rFonts w:ascii="Optane" w:eastAsia="等线" w:hAnsi="Optane"/>
                <w:sz w:val="20"/>
                <w:szCs w:val="20"/>
                <w:lang w:eastAsia="zh-CN"/>
              </w:rPr>
              <w:t>cooperation/partnership</w:t>
            </w:r>
            <w:proofErr w:type="gramEnd"/>
            <w:r w:rsidRPr="005A080E">
              <w:rPr>
                <w:rFonts w:ascii="Optane" w:eastAsia="等线" w:hAnsi="Optane"/>
                <w:sz w:val="20"/>
                <w:szCs w:val="20"/>
                <w:lang w:eastAsia="zh-CN"/>
              </w:rPr>
              <w:t>.</w:t>
            </w:r>
          </w:p>
        </w:tc>
      </w:tr>
      <w:tr w:rsidR="000022C1" w:rsidRPr="005A080E" w:rsidTr="004F15E8">
        <w:trPr>
          <w:trHeight w:val="805"/>
        </w:trPr>
        <w:tc>
          <w:tcPr>
            <w:tcW w:w="1177"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4F15E8">
            <w:pPr>
              <w:jc w:val="center"/>
              <w:rPr>
                <w:rFonts w:cs="Calibri"/>
                <w:b/>
                <w:bCs/>
              </w:rPr>
            </w:pPr>
          </w:p>
        </w:tc>
        <w:tc>
          <w:tcPr>
            <w:tcW w:w="2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4F15E8">
            <w:pPr>
              <w:spacing w:line="240" w:lineRule="exact"/>
              <w:rPr>
                <w:rFonts w:cs="Calibri"/>
                <w:sz w:val="20"/>
                <w:szCs w:val="20"/>
              </w:rPr>
            </w:pP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Paragraphedeliste1"/>
              <w:numPr>
                <w:ilvl w:val="0"/>
                <w:numId w:val="5"/>
              </w:numPr>
              <w:suppressAutoHyphens/>
              <w:autoSpaceDN w:val="0"/>
              <w:spacing w:after="0" w:line="240" w:lineRule="auto"/>
              <w:ind w:left="176" w:hanging="142"/>
              <w:jc w:val="left"/>
              <w:textAlignment w:val="baseline"/>
              <w:rPr>
                <w:rFonts w:ascii="Optane" w:hAnsi="Optane"/>
                <w:sz w:val="20"/>
                <w:szCs w:val="20"/>
                <w:lang w:val="en-GB"/>
              </w:rPr>
            </w:pPr>
            <w:r w:rsidRPr="00C1633D">
              <w:rPr>
                <w:rFonts w:ascii="Optane" w:hAnsi="Optane"/>
                <w:sz w:val="20"/>
                <w:szCs w:val="20"/>
                <w:lang w:val="en-GB"/>
              </w:rPr>
              <w:t>A comprehensive proposal for social administration systems reform is elaborated and disseminated to interested stakeholders under project auspices.</w:t>
            </w:r>
          </w:p>
        </w:tc>
        <w:tc>
          <w:tcPr>
            <w:tcW w:w="268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Paragraphedeliste1"/>
              <w:numPr>
                <w:ilvl w:val="0"/>
                <w:numId w:val="5"/>
              </w:numPr>
              <w:suppressAutoHyphens/>
              <w:autoSpaceDN w:val="0"/>
              <w:spacing w:after="0" w:line="240" w:lineRule="auto"/>
              <w:ind w:left="207" w:hanging="207"/>
              <w:jc w:val="left"/>
              <w:textAlignment w:val="baseline"/>
              <w:rPr>
                <w:rFonts w:ascii="Optane" w:hAnsi="Optane"/>
                <w:sz w:val="20"/>
                <w:szCs w:val="20"/>
                <w:lang w:val="en-GB"/>
              </w:rPr>
            </w:pPr>
          </w:p>
        </w:tc>
        <w:tc>
          <w:tcPr>
            <w:tcW w:w="2558" w:type="dxa"/>
            <w:vMerge/>
            <w:tcBorders>
              <w:left w:val="single" w:sz="4" w:space="0" w:color="000000"/>
              <w:right w:val="single" w:sz="4" w:space="0" w:color="000000"/>
            </w:tcBorders>
          </w:tcPr>
          <w:p w:rsidR="000022C1" w:rsidRPr="005A080E" w:rsidRDefault="000022C1" w:rsidP="000022C1">
            <w:pPr>
              <w:pStyle w:val="Paragraphedeliste1"/>
              <w:numPr>
                <w:ilvl w:val="0"/>
                <w:numId w:val="5"/>
              </w:numPr>
              <w:suppressAutoHyphens/>
              <w:autoSpaceDN w:val="0"/>
              <w:spacing w:after="0" w:line="240" w:lineRule="auto"/>
              <w:ind w:left="207" w:hanging="207"/>
              <w:jc w:val="left"/>
              <w:textAlignment w:val="baseline"/>
              <w:rPr>
                <w:rFonts w:ascii="Optane" w:hAnsi="Optane"/>
                <w:lang w:val="en-GB"/>
              </w:rPr>
            </w:pPr>
          </w:p>
        </w:tc>
      </w:tr>
      <w:tr w:rsidR="000022C1" w:rsidRPr="005A080E" w:rsidTr="004F15E8">
        <w:trPr>
          <w:trHeight w:val="805"/>
        </w:trPr>
        <w:tc>
          <w:tcPr>
            <w:tcW w:w="1177" w:type="dxa"/>
            <w:vMerge/>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4F15E8">
            <w:pPr>
              <w:jc w:val="center"/>
              <w:rPr>
                <w:rFonts w:cs="Calibri"/>
                <w:b/>
                <w:bCs/>
              </w:rPr>
            </w:pPr>
          </w:p>
        </w:tc>
        <w:tc>
          <w:tcPr>
            <w:tcW w:w="26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4F15E8">
            <w:pPr>
              <w:spacing w:line="240" w:lineRule="exact"/>
              <w:rPr>
                <w:rFonts w:cs="Calibri"/>
                <w:sz w:val="20"/>
                <w:szCs w:val="20"/>
              </w:rPr>
            </w:pP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Default"/>
              <w:numPr>
                <w:ilvl w:val="0"/>
                <w:numId w:val="5"/>
              </w:numPr>
              <w:ind w:left="151" w:hanging="142"/>
              <w:rPr>
                <w:rFonts w:ascii="Optane" w:hAnsi="Optane" w:cs="Calibri"/>
                <w:sz w:val="20"/>
                <w:szCs w:val="20"/>
              </w:rPr>
            </w:pPr>
            <w:r w:rsidRPr="00C1633D">
              <w:rPr>
                <w:rFonts w:ascii="Optane" w:hAnsi="Optane" w:cs="Calibri"/>
                <w:sz w:val="20"/>
                <w:szCs w:val="20"/>
              </w:rPr>
              <w:t xml:space="preserve">Analysis and proposals developed under project auspices are made known to a broad audience, nationally and internationally </w:t>
            </w:r>
          </w:p>
          <w:p w:rsidR="000022C1" w:rsidRPr="00C1633D" w:rsidRDefault="000022C1" w:rsidP="004F15E8">
            <w:pPr>
              <w:pStyle w:val="Paragraphedeliste1"/>
              <w:suppressAutoHyphens/>
              <w:autoSpaceDN w:val="0"/>
              <w:spacing w:after="0" w:line="240" w:lineRule="auto"/>
              <w:ind w:left="0"/>
              <w:jc w:val="left"/>
              <w:textAlignment w:val="baseline"/>
              <w:rPr>
                <w:rFonts w:ascii="Optane" w:hAnsi="Optane"/>
                <w:sz w:val="20"/>
                <w:szCs w:val="20"/>
                <w:lang w:val="en-GB"/>
              </w:rPr>
            </w:pPr>
          </w:p>
        </w:tc>
        <w:tc>
          <w:tcPr>
            <w:tcW w:w="268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4F15E8">
            <w:pPr>
              <w:pStyle w:val="Default"/>
              <w:rPr>
                <w:rFonts w:ascii="Optane" w:hAnsi="Optane" w:cs="Calibri"/>
                <w:sz w:val="20"/>
                <w:szCs w:val="20"/>
              </w:rPr>
            </w:pPr>
            <w:r w:rsidRPr="00C1633D">
              <w:rPr>
                <w:rFonts w:ascii="Optane" w:hAnsi="Optane" w:cs="Calibri"/>
                <w:sz w:val="20"/>
                <w:szCs w:val="20"/>
              </w:rPr>
              <w:t xml:space="preserve">Participation in national and international events organized outside the scope of the project </w:t>
            </w:r>
          </w:p>
          <w:p w:rsidR="000022C1" w:rsidRPr="00C1633D" w:rsidRDefault="000022C1" w:rsidP="004F15E8">
            <w:pPr>
              <w:pStyle w:val="Paragraphedeliste1"/>
              <w:suppressAutoHyphens/>
              <w:autoSpaceDN w:val="0"/>
              <w:spacing w:after="0" w:line="240" w:lineRule="auto"/>
              <w:ind w:left="207"/>
              <w:jc w:val="left"/>
              <w:textAlignment w:val="baseline"/>
              <w:rPr>
                <w:rFonts w:ascii="Optane" w:hAnsi="Optane"/>
                <w:sz w:val="20"/>
                <w:szCs w:val="20"/>
                <w:lang w:val="en-GB"/>
              </w:rPr>
            </w:pPr>
          </w:p>
        </w:tc>
        <w:tc>
          <w:tcPr>
            <w:tcW w:w="2558" w:type="dxa"/>
            <w:vMerge/>
            <w:tcBorders>
              <w:left w:val="single" w:sz="4" w:space="0" w:color="000000"/>
              <w:right w:val="single" w:sz="4" w:space="0" w:color="000000"/>
            </w:tcBorders>
          </w:tcPr>
          <w:p w:rsidR="000022C1" w:rsidRPr="005A080E" w:rsidRDefault="000022C1" w:rsidP="000022C1">
            <w:pPr>
              <w:pStyle w:val="Paragraphedeliste1"/>
              <w:numPr>
                <w:ilvl w:val="0"/>
                <w:numId w:val="5"/>
              </w:numPr>
              <w:suppressAutoHyphens/>
              <w:autoSpaceDN w:val="0"/>
              <w:spacing w:after="0" w:line="240" w:lineRule="auto"/>
              <w:ind w:left="207" w:hanging="207"/>
              <w:jc w:val="left"/>
              <w:textAlignment w:val="baseline"/>
              <w:rPr>
                <w:rFonts w:ascii="Optane" w:hAnsi="Optane"/>
                <w:lang w:val="en-GB"/>
              </w:rPr>
            </w:pPr>
          </w:p>
        </w:tc>
      </w:tr>
      <w:tr w:rsidR="000022C1" w:rsidRPr="005A080E" w:rsidTr="004F15E8">
        <w:trPr>
          <w:trHeight w:val="685"/>
        </w:trPr>
        <w:tc>
          <w:tcPr>
            <w:tcW w:w="1177" w:type="dxa"/>
            <w:vMerge w:val="restart"/>
            <w:tcBorders>
              <w:top w:val="single" w:sz="4" w:space="0" w:color="000000"/>
              <w:left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4F15E8">
            <w:pPr>
              <w:jc w:val="center"/>
              <w:rPr>
                <w:rFonts w:cs="Calibri"/>
                <w:b/>
                <w:bCs/>
              </w:rPr>
            </w:pPr>
            <w:r w:rsidRPr="005A080E">
              <w:rPr>
                <w:rFonts w:cs="Calibri"/>
                <w:b/>
                <w:bCs/>
              </w:rPr>
              <w:t>Result</w:t>
            </w:r>
          </w:p>
        </w:tc>
        <w:tc>
          <w:tcPr>
            <w:tcW w:w="267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4F15E8">
            <w:pPr>
              <w:spacing w:line="240" w:lineRule="exact"/>
              <w:rPr>
                <w:rFonts w:cs="Calibri"/>
                <w:sz w:val="20"/>
                <w:szCs w:val="20"/>
              </w:rPr>
            </w:pPr>
            <w:r w:rsidRPr="005A080E">
              <w:rPr>
                <w:rFonts w:cs="Calibri"/>
                <w:sz w:val="20"/>
                <w:szCs w:val="20"/>
              </w:rPr>
              <w:t>R3. Capacity of NDRC in policy development and implementation, notably establishing and enforcing a national policy evaluation technique in the area of social protection, is enhanced.</w:t>
            </w: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Paragraphedeliste1"/>
              <w:numPr>
                <w:ilvl w:val="0"/>
                <w:numId w:val="5"/>
              </w:numPr>
              <w:suppressAutoHyphens/>
              <w:autoSpaceDN w:val="0"/>
              <w:spacing w:after="0" w:line="240" w:lineRule="auto"/>
              <w:ind w:left="176" w:hanging="142"/>
              <w:jc w:val="left"/>
              <w:textAlignment w:val="baseline"/>
              <w:rPr>
                <w:rFonts w:ascii="Optane" w:hAnsi="Optane"/>
                <w:sz w:val="20"/>
                <w:szCs w:val="20"/>
                <w:lang w:val="en-GB"/>
              </w:rPr>
            </w:pPr>
            <w:r w:rsidRPr="00C1633D">
              <w:rPr>
                <w:rFonts w:ascii="Optane" w:hAnsi="Optane"/>
                <w:sz w:val="20"/>
                <w:szCs w:val="20"/>
                <w:lang w:val="en-GB"/>
              </w:rPr>
              <w:t xml:space="preserve">A national policy evaluation technique in the area of social protection is developed and tested under the auspices of the project; </w:t>
            </w:r>
          </w:p>
        </w:tc>
        <w:tc>
          <w:tcPr>
            <w:tcW w:w="268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Paragraphedeliste1"/>
              <w:numPr>
                <w:ilvl w:val="0"/>
                <w:numId w:val="5"/>
              </w:numPr>
              <w:suppressAutoHyphens/>
              <w:autoSpaceDN w:val="0"/>
              <w:spacing w:after="0" w:line="240" w:lineRule="auto"/>
              <w:jc w:val="left"/>
              <w:textAlignment w:val="baseline"/>
              <w:rPr>
                <w:rFonts w:ascii="Optane" w:hAnsi="Optane"/>
                <w:sz w:val="20"/>
                <w:szCs w:val="20"/>
                <w:lang w:val="en-GB"/>
              </w:rPr>
            </w:pPr>
            <w:r w:rsidRPr="00C1633D">
              <w:rPr>
                <w:rFonts w:ascii="Optane" w:hAnsi="Optane"/>
                <w:sz w:val="20"/>
                <w:szCs w:val="20"/>
                <w:lang w:val="en-GB"/>
              </w:rPr>
              <w:t>See project website</w:t>
            </w:r>
          </w:p>
        </w:tc>
        <w:tc>
          <w:tcPr>
            <w:tcW w:w="2558" w:type="dxa"/>
            <w:vMerge/>
            <w:tcBorders>
              <w:left w:val="single" w:sz="4" w:space="0" w:color="000000"/>
              <w:right w:val="single" w:sz="4" w:space="0" w:color="000000"/>
            </w:tcBorders>
          </w:tcPr>
          <w:p w:rsidR="000022C1" w:rsidRPr="005A080E" w:rsidRDefault="000022C1" w:rsidP="000022C1">
            <w:pPr>
              <w:pStyle w:val="Paragraphedeliste1"/>
              <w:numPr>
                <w:ilvl w:val="0"/>
                <w:numId w:val="6"/>
              </w:numPr>
              <w:suppressAutoHyphens/>
              <w:autoSpaceDN w:val="0"/>
              <w:spacing w:after="0" w:line="240" w:lineRule="auto"/>
              <w:jc w:val="left"/>
              <w:textAlignment w:val="baseline"/>
              <w:rPr>
                <w:rFonts w:ascii="Optane" w:hAnsi="Optane"/>
                <w:lang w:val="en-GB"/>
              </w:rPr>
            </w:pPr>
          </w:p>
        </w:tc>
      </w:tr>
      <w:tr w:rsidR="000022C1" w:rsidRPr="005A080E" w:rsidTr="004F15E8">
        <w:trPr>
          <w:trHeight w:val="684"/>
        </w:trPr>
        <w:tc>
          <w:tcPr>
            <w:tcW w:w="1177"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4F15E8">
            <w:pPr>
              <w:jc w:val="center"/>
              <w:rPr>
                <w:rFonts w:cs="Calibri"/>
                <w:b/>
                <w:bCs/>
              </w:rPr>
            </w:pPr>
          </w:p>
        </w:tc>
        <w:tc>
          <w:tcPr>
            <w:tcW w:w="2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4F15E8">
            <w:pPr>
              <w:spacing w:line="240" w:lineRule="exact"/>
              <w:rPr>
                <w:rFonts w:cs="Calibri"/>
                <w:sz w:val="20"/>
                <w:szCs w:val="20"/>
              </w:rPr>
            </w:pP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Paragraphedeliste1"/>
              <w:numPr>
                <w:ilvl w:val="0"/>
                <w:numId w:val="5"/>
              </w:numPr>
              <w:suppressAutoHyphens/>
              <w:autoSpaceDN w:val="0"/>
              <w:spacing w:after="0" w:line="240" w:lineRule="auto"/>
              <w:ind w:left="176" w:hanging="142"/>
              <w:jc w:val="left"/>
              <w:textAlignment w:val="baseline"/>
              <w:rPr>
                <w:rFonts w:ascii="Optane" w:hAnsi="Optane"/>
                <w:sz w:val="20"/>
                <w:szCs w:val="20"/>
                <w:lang w:val="en-GB"/>
              </w:rPr>
            </w:pPr>
            <w:r w:rsidRPr="00C1633D">
              <w:rPr>
                <w:rFonts w:ascii="Optane" w:hAnsi="Optane"/>
                <w:sz w:val="20"/>
                <w:szCs w:val="20"/>
                <w:lang w:val="en-GB"/>
              </w:rPr>
              <w:t>At least two-thirds of local officers involved in the training in China and in Europe demonstrate a high level of approval of the training activities;</w:t>
            </w:r>
          </w:p>
          <w:p w:rsidR="000022C1" w:rsidRPr="00C1633D" w:rsidRDefault="000022C1" w:rsidP="004F15E8">
            <w:pPr>
              <w:pStyle w:val="Paragraphedeliste1"/>
              <w:suppressAutoHyphens/>
              <w:autoSpaceDN w:val="0"/>
              <w:spacing w:after="0" w:line="240" w:lineRule="auto"/>
              <w:ind w:left="34"/>
              <w:jc w:val="left"/>
              <w:textAlignment w:val="baseline"/>
              <w:rPr>
                <w:rFonts w:ascii="Optane" w:hAnsi="Optane"/>
                <w:sz w:val="20"/>
                <w:szCs w:val="20"/>
                <w:lang w:val="en-GB"/>
              </w:rPr>
            </w:pPr>
          </w:p>
        </w:tc>
        <w:tc>
          <w:tcPr>
            <w:tcW w:w="268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4F15E8">
            <w:pPr>
              <w:pStyle w:val="Paragraphedeliste1"/>
              <w:suppressAutoHyphens/>
              <w:autoSpaceDN w:val="0"/>
              <w:spacing w:after="0" w:line="240" w:lineRule="auto"/>
              <w:ind w:left="0"/>
              <w:jc w:val="left"/>
              <w:textAlignment w:val="baseline"/>
              <w:rPr>
                <w:rFonts w:ascii="Optane" w:hAnsi="Optane"/>
                <w:sz w:val="20"/>
                <w:szCs w:val="20"/>
                <w:lang w:val="en-GB"/>
              </w:rPr>
            </w:pPr>
          </w:p>
        </w:tc>
        <w:tc>
          <w:tcPr>
            <w:tcW w:w="2558" w:type="dxa"/>
            <w:vMerge/>
            <w:tcBorders>
              <w:left w:val="single" w:sz="4" w:space="0" w:color="000000"/>
              <w:right w:val="single" w:sz="4" w:space="0" w:color="000000"/>
            </w:tcBorders>
          </w:tcPr>
          <w:p w:rsidR="000022C1" w:rsidRPr="005A080E" w:rsidRDefault="000022C1" w:rsidP="000022C1">
            <w:pPr>
              <w:pStyle w:val="Paragraphedeliste1"/>
              <w:numPr>
                <w:ilvl w:val="0"/>
                <w:numId w:val="6"/>
              </w:numPr>
              <w:suppressAutoHyphens/>
              <w:autoSpaceDN w:val="0"/>
              <w:spacing w:after="0" w:line="240" w:lineRule="auto"/>
              <w:jc w:val="left"/>
              <w:textAlignment w:val="baseline"/>
              <w:rPr>
                <w:rFonts w:ascii="Optane" w:hAnsi="Optane"/>
                <w:lang w:val="en-GB"/>
              </w:rPr>
            </w:pPr>
          </w:p>
        </w:tc>
      </w:tr>
      <w:tr w:rsidR="000022C1" w:rsidRPr="005A080E" w:rsidTr="004F15E8">
        <w:trPr>
          <w:trHeight w:val="360"/>
        </w:trPr>
        <w:tc>
          <w:tcPr>
            <w:tcW w:w="1177"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4F15E8">
            <w:pPr>
              <w:jc w:val="center"/>
              <w:rPr>
                <w:rFonts w:cs="Calibri"/>
                <w:b/>
                <w:bCs/>
              </w:rPr>
            </w:pPr>
          </w:p>
        </w:tc>
        <w:tc>
          <w:tcPr>
            <w:tcW w:w="2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4F15E8">
            <w:pPr>
              <w:spacing w:line="240" w:lineRule="exact"/>
              <w:rPr>
                <w:rFonts w:cs="Calibri"/>
                <w:sz w:val="20"/>
                <w:szCs w:val="20"/>
              </w:rPr>
            </w:pP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Paragraphedeliste1"/>
              <w:numPr>
                <w:ilvl w:val="0"/>
                <w:numId w:val="5"/>
              </w:numPr>
              <w:suppressAutoHyphens/>
              <w:autoSpaceDN w:val="0"/>
              <w:spacing w:after="0" w:line="240" w:lineRule="auto"/>
              <w:ind w:left="176" w:hanging="142"/>
              <w:jc w:val="left"/>
              <w:textAlignment w:val="baseline"/>
              <w:rPr>
                <w:rFonts w:ascii="Optane" w:hAnsi="Optane"/>
                <w:sz w:val="20"/>
                <w:szCs w:val="20"/>
                <w:lang w:val="en-GB"/>
              </w:rPr>
            </w:pPr>
            <w:r w:rsidRPr="00C1633D">
              <w:rPr>
                <w:rFonts w:ascii="Optane" w:hAnsi="Optane"/>
                <w:sz w:val="20"/>
                <w:szCs w:val="20"/>
                <w:lang w:val="en-GB"/>
              </w:rPr>
              <w:t>Clear goals are assigned to the pension system in terms of replacement of past income and minimum living standards</w:t>
            </w:r>
          </w:p>
        </w:tc>
        <w:tc>
          <w:tcPr>
            <w:tcW w:w="268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4F15E8">
            <w:pPr>
              <w:pStyle w:val="Paragraphedeliste1"/>
              <w:suppressAutoHyphens/>
              <w:autoSpaceDN w:val="0"/>
              <w:spacing w:after="0" w:line="240" w:lineRule="auto"/>
              <w:ind w:left="0"/>
              <w:jc w:val="left"/>
              <w:textAlignment w:val="baseline"/>
              <w:rPr>
                <w:rFonts w:ascii="Optane" w:hAnsi="Optane"/>
                <w:sz w:val="20"/>
                <w:szCs w:val="20"/>
                <w:lang w:val="en-GB"/>
              </w:rPr>
            </w:pPr>
          </w:p>
        </w:tc>
        <w:tc>
          <w:tcPr>
            <w:tcW w:w="2558" w:type="dxa"/>
            <w:vMerge/>
            <w:tcBorders>
              <w:left w:val="single" w:sz="4" w:space="0" w:color="000000"/>
              <w:right w:val="single" w:sz="4" w:space="0" w:color="000000"/>
            </w:tcBorders>
          </w:tcPr>
          <w:p w:rsidR="000022C1" w:rsidRPr="005A080E" w:rsidRDefault="000022C1" w:rsidP="000022C1">
            <w:pPr>
              <w:pStyle w:val="Paragraphedeliste1"/>
              <w:numPr>
                <w:ilvl w:val="0"/>
                <w:numId w:val="6"/>
              </w:numPr>
              <w:suppressAutoHyphens/>
              <w:autoSpaceDN w:val="0"/>
              <w:spacing w:after="0" w:line="240" w:lineRule="auto"/>
              <w:jc w:val="left"/>
              <w:textAlignment w:val="baseline"/>
              <w:rPr>
                <w:rFonts w:ascii="Optane" w:hAnsi="Optane"/>
                <w:lang w:val="en-GB"/>
              </w:rPr>
            </w:pPr>
          </w:p>
        </w:tc>
      </w:tr>
      <w:tr w:rsidR="000022C1" w:rsidRPr="005A080E" w:rsidTr="004F15E8">
        <w:trPr>
          <w:trHeight w:val="540"/>
        </w:trPr>
        <w:tc>
          <w:tcPr>
            <w:tcW w:w="1177"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4F15E8">
            <w:pPr>
              <w:jc w:val="center"/>
              <w:rPr>
                <w:rFonts w:cs="Calibri"/>
                <w:b/>
                <w:bCs/>
              </w:rPr>
            </w:pPr>
          </w:p>
        </w:tc>
        <w:tc>
          <w:tcPr>
            <w:tcW w:w="2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4F15E8">
            <w:pPr>
              <w:spacing w:line="240" w:lineRule="exact"/>
              <w:rPr>
                <w:rFonts w:cs="Calibri"/>
                <w:sz w:val="20"/>
                <w:szCs w:val="20"/>
              </w:rPr>
            </w:pP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4F15E8">
            <w:pPr>
              <w:pStyle w:val="Default"/>
              <w:rPr>
                <w:rFonts w:ascii="Optane" w:hAnsi="Optane" w:cs="Calibri"/>
                <w:color w:val="auto"/>
                <w:sz w:val="20"/>
                <w:szCs w:val="20"/>
              </w:rPr>
            </w:pPr>
          </w:p>
          <w:p w:rsidR="000022C1" w:rsidRPr="00C1633D" w:rsidRDefault="000022C1" w:rsidP="004F15E8">
            <w:pPr>
              <w:pStyle w:val="Default"/>
              <w:ind w:left="76"/>
              <w:rPr>
                <w:rFonts w:ascii="Optane" w:hAnsi="Optane" w:cs="Calibri"/>
                <w:sz w:val="20"/>
                <w:szCs w:val="20"/>
              </w:rPr>
            </w:pPr>
            <w:r w:rsidRPr="00C1633D">
              <w:rPr>
                <w:rFonts w:ascii="Optane" w:hAnsi="Optane" w:cs="Calibri"/>
                <w:sz w:val="20"/>
                <w:szCs w:val="20"/>
              </w:rPr>
              <w:t xml:space="preserve">- A methodology to assess gender implications of proposed social protection reforms is developed </w:t>
            </w:r>
          </w:p>
          <w:p w:rsidR="000022C1" w:rsidRPr="00C1633D" w:rsidRDefault="000022C1" w:rsidP="004F15E8">
            <w:pPr>
              <w:pStyle w:val="Paragraphedeliste1"/>
              <w:suppressAutoHyphens/>
              <w:autoSpaceDN w:val="0"/>
              <w:spacing w:after="0" w:line="240" w:lineRule="auto"/>
              <w:ind w:left="34"/>
              <w:jc w:val="left"/>
              <w:textAlignment w:val="baseline"/>
              <w:rPr>
                <w:rFonts w:ascii="Optane" w:hAnsi="Optane"/>
                <w:sz w:val="20"/>
                <w:szCs w:val="20"/>
                <w:lang w:val="en-GB"/>
              </w:rPr>
            </w:pPr>
          </w:p>
        </w:tc>
        <w:tc>
          <w:tcPr>
            <w:tcW w:w="268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4F15E8">
            <w:pPr>
              <w:pStyle w:val="Paragraphedeliste1"/>
              <w:suppressAutoHyphens/>
              <w:autoSpaceDN w:val="0"/>
              <w:spacing w:after="0" w:line="240" w:lineRule="auto"/>
              <w:ind w:left="0"/>
              <w:jc w:val="left"/>
              <w:textAlignment w:val="baseline"/>
              <w:rPr>
                <w:rFonts w:ascii="Optane" w:hAnsi="Optane"/>
                <w:sz w:val="20"/>
                <w:szCs w:val="20"/>
                <w:lang w:val="en-GB"/>
              </w:rPr>
            </w:pPr>
          </w:p>
        </w:tc>
        <w:tc>
          <w:tcPr>
            <w:tcW w:w="2558" w:type="dxa"/>
            <w:vMerge/>
            <w:tcBorders>
              <w:left w:val="single" w:sz="4" w:space="0" w:color="000000"/>
              <w:right w:val="single" w:sz="4" w:space="0" w:color="000000"/>
            </w:tcBorders>
          </w:tcPr>
          <w:p w:rsidR="000022C1" w:rsidRPr="005A080E" w:rsidRDefault="000022C1" w:rsidP="000022C1">
            <w:pPr>
              <w:pStyle w:val="Paragraphedeliste1"/>
              <w:numPr>
                <w:ilvl w:val="0"/>
                <w:numId w:val="6"/>
              </w:numPr>
              <w:suppressAutoHyphens/>
              <w:autoSpaceDN w:val="0"/>
              <w:spacing w:after="0" w:line="240" w:lineRule="auto"/>
              <w:jc w:val="left"/>
              <w:textAlignment w:val="baseline"/>
              <w:rPr>
                <w:rFonts w:ascii="Optane" w:hAnsi="Optane"/>
                <w:lang w:val="en-GB"/>
              </w:rPr>
            </w:pPr>
          </w:p>
        </w:tc>
      </w:tr>
      <w:tr w:rsidR="000022C1" w:rsidRPr="005A080E" w:rsidTr="004F15E8">
        <w:trPr>
          <w:trHeight w:val="540"/>
        </w:trPr>
        <w:tc>
          <w:tcPr>
            <w:tcW w:w="1177"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4F15E8">
            <w:pPr>
              <w:jc w:val="center"/>
              <w:rPr>
                <w:rFonts w:cs="Calibri"/>
                <w:b/>
                <w:bCs/>
              </w:rPr>
            </w:pPr>
          </w:p>
        </w:tc>
        <w:tc>
          <w:tcPr>
            <w:tcW w:w="2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4F15E8">
            <w:pPr>
              <w:spacing w:line="240" w:lineRule="exact"/>
              <w:rPr>
                <w:rFonts w:cs="Calibri"/>
                <w:sz w:val="20"/>
                <w:szCs w:val="20"/>
              </w:rPr>
            </w:pP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Default"/>
              <w:widowControl/>
              <w:numPr>
                <w:ilvl w:val="0"/>
                <w:numId w:val="6"/>
              </w:numPr>
              <w:rPr>
                <w:rFonts w:ascii="Optane" w:hAnsi="Optane" w:cs="Calibri"/>
                <w:sz w:val="20"/>
                <w:szCs w:val="20"/>
              </w:rPr>
            </w:pPr>
            <w:r w:rsidRPr="00C1633D">
              <w:rPr>
                <w:rFonts w:ascii="Optane" w:hAnsi="Optane" w:cs="Calibri"/>
                <w:sz w:val="20"/>
                <w:szCs w:val="20"/>
              </w:rPr>
              <w:t xml:space="preserve">Interrelation between social protection and employment policies is documented and used for evaluation purposes </w:t>
            </w:r>
          </w:p>
          <w:p w:rsidR="000022C1" w:rsidRPr="00C1633D" w:rsidRDefault="000022C1" w:rsidP="004F15E8">
            <w:pPr>
              <w:pStyle w:val="Default"/>
              <w:rPr>
                <w:rFonts w:ascii="Optane" w:hAnsi="Optane" w:cs="Calibri"/>
                <w:color w:val="auto"/>
                <w:sz w:val="20"/>
                <w:szCs w:val="20"/>
              </w:rPr>
            </w:pPr>
          </w:p>
        </w:tc>
        <w:tc>
          <w:tcPr>
            <w:tcW w:w="2683" w:type="dxa"/>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Default"/>
              <w:widowControl/>
              <w:numPr>
                <w:ilvl w:val="0"/>
                <w:numId w:val="6"/>
              </w:numPr>
              <w:rPr>
                <w:rFonts w:ascii="Optane" w:hAnsi="Optane" w:cs="Calibri"/>
                <w:sz w:val="20"/>
                <w:szCs w:val="20"/>
              </w:rPr>
            </w:pPr>
            <w:r w:rsidRPr="00C1633D">
              <w:rPr>
                <w:rFonts w:ascii="Optane" w:hAnsi="Optane" w:cs="Calibri"/>
                <w:sz w:val="20"/>
                <w:szCs w:val="20"/>
              </w:rPr>
              <w:t xml:space="preserve">Project reports </w:t>
            </w:r>
          </w:p>
          <w:p w:rsidR="000022C1" w:rsidRPr="00C1633D" w:rsidRDefault="000022C1" w:rsidP="004F15E8">
            <w:pPr>
              <w:pStyle w:val="Paragraphedeliste1"/>
              <w:suppressAutoHyphens/>
              <w:autoSpaceDN w:val="0"/>
              <w:spacing w:after="0" w:line="240" w:lineRule="auto"/>
              <w:ind w:left="360"/>
              <w:jc w:val="left"/>
              <w:textAlignment w:val="baseline"/>
              <w:rPr>
                <w:rFonts w:ascii="Optane" w:hAnsi="Optane"/>
                <w:sz w:val="20"/>
                <w:szCs w:val="20"/>
                <w:lang w:val="en-GB"/>
              </w:rPr>
            </w:pPr>
          </w:p>
        </w:tc>
        <w:tc>
          <w:tcPr>
            <w:tcW w:w="2558" w:type="dxa"/>
            <w:vMerge/>
            <w:tcBorders>
              <w:left w:val="single" w:sz="4" w:space="0" w:color="000000"/>
              <w:right w:val="single" w:sz="4" w:space="0" w:color="000000"/>
            </w:tcBorders>
          </w:tcPr>
          <w:p w:rsidR="000022C1" w:rsidRPr="005A080E" w:rsidRDefault="000022C1" w:rsidP="000022C1">
            <w:pPr>
              <w:pStyle w:val="Paragraphedeliste1"/>
              <w:numPr>
                <w:ilvl w:val="0"/>
                <w:numId w:val="6"/>
              </w:numPr>
              <w:suppressAutoHyphens/>
              <w:autoSpaceDN w:val="0"/>
              <w:spacing w:after="0" w:line="240" w:lineRule="auto"/>
              <w:jc w:val="left"/>
              <w:textAlignment w:val="baseline"/>
              <w:rPr>
                <w:rFonts w:ascii="Optane" w:hAnsi="Optane"/>
                <w:lang w:val="en-GB"/>
              </w:rPr>
            </w:pPr>
          </w:p>
        </w:tc>
      </w:tr>
      <w:tr w:rsidR="000022C1" w:rsidRPr="005A080E" w:rsidTr="004F15E8">
        <w:trPr>
          <w:trHeight w:val="540"/>
        </w:trPr>
        <w:tc>
          <w:tcPr>
            <w:tcW w:w="1177" w:type="dxa"/>
            <w:vMerge/>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4F15E8">
            <w:pPr>
              <w:jc w:val="center"/>
              <w:rPr>
                <w:rFonts w:cs="Calibri"/>
                <w:b/>
                <w:bCs/>
              </w:rPr>
            </w:pPr>
          </w:p>
        </w:tc>
        <w:tc>
          <w:tcPr>
            <w:tcW w:w="26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4F15E8">
            <w:pPr>
              <w:spacing w:line="240" w:lineRule="exact"/>
              <w:rPr>
                <w:rFonts w:cs="Calibri"/>
                <w:sz w:val="20"/>
                <w:szCs w:val="20"/>
              </w:rPr>
            </w:pP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Default"/>
              <w:widowControl/>
              <w:numPr>
                <w:ilvl w:val="0"/>
                <w:numId w:val="6"/>
              </w:numPr>
              <w:rPr>
                <w:rFonts w:ascii="Optane" w:hAnsi="Optane" w:cs="Calibri"/>
                <w:sz w:val="20"/>
                <w:szCs w:val="20"/>
              </w:rPr>
            </w:pPr>
            <w:r w:rsidRPr="00C1633D">
              <w:rPr>
                <w:rFonts w:ascii="Optane" w:hAnsi="Optane" w:cs="Calibri"/>
                <w:sz w:val="20"/>
                <w:szCs w:val="20"/>
              </w:rPr>
              <w:t xml:space="preserve">Memoranda of understanding or equivalent instruments are discussed and concluded between NDRC and European partners, to use as a basis for continued cooperation in social protection </w:t>
            </w:r>
          </w:p>
          <w:p w:rsidR="000022C1" w:rsidRPr="00C1633D" w:rsidRDefault="000022C1" w:rsidP="004F15E8">
            <w:pPr>
              <w:pStyle w:val="Default"/>
              <w:ind w:left="360"/>
              <w:rPr>
                <w:rFonts w:ascii="Optane" w:hAnsi="Optane" w:cs="Calibri"/>
                <w:sz w:val="20"/>
                <w:szCs w:val="20"/>
              </w:rPr>
            </w:pPr>
          </w:p>
        </w:tc>
        <w:tc>
          <w:tcPr>
            <w:tcW w:w="26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Default"/>
              <w:widowControl/>
              <w:numPr>
                <w:ilvl w:val="0"/>
                <w:numId w:val="6"/>
              </w:numPr>
              <w:rPr>
                <w:rFonts w:ascii="Optane" w:hAnsi="Optane" w:cs="Calibri"/>
                <w:sz w:val="20"/>
                <w:szCs w:val="20"/>
              </w:rPr>
            </w:pPr>
            <w:r w:rsidRPr="00C1633D">
              <w:rPr>
                <w:rFonts w:ascii="Optane" w:hAnsi="Optane" w:cs="Calibri"/>
                <w:sz w:val="20"/>
                <w:szCs w:val="20"/>
              </w:rPr>
              <w:t xml:space="preserve">MoUs drafted and signed </w:t>
            </w:r>
          </w:p>
          <w:p w:rsidR="000022C1" w:rsidRPr="00C1633D" w:rsidRDefault="000022C1" w:rsidP="004F15E8">
            <w:pPr>
              <w:pStyle w:val="Default"/>
              <w:ind w:left="360"/>
              <w:rPr>
                <w:rFonts w:ascii="Optane" w:hAnsi="Optane" w:cs="Calibri"/>
                <w:sz w:val="20"/>
                <w:szCs w:val="20"/>
              </w:rPr>
            </w:pPr>
          </w:p>
        </w:tc>
        <w:tc>
          <w:tcPr>
            <w:tcW w:w="2558" w:type="dxa"/>
            <w:vMerge/>
            <w:tcBorders>
              <w:left w:val="single" w:sz="4" w:space="0" w:color="000000"/>
              <w:right w:val="single" w:sz="4" w:space="0" w:color="000000"/>
            </w:tcBorders>
          </w:tcPr>
          <w:p w:rsidR="000022C1" w:rsidRPr="005A080E" w:rsidRDefault="000022C1" w:rsidP="000022C1">
            <w:pPr>
              <w:pStyle w:val="Paragraphedeliste1"/>
              <w:numPr>
                <w:ilvl w:val="0"/>
                <w:numId w:val="6"/>
              </w:numPr>
              <w:suppressAutoHyphens/>
              <w:autoSpaceDN w:val="0"/>
              <w:spacing w:after="0" w:line="240" w:lineRule="auto"/>
              <w:jc w:val="left"/>
              <w:textAlignment w:val="baseline"/>
              <w:rPr>
                <w:rFonts w:ascii="Optane" w:hAnsi="Optane"/>
                <w:lang w:val="en-GB"/>
              </w:rPr>
            </w:pPr>
          </w:p>
        </w:tc>
      </w:tr>
      <w:tr w:rsidR="000022C1" w:rsidRPr="005A080E" w:rsidTr="00C1633D">
        <w:tc>
          <w:tcPr>
            <w:tcW w:w="1177" w:type="dxa"/>
            <w:vMerge w:val="restart"/>
            <w:tcBorders>
              <w:top w:val="single" w:sz="4" w:space="0" w:color="000000"/>
              <w:left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C1633D">
            <w:pPr>
              <w:spacing w:after="0"/>
              <w:jc w:val="center"/>
              <w:rPr>
                <w:rFonts w:cs="Calibri"/>
                <w:b/>
                <w:bCs/>
              </w:rPr>
            </w:pPr>
            <w:r w:rsidRPr="005A080E">
              <w:rPr>
                <w:rFonts w:cs="Calibri"/>
                <w:b/>
                <w:bCs/>
              </w:rPr>
              <w:t>Result</w:t>
            </w:r>
          </w:p>
        </w:tc>
        <w:tc>
          <w:tcPr>
            <w:tcW w:w="267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C1633D">
            <w:pPr>
              <w:spacing w:after="0" w:line="240" w:lineRule="exact"/>
              <w:rPr>
                <w:rFonts w:cs="Calibri"/>
                <w:sz w:val="20"/>
                <w:szCs w:val="20"/>
              </w:rPr>
            </w:pPr>
            <w:r w:rsidRPr="005A080E">
              <w:rPr>
                <w:rFonts w:cs="Calibri"/>
                <w:sz w:val="20"/>
                <w:szCs w:val="20"/>
              </w:rPr>
              <w:t>R4. National policy framework for a full coverage of old-age insurance system throughout China is consolidated by strengthening the interface of various schemes, permission funding pooling, old-age insurance scheme for civil servants/the employee of public agencies and the existing multi-lawyer pension system</w:t>
            </w: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C1633D">
            <w:pPr>
              <w:pStyle w:val="Paragraphedeliste1"/>
              <w:numPr>
                <w:ilvl w:val="0"/>
                <w:numId w:val="5"/>
              </w:numPr>
              <w:suppressAutoHyphens/>
              <w:autoSpaceDN w:val="0"/>
              <w:spacing w:after="0" w:line="240" w:lineRule="auto"/>
              <w:ind w:left="176" w:hanging="142"/>
              <w:jc w:val="left"/>
              <w:textAlignment w:val="baseline"/>
              <w:rPr>
                <w:rFonts w:ascii="Optane" w:hAnsi="Optane"/>
                <w:sz w:val="20"/>
                <w:szCs w:val="20"/>
                <w:lang w:val="en-GB"/>
              </w:rPr>
            </w:pPr>
            <w:r w:rsidRPr="00C1633D">
              <w:rPr>
                <w:rFonts w:ascii="Optane" w:hAnsi="Optane"/>
                <w:sz w:val="20"/>
                <w:szCs w:val="20"/>
                <w:lang w:val="en-GB"/>
              </w:rPr>
              <w:t xml:space="preserve">A comprehensive model for multitier design of the pension system is developed under project auspices; </w:t>
            </w:r>
          </w:p>
        </w:tc>
        <w:tc>
          <w:tcPr>
            <w:tcW w:w="268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C1633D">
            <w:pPr>
              <w:pStyle w:val="Paragraphedeliste1"/>
              <w:numPr>
                <w:ilvl w:val="0"/>
                <w:numId w:val="6"/>
              </w:numPr>
              <w:suppressAutoHyphens/>
              <w:autoSpaceDN w:val="0"/>
              <w:spacing w:after="0" w:line="240" w:lineRule="auto"/>
              <w:jc w:val="left"/>
              <w:textAlignment w:val="baseline"/>
              <w:rPr>
                <w:rFonts w:ascii="Optane" w:hAnsi="Optane"/>
                <w:sz w:val="20"/>
                <w:szCs w:val="20"/>
                <w:lang w:val="en-GB"/>
              </w:rPr>
            </w:pPr>
            <w:r w:rsidRPr="00C1633D">
              <w:rPr>
                <w:rFonts w:ascii="Optane" w:hAnsi="Optane"/>
                <w:sz w:val="20"/>
                <w:szCs w:val="20"/>
                <w:lang w:val="en-GB"/>
              </w:rPr>
              <w:t xml:space="preserve">See project website </w:t>
            </w:r>
          </w:p>
          <w:p w:rsidR="000022C1" w:rsidRPr="00C1633D" w:rsidRDefault="000022C1" w:rsidP="00C1633D">
            <w:pPr>
              <w:pStyle w:val="Paragraphedeliste1"/>
              <w:suppressAutoHyphens/>
              <w:autoSpaceDN w:val="0"/>
              <w:spacing w:after="0" w:line="240" w:lineRule="auto"/>
              <w:ind w:left="166" w:hanging="166"/>
              <w:jc w:val="left"/>
              <w:textAlignment w:val="baseline"/>
              <w:rPr>
                <w:rFonts w:ascii="Optane" w:hAnsi="Optane"/>
                <w:sz w:val="20"/>
                <w:szCs w:val="20"/>
                <w:lang w:val="en-GB"/>
              </w:rPr>
            </w:pPr>
          </w:p>
        </w:tc>
        <w:tc>
          <w:tcPr>
            <w:tcW w:w="2558" w:type="dxa"/>
            <w:vMerge/>
            <w:tcBorders>
              <w:left w:val="single" w:sz="4" w:space="0" w:color="000000"/>
              <w:right w:val="single" w:sz="4" w:space="0" w:color="000000"/>
            </w:tcBorders>
          </w:tcPr>
          <w:p w:rsidR="000022C1" w:rsidRPr="005A080E" w:rsidRDefault="000022C1" w:rsidP="00C1633D">
            <w:pPr>
              <w:pStyle w:val="Paragraphedeliste1"/>
              <w:numPr>
                <w:ilvl w:val="0"/>
                <w:numId w:val="6"/>
              </w:numPr>
              <w:suppressAutoHyphens/>
              <w:autoSpaceDN w:val="0"/>
              <w:spacing w:after="0" w:line="240" w:lineRule="auto"/>
              <w:jc w:val="left"/>
              <w:textAlignment w:val="baseline"/>
              <w:rPr>
                <w:rFonts w:ascii="Optane" w:hAnsi="Optane"/>
                <w:lang w:val="en-GB"/>
              </w:rPr>
            </w:pPr>
          </w:p>
        </w:tc>
      </w:tr>
      <w:tr w:rsidR="000022C1" w:rsidRPr="005A080E" w:rsidTr="00C1633D">
        <w:tc>
          <w:tcPr>
            <w:tcW w:w="1177"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C1633D">
            <w:pPr>
              <w:spacing w:after="0"/>
              <w:jc w:val="center"/>
              <w:rPr>
                <w:rFonts w:cs="Calibri"/>
                <w:b/>
                <w:bCs/>
              </w:rPr>
            </w:pPr>
          </w:p>
        </w:tc>
        <w:tc>
          <w:tcPr>
            <w:tcW w:w="2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C1633D">
            <w:pPr>
              <w:spacing w:after="0" w:line="240" w:lineRule="exact"/>
              <w:rPr>
                <w:rFonts w:cs="Calibri"/>
                <w:sz w:val="20"/>
                <w:szCs w:val="20"/>
              </w:rPr>
            </w:pP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C1633D">
            <w:pPr>
              <w:pStyle w:val="Paragraphedeliste1"/>
              <w:numPr>
                <w:ilvl w:val="0"/>
                <w:numId w:val="5"/>
              </w:numPr>
              <w:suppressAutoHyphens/>
              <w:autoSpaceDN w:val="0"/>
              <w:spacing w:after="0" w:line="240" w:lineRule="auto"/>
              <w:ind w:left="176" w:hanging="142"/>
              <w:jc w:val="left"/>
              <w:textAlignment w:val="baseline"/>
              <w:rPr>
                <w:rFonts w:ascii="Optane" w:hAnsi="Optane"/>
                <w:sz w:val="20"/>
                <w:szCs w:val="20"/>
                <w:lang w:val="en-GB"/>
              </w:rPr>
            </w:pPr>
            <w:r w:rsidRPr="00C1633D">
              <w:rPr>
                <w:rFonts w:ascii="Optane" w:hAnsi="Optane"/>
                <w:sz w:val="20"/>
                <w:szCs w:val="20"/>
                <w:lang w:val="en-GB"/>
              </w:rPr>
              <w:t>A comprehensive policy for developing a universal social pension model is developed and disseminated under project auspices;</w:t>
            </w:r>
          </w:p>
        </w:tc>
        <w:tc>
          <w:tcPr>
            <w:tcW w:w="268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C1633D">
            <w:pPr>
              <w:pStyle w:val="Paragraphedeliste1"/>
              <w:numPr>
                <w:ilvl w:val="0"/>
                <w:numId w:val="6"/>
              </w:numPr>
              <w:suppressAutoHyphens/>
              <w:autoSpaceDN w:val="0"/>
              <w:spacing w:after="0" w:line="240" w:lineRule="auto"/>
              <w:jc w:val="left"/>
              <w:textAlignment w:val="baseline"/>
              <w:rPr>
                <w:rFonts w:ascii="Optane" w:hAnsi="Optane"/>
                <w:sz w:val="20"/>
                <w:szCs w:val="20"/>
                <w:lang w:val="en-GB"/>
              </w:rPr>
            </w:pPr>
          </w:p>
        </w:tc>
        <w:tc>
          <w:tcPr>
            <w:tcW w:w="2558" w:type="dxa"/>
            <w:vMerge/>
            <w:tcBorders>
              <w:left w:val="single" w:sz="4" w:space="0" w:color="000000"/>
              <w:right w:val="single" w:sz="4" w:space="0" w:color="000000"/>
            </w:tcBorders>
          </w:tcPr>
          <w:p w:rsidR="000022C1" w:rsidRPr="005A080E" w:rsidRDefault="000022C1" w:rsidP="00C1633D">
            <w:pPr>
              <w:pStyle w:val="Paragraphedeliste1"/>
              <w:numPr>
                <w:ilvl w:val="0"/>
                <w:numId w:val="6"/>
              </w:numPr>
              <w:suppressAutoHyphens/>
              <w:autoSpaceDN w:val="0"/>
              <w:spacing w:after="0" w:line="240" w:lineRule="auto"/>
              <w:jc w:val="left"/>
              <w:textAlignment w:val="baseline"/>
              <w:rPr>
                <w:rFonts w:ascii="Optane" w:hAnsi="Optane"/>
                <w:lang w:val="en-GB"/>
              </w:rPr>
            </w:pPr>
          </w:p>
        </w:tc>
      </w:tr>
      <w:tr w:rsidR="000022C1" w:rsidRPr="005A080E" w:rsidTr="00C1633D">
        <w:tc>
          <w:tcPr>
            <w:tcW w:w="1177" w:type="dxa"/>
            <w:vMerge/>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C1633D">
            <w:pPr>
              <w:spacing w:after="0"/>
              <w:jc w:val="center"/>
              <w:rPr>
                <w:rFonts w:cs="Calibri"/>
                <w:b/>
                <w:bCs/>
              </w:rPr>
            </w:pPr>
          </w:p>
        </w:tc>
        <w:tc>
          <w:tcPr>
            <w:tcW w:w="26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C1633D">
            <w:pPr>
              <w:spacing w:after="0" w:line="240" w:lineRule="exact"/>
              <w:rPr>
                <w:rFonts w:cs="Calibri"/>
                <w:sz w:val="20"/>
                <w:szCs w:val="20"/>
              </w:rPr>
            </w:pP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C1633D">
            <w:pPr>
              <w:pStyle w:val="Paragraphedeliste1"/>
              <w:numPr>
                <w:ilvl w:val="0"/>
                <w:numId w:val="5"/>
              </w:numPr>
              <w:suppressAutoHyphens/>
              <w:autoSpaceDN w:val="0"/>
              <w:spacing w:after="0" w:line="240" w:lineRule="auto"/>
              <w:ind w:left="176" w:hanging="142"/>
              <w:jc w:val="left"/>
              <w:textAlignment w:val="baseline"/>
              <w:rPr>
                <w:rFonts w:ascii="Optane" w:hAnsi="Optane"/>
                <w:sz w:val="20"/>
                <w:szCs w:val="20"/>
                <w:lang w:val="en-GB"/>
              </w:rPr>
            </w:pPr>
            <w:r w:rsidRPr="00C1633D">
              <w:rPr>
                <w:rFonts w:ascii="Optane" w:hAnsi="Optane"/>
                <w:sz w:val="20"/>
                <w:szCs w:val="20"/>
                <w:lang w:val="en-GB"/>
              </w:rPr>
              <w:t>An analysis of the consequences of demographic ageing on the pension system is conducted and discussed under project auspices.</w:t>
            </w:r>
          </w:p>
        </w:tc>
        <w:tc>
          <w:tcPr>
            <w:tcW w:w="268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C1633D">
            <w:pPr>
              <w:pStyle w:val="Paragraphedeliste1"/>
              <w:numPr>
                <w:ilvl w:val="0"/>
                <w:numId w:val="6"/>
              </w:numPr>
              <w:suppressAutoHyphens/>
              <w:autoSpaceDN w:val="0"/>
              <w:spacing w:after="0" w:line="240" w:lineRule="auto"/>
              <w:jc w:val="left"/>
              <w:textAlignment w:val="baseline"/>
              <w:rPr>
                <w:rFonts w:ascii="Optane" w:hAnsi="Optane"/>
                <w:sz w:val="20"/>
                <w:szCs w:val="20"/>
                <w:lang w:val="en-GB"/>
              </w:rPr>
            </w:pPr>
          </w:p>
        </w:tc>
        <w:tc>
          <w:tcPr>
            <w:tcW w:w="2558" w:type="dxa"/>
            <w:vMerge/>
            <w:tcBorders>
              <w:left w:val="single" w:sz="4" w:space="0" w:color="000000"/>
              <w:right w:val="single" w:sz="4" w:space="0" w:color="000000"/>
            </w:tcBorders>
          </w:tcPr>
          <w:p w:rsidR="000022C1" w:rsidRPr="005A080E" w:rsidRDefault="000022C1" w:rsidP="00C1633D">
            <w:pPr>
              <w:pStyle w:val="Paragraphedeliste1"/>
              <w:numPr>
                <w:ilvl w:val="0"/>
                <w:numId w:val="6"/>
              </w:numPr>
              <w:suppressAutoHyphens/>
              <w:autoSpaceDN w:val="0"/>
              <w:spacing w:after="0" w:line="240" w:lineRule="auto"/>
              <w:jc w:val="left"/>
              <w:textAlignment w:val="baseline"/>
              <w:rPr>
                <w:rFonts w:ascii="Optane" w:hAnsi="Optane"/>
                <w:lang w:val="en-GB"/>
              </w:rPr>
            </w:pPr>
          </w:p>
        </w:tc>
      </w:tr>
      <w:tr w:rsidR="000022C1" w:rsidRPr="005A080E" w:rsidTr="00C1633D">
        <w:tc>
          <w:tcPr>
            <w:tcW w:w="1177" w:type="dxa"/>
            <w:vMerge w:val="restart"/>
            <w:tcBorders>
              <w:top w:val="single" w:sz="4" w:space="0" w:color="000000"/>
              <w:left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C1633D">
            <w:pPr>
              <w:spacing w:after="0"/>
              <w:jc w:val="center"/>
              <w:rPr>
                <w:rFonts w:cs="Calibri"/>
                <w:b/>
                <w:bCs/>
              </w:rPr>
            </w:pPr>
            <w:r w:rsidRPr="005A080E">
              <w:rPr>
                <w:rFonts w:cs="Calibri"/>
                <w:b/>
                <w:bCs/>
              </w:rPr>
              <w:t>Result</w:t>
            </w:r>
          </w:p>
        </w:tc>
        <w:tc>
          <w:tcPr>
            <w:tcW w:w="267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C1633D">
            <w:pPr>
              <w:spacing w:after="0" w:line="240" w:lineRule="exact"/>
              <w:rPr>
                <w:rFonts w:cs="Calibri"/>
                <w:sz w:val="20"/>
                <w:szCs w:val="20"/>
              </w:rPr>
            </w:pPr>
            <w:r w:rsidRPr="005A080E">
              <w:rPr>
                <w:rFonts w:cs="Calibri"/>
                <w:sz w:val="20"/>
                <w:szCs w:val="20"/>
              </w:rPr>
              <w:t>R5. Reform efforts in response to urbanization trends, in particular the harmonization/integration of the various basic social protection systems for different groups of beneficiary, the portability of social insurances and better suited assistance schemes are supported</w:t>
            </w: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C1633D">
            <w:pPr>
              <w:pStyle w:val="Paragraphedeliste1"/>
              <w:numPr>
                <w:ilvl w:val="0"/>
                <w:numId w:val="5"/>
              </w:numPr>
              <w:suppressAutoHyphens/>
              <w:autoSpaceDN w:val="0"/>
              <w:snapToGrid w:val="0"/>
              <w:spacing w:after="0" w:line="240" w:lineRule="auto"/>
              <w:ind w:left="173" w:hanging="144"/>
              <w:jc w:val="left"/>
              <w:textAlignment w:val="baseline"/>
              <w:rPr>
                <w:rFonts w:ascii="Optane" w:hAnsi="Optane"/>
                <w:sz w:val="20"/>
                <w:szCs w:val="20"/>
                <w:lang w:val="en-GB"/>
              </w:rPr>
            </w:pPr>
            <w:r w:rsidRPr="00C1633D">
              <w:rPr>
                <w:rFonts w:ascii="Optane" w:hAnsi="Optane"/>
                <w:sz w:val="20"/>
                <w:szCs w:val="20"/>
                <w:lang w:val="en-GB"/>
              </w:rPr>
              <w:t>Model provisions for totalization and vesting of pension rights across regions are developed and piloted in selected places</w:t>
            </w:r>
          </w:p>
        </w:tc>
        <w:tc>
          <w:tcPr>
            <w:tcW w:w="268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C1633D">
            <w:pPr>
              <w:pStyle w:val="Paragraphedeliste1"/>
              <w:numPr>
                <w:ilvl w:val="0"/>
                <w:numId w:val="6"/>
              </w:numPr>
              <w:suppressAutoHyphens/>
              <w:autoSpaceDN w:val="0"/>
              <w:spacing w:after="0" w:line="240" w:lineRule="auto"/>
              <w:jc w:val="left"/>
              <w:textAlignment w:val="baseline"/>
              <w:rPr>
                <w:rFonts w:ascii="Optane" w:hAnsi="Optane"/>
                <w:sz w:val="20"/>
                <w:szCs w:val="20"/>
                <w:lang w:val="en-GB"/>
              </w:rPr>
            </w:pPr>
            <w:r w:rsidRPr="00C1633D">
              <w:rPr>
                <w:rFonts w:ascii="Optane" w:hAnsi="Optane"/>
                <w:sz w:val="20"/>
                <w:szCs w:val="20"/>
                <w:lang w:val="en-GB"/>
              </w:rPr>
              <w:t>See project website</w:t>
            </w:r>
          </w:p>
        </w:tc>
        <w:tc>
          <w:tcPr>
            <w:tcW w:w="2558" w:type="dxa"/>
            <w:vMerge/>
            <w:tcBorders>
              <w:left w:val="single" w:sz="4" w:space="0" w:color="000000"/>
              <w:right w:val="single" w:sz="4" w:space="0" w:color="000000"/>
            </w:tcBorders>
          </w:tcPr>
          <w:p w:rsidR="000022C1" w:rsidRPr="005A080E" w:rsidRDefault="000022C1" w:rsidP="00C1633D">
            <w:pPr>
              <w:pStyle w:val="Paragraphedeliste1"/>
              <w:numPr>
                <w:ilvl w:val="0"/>
                <w:numId w:val="6"/>
              </w:numPr>
              <w:suppressAutoHyphens/>
              <w:autoSpaceDN w:val="0"/>
              <w:spacing w:after="0" w:line="240" w:lineRule="auto"/>
              <w:jc w:val="left"/>
              <w:textAlignment w:val="baseline"/>
              <w:rPr>
                <w:rFonts w:ascii="Optane" w:hAnsi="Optane"/>
                <w:lang w:val="en-GB"/>
              </w:rPr>
            </w:pPr>
          </w:p>
        </w:tc>
      </w:tr>
      <w:tr w:rsidR="000022C1" w:rsidRPr="005A080E" w:rsidTr="00C1633D">
        <w:tc>
          <w:tcPr>
            <w:tcW w:w="1177" w:type="dxa"/>
            <w:vMerge/>
            <w:tcBorders>
              <w:left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4F15E8">
            <w:pPr>
              <w:jc w:val="center"/>
              <w:rPr>
                <w:rFonts w:cs="Calibri"/>
                <w:b/>
                <w:bCs/>
              </w:rPr>
            </w:pPr>
          </w:p>
        </w:tc>
        <w:tc>
          <w:tcPr>
            <w:tcW w:w="267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4F15E8">
            <w:pPr>
              <w:rPr>
                <w:rFonts w:cs="Calibri"/>
              </w:rPr>
            </w:pP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Paragraphedeliste1"/>
              <w:numPr>
                <w:ilvl w:val="0"/>
                <w:numId w:val="5"/>
              </w:numPr>
              <w:suppressAutoHyphens/>
              <w:autoSpaceDN w:val="0"/>
              <w:spacing w:after="0" w:line="240" w:lineRule="auto"/>
              <w:ind w:left="176" w:hanging="142"/>
              <w:jc w:val="left"/>
              <w:textAlignment w:val="baseline"/>
              <w:rPr>
                <w:rFonts w:ascii="Optane" w:hAnsi="Optane"/>
                <w:sz w:val="20"/>
                <w:szCs w:val="20"/>
                <w:lang w:val="en-GB"/>
              </w:rPr>
            </w:pPr>
            <w:r w:rsidRPr="00C1633D">
              <w:rPr>
                <w:rFonts w:ascii="Optane" w:hAnsi="Optane"/>
                <w:sz w:val="20"/>
                <w:szCs w:val="20"/>
                <w:lang w:val="en-GB"/>
              </w:rPr>
              <w:t>An analysis of the interrelation between social and economic development and the suitability and sustainability of pension schemes is developed, and used for macro projections to support systemic reform proposals.</w:t>
            </w:r>
          </w:p>
        </w:tc>
        <w:tc>
          <w:tcPr>
            <w:tcW w:w="268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Paragraphedeliste1"/>
              <w:numPr>
                <w:ilvl w:val="0"/>
                <w:numId w:val="6"/>
              </w:numPr>
              <w:suppressAutoHyphens/>
              <w:autoSpaceDN w:val="0"/>
              <w:spacing w:after="0" w:line="240" w:lineRule="auto"/>
              <w:jc w:val="left"/>
              <w:textAlignment w:val="baseline"/>
              <w:rPr>
                <w:rFonts w:ascii="Optane" w:hAnsi="Optane"/>
                <w:sz w:val="20"/>
                <w:szCs w:val="20"/>
                <w:lang w:val="en-GB"/>
              </w:rPr>
            </w:pPr>
          </w:p>
        </w:tc>
        <w:tc>
          <w:tcPr>
            <w:tcW w:w="2558" w:type="dxa"/>
            <w:vMerge/>
            <w:tcBorders>
              <w:left w:val="single" w:sz="4" w:space="0" w:color="000000"/>
              <w:right w:val="single" w:sz="4" w:space="0" w:color="000000"/>
            </w:tcBorders>
          </w:tcPr>
          <w:p w:rsidR="000022C1" w:rsidRPr="005A080E" w:rsidRDefault="000022C1" w:rsidP="000022C1">
            <w:pPr>
              <w:pStyle w:val="Paragraphedeliste1"/>
              <w:numPr>
                <w:ilvl w:val="0"/>
                <w:numId w:val="6"/>
              </w:numPr>
              <w:suppressAutoHyphens/>
              <w:autoSpaceDN w:val="0"/>
              <w:spacing w:after="0" w:line="240" w:lineRule="auto"/>
              <w:jc w:val="left"/>
              <w:textAlignment w:val="baseline"/>
              <w:rPr>
                <w:rFonts w:ascii="Optane" w:hAnsi="Optane"/>
                <w:lang w:val="en-GB"/>
              </w:rPr>
            </w:pPr>
          </w:p>
        </w:tc>
      </w:tr>
      <w:tr w:rsidR="000022C1" w:rsidRPr="005A080E" w:rsidTr="004F15E8">
        <w:trPr>
          <w:trHeight w:val="740"/>
        </w:trPr>
        <w:tc>
          <w:tcPr>
            <w:tcW w:w="1177" w:type="dxa"/>
            <w:vMerge/>
            <w:tcBorders>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0022C1" w:rsidRPr="005A080E" w:rsidRDefault="000022C1" w:rsidP="004F15E8">
            <w:pPr>
              <w:jc w:val="center"/>
              <w:rPr>
                <w:rFonts w:cs="Calibri"/>
                <w:b/>
                <w:bCs/>
              </w:rPr>
            </w:pPr>
          </w:p>
        </w:tc>
        <w:tc>
          <w:tcPr>
            <w:tcW w:w="267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5A080E" w:rsidRDefault="000022C1" w:rsidP="004F15E8">
            <w:pPr>
              <w:rPr>
                <w:rFonts w:cs="Calibri"/>
              </w:rPr>
            </w:pPr>
          </w:p>
        </w:tc>
        <w:tc>
          <w:tcPr>
            <w:tcW w:w="4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Default"/>
              <w:widowControl/>
              <w:numPr>
                <w:ilvl w:val="0"/>
                <w:numId w:val="6"/>
              </w:numPr>
              <w:rPr>
                <w:rFonts w:ascii="Optane" w:hAnsi="Optane" w:cs="Calibri"/>
                <w:sz w:val="20"/>
                <w:szCs w:val="20"/>
                <w:lang w:val="en-GB"/>
              </w:rPr>
            </w:pPr>
            <w:r w:rsidRPr="00C1633D">
              <w:rPr>
                <w:rFonts w:ascii="Optane" w:hAnsi="Optane" w:cs="Calibri"/>
                <w:sz w:val="20"/>
                <w:szCs w:val="20"/>
              </w:rPr>
              <w:t xml:space="preserve">Proposals for bilateral Europe- China cooperation at the decentralized level are developed and start being implemented in response to the growing urbanization trend and labor mobility across the country </w:t>
            </w:r>
          </w:p>
        </w:tc>
        <w:tc>
          <w:tcPr>
            <w:tcW w:w="2683"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22C1" w:rsidRPr="00C1633D" w:rsidRDefault="000022C1" w:rsidP="000022C1">
            <w:pPr>
              <w:pStyle w:val="Default"/>
              <w:widowControl/>
              <w:numPr>
                <w:ilvl w:val="0"/>
                <w:numId w:val="6"/>
              </w:numPr>
              <w:rPr>
                <w:rFonts w:ascii="Optane" w:hAnsi="Optane" w:cs="Calibri"/>
                <w:sz w:val="20"/>
                <w:szCs w:val="20"/>
                <w:lang w:val="en-GB"/>
              </w:rPr>
            </w:pPr>
            <w:r w:rsidRPr="00C1633D">
              <w:rPr>
                <w:rFonts w:ascii="Optane" w:hAnsi="Optane" w:cs="Calibri"/>
                <w:sz w:val="20"/>
                <w:szCs w:val="20"/>
              </w:rPr>
              <w:t xml:space="preserve">Project documentation, reports from Provincial authorities </w:t>
            </w:r>
          </w:p>
        </w:tc>
        <w:tc>
          <w:tcPr>
            <w:tcW w:w="2558" w:type="dxa"/>
            <w:vMerge/>
            <w:tcBorders>
              <w:left w:val="single" w:sz="4" w:space="0" w:color="000000"/>
              <w:bottom w:val="single" w:sz="4" w:space="0" w:color="000000"/>
              <w:right w:val="single" w:sz="4" w:space="0" w:color="000000"/>
            </w:tcBorders>
          </w:tcPr>
          <w:p w:rsidR="000022C1" w:rsidRPr="005A080E" w:rsidRDefault="000022C1" w:rsidP="000022C1">
            <w:pPr>
              <w:pStyle w:val="Paragraphedeliste1"/>
              <w:numPr>
                <w:ilvl w:val="0"/>
                <w:numId w:val="6"/>
              </w:numPr>
              <w:suppressAutoHyphens/>
              <w:autoSpaceDN w:val="0"/>
              <w:spacing w:after="0" w:line="240" w:lineRule="auto"/>
              <w:jc w:val="left"/>
              <w:textAlignment w:val="baseline"/>
              <w:rPr>
                <w:rFonts w:ascii="Optane" w:hAnsi="Optane"/>
                <w:lang w:val="en-GB"/>
              </w:rPr>
            </w:pPr>
          </w:p>
        </w:tc>
      </w:tr>
    </w:tbl>
    <w:p w:rsidR="000022C1" w:rsidRDefault="000022C1">
      <w:pPr>
        <w:rPr>
          <w:lang w:val="en-GB"/>
        </w:rPr>
      </w:pPr>
    </w:p>
    <w:p w:rsidR="000022C1" w:rsidRDefault="000022C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5"/>
        <w:gridCol w:w="3827"/>
        <w:gridCol w:w="3402"/>
        <w:gridCol w:w="2977"/>
      </w:tblGrid>
      <w:tr w:rsidR="000022C1" w:rsidRPr="006E3673" w:rsidTr="004F15E8">
        <w:trPr>
          <w:trHeight w:val="540"/>
        </w:trPr>
        <w:tc>
          <w:tcPr>
            <w:tcW w:w="1526" w:type="dxa"/>
            <w:tcBorders>
              <w:top w:val="nil"/>
              <w:left w:val="nil"/>
              <w:bottom w:val="single" w:sz="4" w:space="0" w:color="auto"/>
              <w:right w:val="single" w:sz="4" w:space="0" w:color="auto"/>
            </w:tcBorders>
            <w:shd w:val="clear" w:color="auto" w:fill="auto"/>
          </w:tcPr>
          <w:p w:rsidR="000022C1" w:rsidRDefault="000022C1" w:rsidP="004F15E8">
            <w:pPr>
              <w:spacing w:after="0"/>
              <w:rPr>
                <w:sz w:val="20"/>
                <w:szCs w:val="20"/>
                <w:lang w:val="en-GB"/>
              </w:rPr>
            </w:pPr>
          </w:p>
          <w:p w:rsidR="000022C1" w:rsidRPr="006E3673" w:rsidRDefault="000022C1" w:rsidP="004F15E8">
            <w:pPr>
              <w:spacing w:after="0"/>
              <w:rPr>
                <w:sz w:val="20"/>
                <w:szCs w:val="20"/>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DEEAF6"/>
            <w:vAlign w:val="center"/>
          </w:tcPr>
          <w:p w:rsidR="000022C1" w:rsidRPr="006E3673" w:rsidRDefault="000022C1" w:rsidP="004F15E8">
            <w:pPr>
              <w:spacing w:after="0"/>
              <w:jc w:val="center"/>
              <w:rPr>
                <w:b/>
                <w:sz w:val="20"/>
                <w:szCs w:val="20"/>
                <w:lang w:val="en-GB"/>
              </w:rPr>
            </w:pPr>
            <w:r w:rsidRPr="006E3673">
              <w:rPr>
                <w:b/>
                <w:sz w:val="20"/>
                <w:szCs w:val="20"/>
                <w:lang w:val="en-GB"/>
              </w:rPr>
              <w:t>INTERVENTION LOGIC</w:t>
            </w:r>
          </w:p>
        </w:tc>
        <w:tc>
          <w:tcPr>
            <w:tcW w:w="3827" w:type="dxa"/>
            <w:tcBorders>
              <w:left w:val="single" w:sz="4" w:space="0" w:color="auto"/>
            </w:tcBorders>
            <w:shd w:val="clear" w:color="auto" w:fill="DEEAF6"/>
            <w:vAlign w:val="center"/>
          </w:tcPr>
          <w:p w:rsidR="000022C1" w:rsidRPr="006E3673" w:rsidRDefault="000022C1" w:rsidP="004F15E8">
            <w:pPr>
              <w:spacing w:after="0"/>
              <w:jc w:val="center"/>
              <w:rPr>
                <w:b/>
                <w:sz w:val="20"/>
                <w:szCs w:val="20"/>
                <w:lang w:val="en-GB"/>
              </w:rPr>
            </w:pPr>
            <w:r w:rsidRPr="006E3673">
              <w:rPr>
                <w:b/>
                <w:sz w:val="20"/>
                <w:szCs w:val="20"/>
                <w:lang w:val="en-GB"/>
              </w:rPr>
              <w:t>OBJECTIVELY VERIFIABLE INDICATORS</w:t>
            </w:r>
          </w:p>
        </w:tc>
        <w:tc>
          <w:tcPr>
            <w:tcW w:w="3402" w:type="dxa"/>
            <w:shd w:val="clear" w:color="auto" w:fill="DEEAF6"/>
            <w:vAlign w:val="center"/>
          </w:tcPr>
          <w:p w:rsidR="000022C1" w:rsidRPr="006E3673" w:rsidRDefault="000022C1" w:rsidP="004F15E8">
            <w:pPr>
              <w:spacing w:after="0"/>
              <w:jc w:val="center"/>
              <w:rPr>
                <w:b/>
                <w:sz w:val="20"/>
                <w:szCs w:val="20"/>
                <w:lang w:val="en-GB"/>
              </w:rPr>
            </w:pPr>
            <w:r w:rsidRPr="006E3673">
              <w:rPr>
                <w:b/>
                <w:sz w:val="20"/>
                <w:szCs w:val="20"/>
                <w:lang w:val="en-GB"/>
              </w:rPr>
              <w:t>SOURCES AND MEANS OF VERIFICATION</w:t>
            </w:r>
          </w:p>
        </w:tc>
        <w:tc>
          <w:tcPr>
            <w:tcW w:w="2977" w:type="dxa"/>
            <w:shd w:val="clear" w:color="auto" w:fill="DEEAF6"/>
            <w:vAlign w:val="center"/>
          </w:tcPr>
          <w:p w:rsidR="000022C1" w:rsidRPr="006E3673" w:rsidRDefault="000022C1" w:rsidP="004F15E8">
            <w:pPr>
              <w:spacing w:after="0"/>
              <w:jc w:val="center"/>
              <w:rPr>
                <w:b/>
                <w:sz w:val="20"/>
                <w:szCs w:val="20"/>
                <w:lang w:val="en-GB"/>
              </w:rPr>
            </w:pPr>
            <w:r w:rsidRPr="006E3673">
              <w:rPr>
                <w:b/>
                <w:sz w:val="20"/>
                <w:szCs w:val="20"/>
                <w:lang w:val="en-GB"/>
              </w:rPr>
              <w:t>ASSUMPTIONS</w:t>
            </w:r>
          </w:p>
        </w:tc>
      </w:tr>
      <w:tr w:rsidR="000022C1" w:rsidRPr="006E3673" w:rsidTr="004F15E8">
        <w:trPr>
          <w:trHeight w:val="6273"/>
        </w:trPr>
        <w:tc>
          <w:tcPr>
            <w:tcW w:w="1526" w:type="dxa"/>
            <w:vMerge w:val="restart"/>
            <w:shd w:val="clear" w:color="auto" w:fill="DEEAF6"/>
            <w:vAlign w:val="center"/>
          </w:tcPr>
          <w:p w:rsidR="000022C1" w:rsidRPr="006E3673" w:rsidRDefault="000022C1" w:rsidP="004F15E8">
            <w:pPr>
              <w:jc w:val="center"/>
              <w:rPr>
                <w:b/>
                <w:sz w:val="20"/>
                <w:szCs w:val="20"/>
                <w:lang w:val="en-GB"/>
              </w:rPr>
            </w:pPr>
            <w:r w:rsidRPr="006E3673">
              <w:rPr>
                <w:b/>
                <w:sz w:val="20"/>
                <w:szCs w:val="20"/>
                <w:lang w:val="en-GB"/>
              </w:rPr>
              <w:t>Results</w:t>
            </w:r>
          </w:p>
        </w:tc>
        <w:tc>
          <w:tcPr>
            <w:tcW w:w="2835" w:type="dxa"/>
            <w:vAlign w:val="center"/>
          </w:tcPr>
          <w:p w:rsidR="000022C1" w:rsidRPr="006E3673" w:rsidRDefault="000022C1" w:rsidP="004F15E8">
            <w:pPr>
              <w:spacing w:after="0"/>
              <w:rPr>
                <w:sz w:val="20"/>
                <w:szCs w:val="20"/>
                <w:u w:val="single"/>
                <w:lang w:val="en-GB"/>
              </w:rPr>
            </w:pPr>
            <w:r w:rsidRPr="006E3673">
              <w:rPr>
                <w:b/>
                <w:sz w:val="20"/>
                <w:szCs w:val="20"/>
                <w:lang w:val="en-GB"/>
              </w:rPr>
              <w:t xml:space="preserve">R6 </w:t>
            </w:r>
            <w:r w:rsidRPr="006E3673">
              <w:rPr>
                <w:sz w:val="20"/>
                <w:szCs w:val="20"/>
                <w:lang w:val="en-GB"/>
              </w:rPr>
              <w:t>The capacity of MoF financial management and supervision of central and local model of social security system and the extension of social security system coverage are enhanced, in particular in the fields of division of expenditure responsibilities, mid -terms budgeting of fund, and performance assessment model.</w:t>
            </w:r>
          </w:p>
        </w:tc>
        <w:tc>
          <w:tcPr>
            <w:tcW w:w="3827" w:type="dxa"/>
            <w:vAlign w:val="center"/>
          </w:tcPr>
          <w:p w:rsidR="000022C1" w:rsidRPr="006E3673" w:rsidRDefault="000022C1" w:rsidP="000022C1">
            <w:pPr>
              <w:pStyle w:val="ColorfulList-Accent11"/>
              <w:numPr>
                <w:ilvl w:val="0"/>
                <w:numId w:val="5"/>
              </w:numPr>
              <w:suppressAutoHyphens/>
              <w:autoSpaceDN w:val="0"/>
              <w:spacing w:after="0"/>
              <w:ind w:left="176" w:hanging="142"/>
              <w:textAlignment w:val="baseline"/>
              <w:rPr>
                <w:sz w:val="20"/>
                <w:szCs w:val="20"/>
                <w:lang w:val="en-GB"/>
              </w:rPr>
            </w:pPr>
            <w:r w:rsidRPr="006E3673">
              <w:rPr>
                <w:sz w:val="20"/>
                <w:szCs w:val="20"/>
                <w:lang w:val="en-GB"/>
              </w:rPr>
              <w:t xml:space="preserve">A comprehensive policy proposal on division of decision power and expenditure responsibilities between central and local government is developed under project auspices </w:t>
            </w:r>
          </w:p>
          <w:p w:rsidR="000022C1" w:rsidRPr="006E3673" w:rsidRDefault="000022C1" w:rsidP="000022C1">
            <w:pPr>
              <w:pStyle w:val="ColorfulList-Accent11"/>
              <w:numPr>
                <w:ilvl w:val="0"/>
                <w:numId w:val="5"/>
              </w:numPr>
              <w:suppressAutoHyphens/>
              <w:autoSpaceDN w:val="0"/>
              <w:spacing w:after="0"/>
              <w:ind w:left="176" w:hanging="142"/>
              <w:textAlignment w:val="baseline"/>
              <w:rPr>
                <w:sz w:val="20"/>
                <w:szCs w:val="20"/>
                <w:lang w:val="en-GB"/>
              </w:rPr>
            </w:pPr>
            <w:r w:rsidRPr="006E3673">
              <w:rPr>
                <w:sz w:val="20"/>
                <w:szCs w:val="20"/>
                <w:lang w:val="en-GB"/>
              </w:rPr>
              <w:t xml:space="preserve">Methodologies and tools for managing social protection expenditure, financial resources, and strategies to extend the social insurance coverage are elaborated under the project auspices </w:t>
            </w:r>
          </w:p>
          <w:p w:rsidR="000022C1" w:rsidRPr="006E3673" w:rsidRDefault="000022C1" w:rsidP="000022C1">
            <w:pPr>
              <w:pStyle w:val="ColorfulList-Accent11"/>
              <w:numPr>
                <w:ilvl w:val="0"/>
                <w:numId w:val="5"/>
              </w:numPr>
              <w:suppressAutoHyphens/>
              <w:autoSpaceDN w:val="0"/>
              <w:spacing w:after="0"/>
              <w:ind w:left="176" w:hanging="142"/>
              <w:textAlignment w:val="baseline"/>
              <w:rPr>
                <w:sz w:val="20"/>
                <w:szCs w:val="20"/>
                <w:lang w:val="en-GB"/>
              </w:rPr>
            </w:pPr>
            <w:r w:rsidRPr="006E3673">
              <w:rPr>
                <w:sz w:val="20"/>
                <w:szCs w:val="20"/>
                <w:lang w:val="en-GB"/>
              </w:rPr>
              <w:t>A comprehensive policy proposal for the promotion of a coordinated management of the social assistance system is developed under project auspices.</w:t>
            </w:r>
          </w:p>
          <w:p w:rsidR="000022C1" w:rsidRPr="006E3673" w:rsidRDefault="000022C1" w:rsidP="000022C1">
            <w:pPr>
              <w:pStyle w:val="ColorfulList-Accent11"/>
              <w:numPr>
                <w:ilvl w:val="0"/>
                <w:numId w:val="5"/>
              </w:numPr>
              <w:suppressAutoHyphens/>
              <w:autoSpaceDN w:val="0"/>
              <w:spacing w:after="0"/>
              <w:ind w:left="176" w:hanging="142"/>
              <w:textAlignment w:val="baseline"/>
              <w:rPr>
                <w:sz w:val="20"/>
                <w:szCs w:val="20"/>
                <w:lang w:val="en-GB"/>
              </w:rPr>
            </w:pPr>
            <w:r w:rsidRPr="006E3673">
              <w:rPr>
                <w:sz w:val="20"/>
                <w:szCs w:val="20"/>
                <w:lang w:val="en-GB"/>
              </w:rPr>
              <w:t xml:space="preserve">A set of social security performance indicators is developed, tested and discussed with interested stakeholders </w:t>
            </w:r>
          </w:p>
          <w:p w:rsidR="000022C1" w:rsidRPr="006E3673" w:rsidRDefault="000022C1" w:rsidP="000022C1">
            <w:pPr>
              <w:pStyle w:val="ColorfulList-Accent11"/>
              <w:numPr>
                <w:ilvl w:val="0"/>
                <w:numId w:val="5"/>
              </w:numPr>
              <w:suppressAutoHyphens/>
              <w:autoSpaceDN w:val="0"/>
              <w:spacing w:after="0"/>
              <w:ind w:left="176" w:hanging="142"/>
              <w:textAlignment w:val="baseline"/>
              <w:rPr>
                <w:sz w:val="20"/>
                <w:szCs w:val="20"/>
                <w:lang w:val="en-GB"/>
              </w:rPr>
            </w:pPr>
            <w:r w:rsidRPr="006E3673">
              <w:rPr>
                <w:sz w:val="20"/>
                <w:szCs w:val="20"/>
                <w:lang w:val="en-GB"/>
              </w:rPr>
              <w:t>An analysis on the development of old age services and the suitability and sustainability of a Long Term Care Insurance scheme is developed, and used to support reform proposals.</w:t>
            </w:r>
          </w:p>
        </w:tc>
        <w:tc>
          <w:tcPr>
            <w:tcW w:w="3402" w:type="dxa"/>
            <w:vMerge w:val="restart"/>
            <w:vAlign w:val="center"/>
          </w:tcPr>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PAC meeting minutes;</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Approval surveys at the end of the Training / Study Visit in China and in Europe;</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Minutes and reports of the Workshops /Panel Discussion/ in China;</w:t>
            </w:r>
          </w:p>
          <w:p w:rsidR="000022C1"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Project Website Documentation on C2</w:t>
            </w:r>
          </w:p>
          <w:p w:rsidR="000022C1" w:rsidRPr="000022C1" w:rsidRDefault="000022C1" w:rsidP="004F15E8">
            <w:pPr>
              <w:pStyle w:val="ColorfulList-Accent11"/>
              <w:suppressAutoHyphens/>
              <w:autoSpaceDN w:val="0"/>
              <w:spacing w:after="0"/>
              <w:ind w:left="0"/>
              <w:textAlignment w:val="baseline"/>
              <w:rPr>
                <w:sz w:val="20"/>
                <w:szCs w:val="20"/>
                <w:lang w:val="en-GB"/>
              </w:rPr>
            </w:pPr>
            <w:r>
              <w:rPr>
                <w:sz w:val="20"/>
                <w:szCs w:val="20"/>
                <w:highlight w:val="yellow"/>
                <w:lang w:val="en-GB"/>
              </w:rPr>
              <w:t>-</w:t>
            </w:r>
            <w:r w:rsidRPr="000022C1">
              <w:rPr>
                <w:sz w:val="20"/>
                <w:szCs w:val="20"/>
                <w:lang w:val="en-GB"/>
              </w:rPr>
              <w:t xml:space="preserve"> Project contributed by submitting preliminary policy proposals report to MoF (2016)</w:t>
            </w:r>
          </w:p>
          <w:p w:rsidR="000022C1" w:rsidRPr="000022C1" w:rsidRDefault="000022C1" w:rsidP="000022C1">
            <w:pPr>
              <w:pStyle w:val="Default"/>
              <w:widowControl/>
              <w:numPr>
                <w:ilvl w:val="0"/>
                <w:numId w:val="6"/>
              </w:numPr>
              <w:rPr>
                <w:rFonts w:ascii="Optane" w:hAnsi="Optane" w:cs="Calibri"/>
                <w:sz w:val="21"/>
                <w:szCs w:val="21"/>
              </w:rPr>
            </w:pPr>
            <w:r w:rsidRPr="000022C1">
              <w:rPr>
                <w:rFonts w:ascii="Optane" w:hAnsi="Optane" w:cs="Calibri"/>
                <w:sz w:val="21"/>
                <w:szCs w:val="21"/>
              </w:rPr>
              <w:t xml:space="preserve">Project scientific reports </w:t>
            </w:r>
          </w:p>
          <w:p w:rsidR="000022C1" w:rsidRPr="00C66431" w:rsidRDefault="000022C1" w:rsidP="004F15E8">
            <w:pPr>
              <w:pStyle w:val="ColorfulList-Accent11"/>
              <w:suppressAutoHyphens/>
              <w:autoSpaceDN w:val="0"/>
              <w:spacing w:after="0"/>
              <w:ind w:left="0"/>
              <w:textAlignment w:val="baseline"/>
              <w:rPr>
                <w:sz w:val="20"/>
                <w:szCs w:val="20"/>
                <w:lang w:val="en-GB"/>
              </w:rPr>
            </w:pPr>
          </w:p>
        </w:tc>
        <w:tc>
          <w:tcPr>
            <w:tcW w:w="2977" w:type="dxa"/>
            <w:vMerge w:val="restart"/>
            <w:vAlign w:val="center"/>
          </w:tcPr>
          <w:p w:rsidR="000022C1" w:rsidRPr="006E3673" w:rsidRDefault="000022C1" w:rsidP="000022C1">
            <w:pPr>
              <w:pStyle w:val="ColorfulList-Accent11"/>
              <w:numPr>
                <w:ilvl w:val="0"/>
                <w:numId w:val="5"/>
              </w:numPr>
              <w:spacing w:after="0"/>
              <w:contextualSpacing/>
              <w:rPr>
                <w:sz w:val="20"/>
                <w:szCs w:val="20"/>
                <w:lang w:val="en-GB"/>
              </w:rPr>
            </w:pPr>
            <w:r w:rsidRPr="006E3673">
              <w:rPr>
                <w:sz w:val="20"/>
                <w:szCs w:val="20"/>
                <w:lang w:val="en-GB"/>
              </w:rPr>
              <w:t>MoF and other Component 2 stakeholders remain fully committed to share the experience, the Best Practices and the proposals suggested by the Consortium;</w:t>
            </w:r>
          </w:p>
          <w:p w:rsidR="000022C1" w:rsidRPr="006E3673" w:rsidRDefault="000022C1" w:rsidP="000022C1">
            <w:pPr>
              <w:pStyle w:val="ColorfulList-Accent11"/>
              <w:numPr>
                <w:ilvl w:val="0"/>
                <w:numId w:val="5"/>
              </w:numPr>
              <w:spacing w:after="0"/>
              <w:contextualSpacing/>
              <w:rPr>
                <w:sz w:val="20"/>
                <w:szCs w:val="20"/>
                <w:lang w:val="en-GB"/>
              </w:rPr>
            </w:pPr>
            <w:r w:rsidRPr="006E3673">
              <w:rPr>
                <w:sz w:val="20"/>
                <w:szCs w:val="20"/>
                <w:lang w:val="en-GB"/>
              </w:rPr>
              <w:t>MoF, Component 2 Chinese Expert, and other Component 2 stakeholder ensure their availability for operational meeting, interviews etc., according to the plan shared in order to contribute actively to the project;</w:t>
            </w:r>
          </w:p>
          <w:p w:rsidR="000022C1" w:rsidRPr="006E3673" w:rsidRDefault="000022C1" w:rsidP="000022C1">
            <w:pPr>
              <w:pStyle w:val="ColorfulList-Accent11"/>
              <w:numPr>
                <w:ilvl w:val="0"/>
                <w:numId w:val="3"/>
              </w:numPr>
              <w:spacing w:after="0"/>
              <w:contextualSpacing/>
              <w:rPr>
                <w:sz w:val="20"/>
                <w:szCs w:val="20"/>
                <w:lang w:val="en-GB"/>
              </w:rPr>
            </w:pPr>
            <w:r w:rsidRPr="006E3673">
              <w:rPr>
                <w:sz w:val="20"/>
                <w:szCs w:val="20"/>
                <w:lang w:val="en-GB"/>
              </w:rPr>
              <w:t>The EU and Chinese institutions remain interested in long-term cooperation/partnership.</w:t>
            </w:r>
          </w:p>
        </w:tc>
      </w:tr>
      <w:tr w:rsidR="000022C1" w:rsidRPr="006E3673" w:rsidTr="004F15E8">
        <w:trPr>
          <w:trHeight w:val="2041"/>
        </w:trPr>
        <w:tc>
          <w:tcPr>
            <w:tcW w:w="1526" w:type="dxa"/>
            <w:vMerge/>
            <w:shd w:val="clear" w:color="auto" w:fill="DEEAF6"/>
          </w:tcPr>
          <w:p w:rsidR="000022C1" w:rsidRPr="006E3673" w:rsidRDefault="000022C1" w:rsidP="004F15E8">
            <w:pPr>
              <w:rPr>
                <w:b/>
                <w:sz w:val="20"/>
                <w:szCs w:val="20"/>
                <w:lang w:val="en-GB"/>
              </w:rPr>
            </w:pPr>
          </w:p>
        </w:tc>
        <w:tc>
          <w:tcPr>
            <w:tcW w:w="2835" w:type="dxa"/>
            <w:vAlign w:val="center"/>
          </w:tcPr>
          <w:p w:rsidR="000022C1" w:rsidRPr="006E3673" w:rsidRDefault="000022C1" w:rsidP="004F15E8">
            <w:pPr>
              <w:rPr>
                <w:sz w:val="20"/>
                <w:szCs w:val="20"/>
                <w:lang w:val="en-GB"/>
              </w:rPr>
            </w:pPr>
            <w:r w:rsidRPr="006E3673">
              <w:rPr>
                <w:b/>
                <w:sz w:val="20"/>
                <w:szCs w:val="20"/>
                <w:lang w:val="en-GB"/>
              </w:rPr>
              <w:t>R7</w:t>
            </w:r>
            <w:r w:rsidRPr="006E3673">
              <w:rPr>
                <w:sz w:val="20"/>
                <w:szCs w:val="20"/>
                <w:lang w:val="en-GB"/>
              </w:rPr>
              <w:t xml:space="preserve"> Enhance the top level design ability in the basic pension insurance; establish actuarial analysis models for basic pension insurance reform.</w:t>
            </w:r>
          </w:p>
        </w:tc>
        <w:tc>
          <w:tcPr>
            <w:tcW w:w="3827" w:type="dxa"/>
            <w:vAlign w:val="center"/>
          </w:tcPr>
          <w:p w:rsidR="000022C1" w:rsidRPr="006E3673" w:rsidRDefault="000022C1" w:rsidP="000022C1">
            <w:pPr>
              <w:pStyle w:val="ColorfulList-Accent11"/>
              <w:numPr>
                <w:ilvl w:val="0"/>
                <w:numId w:val="5"/>
              </w:numPr>
              <w:suppressAutoHyphens/>
              <w:autoSpaceDN w:val="0"/>
              <w:spacing w:after="0"/>
              <w:ind w:left="176" w:hanging="142"/>
              <w:textAlignment w:val="baseline"/>
              <w:rPr>
                <w:sz w:val="20"/>
                <w:szCs w:val="20"/>
                <w:lang w:val="en-GB"/>
              </w:rPr>
            </w:pPr>
            <w:r w:rsidRPr="006E3673">
              <w:rPr>
                <w:sz w:val="20"/>
                <w:szCs w:val="20"/>
                <w:lang w:val="en-GB"/>
              </w:rPr>
              <w:t>A comprehensive reform proposal for the establishment of a multi-pillar pension system is proposed under project auspices and debated with interested stakeholders for future implementation;</w:t>
            </w:r>
          </w:p>
          <w:p w:rsidR="000022C1" w:rsidRPr="006E3673" w:rsidRDefault="000022C1" w:rsidP="000022C1">
            <w:pPr>
              <w:pStyle w:val="ColorfulList-Accent11"/>
              <w:numPr>
                <w:ilvl w:val="0"/>
                <w:numId w:val="5"/>
              </w:numPr>
              <w:suppressAutoHyphens/>
              <w:autoSpaceDN w:val="0"/>
              <w:spacing w:after="0"/>
              <w:ind w:left="176" w:hanging="142"/>
              <w:textAlignment w:val="baseline"/>
              <w:rPr>
                <w:sz w:val="20"/>
                <w:szCs w:val="20"/>
                <w:lang w:val="en-GB"/>
              </w:rPr>
            </w:pPr>
            <w:r w:rsidRPr="006E3673">
              <w:rPr>
                <w:sz w:val="20"/>
                <w:szCs w:val="20"/>
                <w:lang w:val="en-GB"/>
              </w:rPr>
              <w:t>A set of methodologies to assess the economic sustainability and adequacy of the Chinese pension system are proposed to MoF under the project auspices and debated for future policy development</w:t>
            </w:r>
          </w:p>
          <w:p w:rsidR="000022C1" w:rsidRPr="006E3673" w:rsidRDefault="000022C1" w:rsidP="000022C1">
            <w:pPr>
              <w:pStyle w:val="ColorfulList-Accent11"/>
              <w:numPr>
                <w:ilvl w:val="0"/>
                <w:numId w:val="3"/>
              </w:numPr>
              <w:spacing w:after="0"/>
              <w:ind w:left="175" w:hanging="142"/>
              <w:contextualSpacing/>
              <w:rPr>
                <w:sz w:val="20"/>
                <w:szCs w:val="20"/>
                <w:lang w:val="en-GB"/>
              </w:rPr>
            </w:pPr>
            <w:r w:rsidRPr="006E3673">
              <w:rPr>
                <w:sz w:val="20"/>
                <w:szCs w:val="20"/>
                <w:lang w:val="en-GB"/>
              </w:rPr>
              <w:t>Actuarial models are analysed and disseminated under project auspices.</w:t>
            </w:r>
          </w:p>
        </w:tc>
        <w:tc>
          <w:tcPr>
            <w:tcW w:w="3402" w:type="dxa"/>
            <w:vMerge/>
            <w:vAlign w:val="center"/>
          </w:tcPr>
          <w:p w:rsidR="000022C1" w:rsidRPr="006E3673" w:rsidRDefault="000022C1" w:rsidP="000022C1">
            <w:pPr>
              <w:pStyle w:val="ColorfulList-Accent11"/>
              <w:numPr>
                <w:ilvl w:val="0"/>
                <w:numId w:val="4"/>
              </w:numPr>
              <w:suppressAutoHyphens/>
              <w:autoSpaceDN w:val="0"/>
              <w:spacing w:after="0" w:line="240" w:lineRule="auto"/>
              <w:ind w:left="166" w:hanging="166"/>
              <w:textAlignment w:val="baseline"/>
              <w:rPr>
                <w:sz w:val="20"/>
                <w:szCs w:val="20"/>
                <w:lang w:val="en-GB"/>
              </w:rPr>
            </w:pPr>
          </w:p>
        </w:tc>
        <w:tc>
          <w:tcPr>
            <w:tcW w:w="2977" w:type="dxa"/>
            <w:vMerge/>
          </w:tcPr>
          <w:p w:rsidR="000022C1" w:rsidRPr="006E3673" w:rsidRDefault="000022C1" w:rsidP="000022C1">
            <w:pPr>
              <w:pStyle w:val="ColorfulList-Accent11"/>
              <w:numPr>
                <w:ilvl w:val="0"/>
                <w:numId w:val="7"/>
              </w:numPr>
              <w:spacing w:after="0" w:line="240" w:lineRule="auto"/>
              <w:contextualSpacing/>
              <w:rPr>
                <w:sz w:val="20"/>
                <w:szCs w:val="20"/>
                <w:lang w:val="en-GB"/>
              </w:rPr>
            </w:pPr>
          </w:p>
        </w:tc>
      </w:tr>
      <w:tr w:rsidR="000022C1" w:rsidRPr="006E3673" w:rsidTr="004F15E8">
        <w:trPr>
          <w:trHeight w:val="2307"/>
        </w:trPr>
        <w:tc>
          <w:tcPr>
            <w:tcW w:w="1526" w:type="dxa"/>
            <w:vMerge/>
            <w:shd w:val="clear" w:color="auto" w:fill="DEEAF6"/>
          </w:tcPr>
          <w:p w:rsidR="000022C1" w:rsidRPr="006E3673" w:rsidRDefault="000022C1" w:rsidP="004F15E8">
            <w:pPr>
              <w:rPr>
                <w:b/>
                <w:sz w:val="20"/>
                <w:szCs w:val="20"/>
                <w:lang w:val="en-GB"/>
              </w:rPr>
            </w:pPr>
          </w:p>
        </w:tc>
        <w:tc>
          <w:tcPr>
            <w:tcW w:w="2835" w:type="dxa"/>
            <w:vAlign w:val="center"/>
          </w:tcPr>
          <w:p w:rsidR="000022C1" w:rsidRPr="006E3673" w:rsidRDefault="000022C1" w:rsidP="004F15E8">
            <w:pPr>
              <w:spacing w:after="0"/>
              <w:rPr>
                <w:sz w:val="20"/>
                <w:szCs w:val="20"/>
                <w:lang w:val="en-GB"/>
              </w:rPr>
            </w:pPr>
            <w:r w:rsidRPr="006E3673">
              <w:rPr>
                <w:b/>
                <w:sz w:val="20"/>
                <w:szCs w:val="20"/>
                <w:lang w:val="en-GB"/>
              </w:rPr>
              <w:t xml:space="preserve">R8 </w:t>
            </w:r>
            <w:r w:rsidRPr="006E3673">
              <w:rPr>
                <w:sz w:val="20"/>
                <w:szCs w:val="20"/>
                <w:lang w:val="en-GB"/>
              </w:rPr>
              <w:t>The capacity of the MoF in the management of social insurance funds, focusing on fiscal support budgeting, account system, investment techniques and adjustment mechanisms for pension benefits is strengthened.</w:t>
            </w:r>
          </w:p>
        </w:tc>
        <w:tc>
          <w:tcPr>
            <w:tcW w:w="3827" w:type="dxa"/>
            <w:vAlign w:val="center"/>
          </w:tcPr>
          <w:p w:rsidR="000022C1" w:rsidRPr="006E3673" w:rsidRDefault="000022C1" w:rsidP="000022C1">
            <w:pPr>
              <w:pStyle w:val="ColorfulList-Accent11"/>
              <w:numPr>
                <w:ilvl w:val="0"/>
                <w:numId w:val="3"/>
              </w:numPr>
              <w:spacing w:after="0"/>
              <w:ind w:left="175" w:hanging="142"/>
              <w:contextualSpacing/>
              <w:rPr>
                <w:sz w:val="20"/>
                <w:szCs w:val="20"/>
                <w:lang w:val="en-GB"/>
              </w:rPr>
            </w:pPr>
            <w:r w:rsidRPr="006E3673">
              <w:rPr>
                <w:sz w:val="20"/>
                <w:szCs w:val="20"/>
                <w:lang w:val="en-GB"/>
              </w:rPr>
              <w:t>A set of strategies for the investments of pension funds and techniques to strengthen risk control management are introduced and discussed under project auspices.</w:t>
            </w:r>
          </w:p>
          <w:p w:rsidR="000022C1" w:rsidRPr="006E3673" w:rsidRDefault="000022C1" w:rsidP="000022C1">
            <w:pPr>
              <w:pStyle w:val="ColorfulList-Accent11"/>
              <w:numPr>
                <w:ilvl w:val="0"/>
                <w:numId w:val="3"/>
              </w:numPr>
              <w:spacing w:after="0"/>
              <w:ind w:left="175" w:hanging="142"/>
              <w:contextualSpacing/>
              <w:rPr>
                <w:sz w:val="20"/>
                <w:szCs w:val="20"/>
                <w:lang w:val="en-GB"/>
              </w:rPr>
            </w:pPr>
            <w:r w:rsidRPr="006E3673">
              <w:rPr>
                <w:sz w:val="20"/>
                <w:szCs w:val="20"/>
                <w:lang w:val="en-GB"/>
              </w:rPr>
              <w:t>A comprehensive policy to promote the management of pension funds is developed and discussed.</w:t>
            </w:r>
          </w:p>
        </w:tc>
        <w:tc>
          <w:tcPr>
            <w:tcW w:w="3402" w:type="dxa"/>
            <w:vMerge/>
          </w:tcPr>
          <w:p w:rsidR="000022C1" w:rsidRPr="006E3673" w:rsidRDefault="000022C1" w:rsidP="004F15E8">
            <w:pPr>
              <w:spacing w:after="0" w:line="240" w:lineRule="auto"/>
              <w:rPr>
                <w:sz w:val="20"/>
                <w:szCs w:val="20"/>
                <w:lang w:val="en-GB"/>
              </w:rPr>
            </w:pPr>
          </w:p>
        </w:tc>
        <w:tc>
          <w:tcPr>
            <w:tcW w:w="2977" w:type="dxa"/>
            <w:vMerge/>
          </w:tcPr>
          <w:p w:rsidR="000022C1" w:rsidRPr="006E3673" w:rsidRDefault="000022C1" w:rsidP="000022C1">
            <w:pPr>
              <w:pStyle w:val="ColorfulList-Accent11"/>
              <w:numPr>
                <w:ilvl w:val="0"/>
                <w:numId w:val="7"/>
              </w:numPr>
              <w:spacing w:after="0" w:line="240" w:lineRule="auto"/>
              <w:contextualSpacing/>
              <w:rPr>
                <w:sz w:val="20"/>
                <w:szCs w:val="20"/>
                <w:lang w:val="en-GB"/>
              </w:rPr>
            </w:pPr>
          </w:p>
        </w:tc>
      </w:tr>
    </w:tbl>
    <w:p w:rsidR="000022C1" w:rsidRDefault="000022C1">
      <w:pPr>
        <w:rPr>
          <w:lang w:val="en-GB"/>
        </w:rPr>
      </w:pPr>
    </w:p>
    <w:p w:rsidR="000022C1" w:rsidRDefault="000022C1">
      <w:pPr>
        <w:rPr>
          <w:lang w:val="en-GB"/>
        </w:rPr>
      </w:pPr>
    </w:p>
    <w:p w:rsidR="000022C1" w:rsidRDefault="000022C1">
      <w:pPr>
        <w:rPr>
          <w:lang w:val="en-GB"/>
        </w:rPr>
      </w:pPr>
    </w:p>
    <w:p w:rsidR="00C1633D" w:rsidRDefault="00C1633D">
      <w:pPr>
        <w:rPr>
          <w:lang w:val="en-GB"/>
        </w:rPr>
      </w:pPr>
      <w:bookmarkStart w:id="0" w:name="_GoBack"/>
      <w:bookmarkEnd w:id="0"/>
    </w:p>
    <w:p w:rsidR="000022C1" w:rsidRDefault="000022C1">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835"/>
        <w:gridCol w:w="3827"/>
        <w:gridCol w:w="3402"/>
        <w:gridCol w:w="2977"/>
      </w:tblGrid>
      <w:tr w:rsidR="000022C1" w:rsidRPr="006E3673" w:rsidTr="004F15E8">
        <w:trPr>
          <w:trHeight w:val="540"/>
        </w:trPr>
        <w:tc>
          <w:tcPr>
            <w:tcW w:w="1526" w:type="dxa"/>
            <w:tcBorders>
              <w:top w:val="nil"/>
              <w:left w:val="nil"/>
              <w:bottom w:val="single" w:sz="4" w:space="0" w:color="auto"/>
              <w:right w:val="single" w:sz="4" w:space="0" w:color="auto"/>
            </w:tcBorders>
            <w:shd w:val="clear" w:color="auto" w:fill="auto"/>
          </w:tcPr>
          <w:p w:rsidR="000022C1" w:rsidRPr="006E3673" w:rsidRDefault="000022C1" w:rsidP="004F15E8">
            <w:pPr>
              <w:spacing w:after="0"/>
              <w:rPr>
                <w:sz w:val="20"/>
                <w:szCs w:val="20"/>
                <w:lang w:val="en-GB"/>
              </w:rPr>
            </w:pPr>
          </w:p>
        </w:tc>
        <w:tc>
          <w:tcPr>
            <w:tcW w:w="2835" w:type="dxa"/>
            <w:tcBorders>
              <w:top w:val="single" w:sz="4" w:space="0" w:color="auto"/>
              <w:left w:val="single" w:sz="4" w:space="0" w:color="auto"/>
              <w:bottom w:val="single" w:sz="4" w:space="0" w:color="auto"/>
              <w:right w:val="single" w:sz="4" w:space="0" w:color="auto"/>
            </w:tcBorders>
            <w:shd w:val="clear" w:color="auto" w:fill="DEEAF6"/>
            <w:vAlign w:val="center"/>
          </w:tcPr>
          <w:p w:rsidR="000022C1" w:rsidRPr="006E3673" w:rsidRDefault="000022C1" w:rsidP="004F15E8">
            <w:pPr>
              <w:spacing w:after="0"/>
              <w:jc w:val="center"/>
              <w:rPr>
                <w:b/>
                <w:sz w:val="20"/>
                <w:szCs w:val="20"/>
                <w:lang w:val="en-GB"/>
              </w:rPr>
            </w:pPr>
            <w:r w:rsidRPr="006E3673">
              <w:rPr>
                <w:b/>
                <w:sz w:val="20"/>
                <w:szCs w:val="20"/>
                <w:lang w:val="en-GB"/>
              </w:rPr>
              <w:t>INTERVENTION LOGIC</w:t>
            </w:r>
          </w:p>
        </w:tc>
        <w:tc>
          <w:tcPr>
            <w:tcW w:w="3827" w:type="dxa"/>
            <w:tcBorders>
              <w:left w:val="single" w:sz="4" w:space="0" w:color="auto"/>
            </w:tcBorders>
            <w:shd w:val="clear" w:color="auto" w:fill="DEEAF6"/>
            <w:vAlign w:val="center"/>
          </w:tcPr>
          <w:p w:rsidR="000022C1" w:rsidRPr="006E3673" w:rsidRDefault="000022C1" w:rsidP="004F15E8">
            <w:pPr>
              <w:spacing w:after="0"/>
              <w:jc w:val="center"/>
              <w:rPr>
                <w:b/>
                <w:sz w:val="20"/>
                <w:szCs w:val="20"/>
                <w:lang w:val="en-GB"/>
              </w:rPr>
            </w:pPr>
            <w:r w:rsidRPr="006E3673">
              <w:rPr>
                <w:b/>
                <w:sz w:val="20"/>
                <w:szCs w:val="20"/>
                <w:lang w:val="en-GB"/>
              </w:rPr>
              <w:t>OBJECTIVELY VERIFIABLE INDICATORS</w:t>
            </w:r>
          </w:p>
        </w:tc>
        <w:tc>
          <w:tcPr>
            <w:tcW w:w="3402" w:type="dxa"/>
            <w:shd w:val="clear" w:color="auto" w:fill="DEEAF6"/>
            <w:vAlign w:val="center"/>
          </w:tcPr>
          <w:p w:rsidR="000022C1" w:rsidRPr="006E3673" w:rsidRDefault="000022C1" w:rsidP="004F15E8">
            <w:pPr>
              <w:spacing w:after="0"/>
              <w:jc w:val="center"/>
              <w:rPr>
                <w:b/>
                <w:sz w:val="20"/>
                <w:szCs w:val="20"/>
                <w:lang w:val="en-GB"/>
              </w:rPr>
            </w:pPr>
            <w:r w:rsidRPr="006E3673">
              <w:rPr>
                <w:b/>
                <w:sz w:val="20"/>
                <w:szCs w:val="20"/>
                <w:lang w:val="en-GB"/>
              </w:rPr>
              <w:t>SOURCES AND MEANS OF VERIFICATION</w:t>
            </w:r>
          </w:p>
        </w:tc>
        <w:tc>
          <w:tcPr>
            <w:tcW w:w="2977" w:type="dxa"/>
            <w:shd w:val="clear" w:color="auto" w:fill="DEEAF6"/>
            <w:vAlign w:val="center"/>
          </w:tcPr>
          <w:p w:rsidR="000022C1" w:rsidRPr="006E3673" w:rsidRDefault="000022C1" w:rsidP="004F15E8">
            <w:pPr>
              <w:spacing w:after="0"/>
              <w:jc w:val="center"/>
              <w:rPr>
                <w:b/>
                <w:sz w:val="20"/>
                <w:szCs w:val="20"/>
                <w:lang w:val="en-GB"/>
              </w:rPr>
            </w:pPr>
            <w:r w:rsidRPr="006E3673">
              <w:rPr>
                <w:b/>
                <w:sz w:val="20"/>
                <w:szCs w:val="20"/>
                <w:lang w:val="en-GB"/>
              </w:rPr>
              <w:t>ASSUMPTIONS</w:t>
            </w:r>
          </w:p>
        </w:tc>
      </w:tr>
      <w:tr w:rsidR="000022C1" w:rsidRPr="006E3673" w:rsidTr="004F15E8">
        <w:trPr>
          <w:trHeight w:val="3622"/>
        </w:trPr>
        <w:tc>
          <w:tcPr>
            <w:tcW w:w="1526" w:type="dxa"/>
            <w:vMerge w:val="restart"/>
            <w:shd w:val="clear" w:color="auto" w:fill="DEEAF6"/>
            <w:vAlign w:val="center"/>
          </w:tcPr>
          <w:p w:rsidR="000022C1" w:rsidRPr="006E3673" w:rsidRDefault="000022C1" w:rsidP="004F15E8">
            <w:pPr>
              <w:jc w:val="center"/>
              <w:rPr>
                <w:b/>
                <w:sz w:val="20"/>
                <w:szCs w:val="20"/>
                <w:lang w:val="en-GB"/>
              </w:rPr>
            </w:pPr>
            <w:r w:rsidRPr="006E3673">
              <w:rPr>
                <w:b/>
                <w:sz w:val="20"/>
                <w:szCs w:val="20"/>
                <w:lang w:val="en-GB"/>
              </w:rPr>
              <w:t>Results</w:t>
            </w:r>
          </w:p>
        </w:tc>
        <w:tc>
          <w:tcPr>
            <w:tcW w:w="2835" w:type="dxa"/>
            <w:vAlign w:val="center"/>
          </w:tcPr>
          <w:p w:rsidR="000022C1" w:rsidRPr="006E3673" w:rsidRDefault="000022C1" w:rsidP="004F15E8">
            <w:pPr>
              <w:spacing w:after="0"/>
              <w:rPr>
                <w:b/>
                <w:sz w:val="20"/>
                <w:szCs w:val="20"/>
                <w:u w:val="single"/>
                <w:lang w:val="en-GB"/>
              </w:rPr>
            </w:pPr>
            <w:r w:rsidRPr="006E3673">
              <w:rPr>
                <w:b/>
                <w:sz w:val="20"/>
                <w:szCs w:val="20"/>
                <w:lang w:val="en-GB"/>
              </w:rPr>
              <w:t>R9.</w:t>
            </w:r>
            <w:r w:rsidRPr="006E3673">
              <w:rPr>
                <w:sz w:val="20"/>
                <w:szCs w:val="20"/>
                <w:lang w:val="en-GB"/>
              </w:rPr>
              <w:t xml:space="preserve"> Capacity of MoCA for promulgating and enforcing the Social Assistance Law and the regulations on rural and urban minimum standards of living are strengthened; the skills of local officials in policy transmissions and implementation are upgraded.</w:t>
            </w:r>
          </w:p>
        </w:tc>
        <w:tc>
          <w:tcPr>
            <w:tcW w:w="3827" w:type="dxa"/>
            <w:vAlign w:val="center"/>
          </w:tcPr>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 xml:space="preserve">The legal framework for social assistance is reviewed and widely discussed, reform proposals are developed and tested under project auspices; </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At least two-thirds of local officers involved in the training in China and in Europe demonstrate a high level of approval of the training activities;</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Better access of clients to social assistance mechanisms (at urban and rural levels)  is documented through project activities;</w:t>
            </w:r>
          </w:p>
        </w:tc>
        <w:tc>
          <w:tcPr>
            <w:tcW w:w="3402" w:type="dxa"/>
            <w:vMerge w:val="restart"/>
            <w:vAlign w:val="center"/>
          </w:tcPr>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PAC meeting minutes;</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Approval surveys at the end of the Training / Study Visit in China and in Europe;</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Minutes and reports of the High Level Event on Social Assistance/Panel Discussion/ Workshops in China;</w:t>
            </w:r>
          </w:p>
          <w:p w:rsidR="000022C1"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Approval surveys at the end of the Workshops in China.</w:t>
            </w:r>
          </w:p>
          <w:p w:rsidR="000022C1" w:rsidRDefault="000022C1" w:rsidP="004F15E8">
            <w:pPr>
              <w:pStyle w:val="ColorfulList-Accent11"/>
              <w:suppressAutoHyphens/>
              <w:autoSpaceDN w:val="0"/>
              <w:spacing w:after="0"/>
              <w:ind w:left="166"/>
              <w:textAlignment w:val="baseline"/>
              <w:rPr>
                <w:sz w:val="20"/>
                <w:szCs w:val="20"/>
                <w:lang w:val="en-GB"/>
              </w:rPr>
            </w:pPr>
          </w:p>
          <w:p w:rsidR="000022C1" w:rsidRPr="000022C1" w:rsidRDefault="000022C1" w:rsidP="000022C1">
            <w:pPr>
              <w:pStyle w:val="ColorfulList-Accent11"/>
              <w:numPr>
                <w:ilvl w:val="0"/>
                <w:numId w:val="4"/>
              </w:numPr>
              <w:suppressAutoHyphens/>
              <w:autoSpaceDN w:val="0"/>
              <w:spacing w:after="0"/>
              <w:textAlignment w:val="baseline"/>
              <w:rPr>
                <w:sz w:val="20"/>
                <w:szCs w:val="20"/>
                <w:lang w:val="en-GB"/>
              </w:rPr>
            </w:pPr>
            <w:r w:rsidRPr="000022C1">
              <w:rPr>
                <w:sz w:val="20"/>
                <w:szCs w:val="20"/>
                <w:lang w:val="en-GB"/>
              </w:rPr>
              <w:t>Project contributed by submitting preliminary policy proposals report to MoCA (2016). Final policy proposals to be drafted after the C3 pilots completing.</w:t>
            </w:r>
          </w:p>
          <w:p w:rsidR="000022C1" w:rsidRPr="000022C1" w:rsidRDefault="000022C1" w:rsidP="004F15E8">
            <w:pPr>
              <w:pStyle w:val="ColorfulList-Accent11"/>
              <w:suppressAutoHyphens/>
              <w:autoSpaceDN w:val="0"/>
              <w:spacing w:after="0"/>
              <w:ind w:left="360"/>
              <w:textAlignment w:val="baseline"/>
              <w:rPr>
                <w:sz w:val="20"/>
                <w:szCs w:val="20"/>
                <w:lang w:val="en-GB"/>
              </w:rPr>
            </w:pPr>
          </w:p>
          <w:p w:rsidR="000022C1" w:rsidRPr="000022C1" w:rsidRDefault="000022C1" w:rsidP="000022C1">
            <w:pPr>
              <w:pStyle w:val="ColorfulList-Accent11"/>
              <w:numPr>
                <w:ilvl w:val="0"/>
                <w:numId w:val="4"/>
              </w:numPr>
              <w:suppressAutoHyphens/>
              <w:autoSpaceDN w:val="0"/>
              <w:spacing w:after="0"/>
              <w:textAlignment w:val="baseline"/>
              <w:rPr>
                <w:sz w:val="20"/>
                <w:szCs w:val="20"/>
                <w:lang w:val="en-GB"/>
              </w:rPr>
            </w:pPr>
            <w:r w:rsidRPr="000022C1">
              <w:rPr>
                <w:sz w:val="20"/>
                <w:szCs w:val="20"/>
                <w:lang w:val="en-GB"/>
              </w:rPr>
              <w:t>Review of the government documents have been included in the 2015 and 2016 Volume on research topics of 2015&amp;2016&amp;2017 and deeply discussed with MoCA during several events organised with active participation of the EU experts.</w:t>
            </w:r>
          </w:p>
          <w:p w:rsidR="000022C1" w:rsidRPr="000022C1" w:rsidRDefault="000022C1" w:rsidP="000022C1">
            <w:pPr>
              <w:pStyle w:val="ColorfulList-Accent11"/>
              <w:numPr>
                <w:ilvl w:val="0"/>
                <w:numId w:val="4"/>
              </w:numPr>
              <w:suppressAutoHyphens/>
              <w:autoSpaceDN w:val="0"/>
              <w:spacing w:after="0"/>
              <w:textAlignment w:val="baseline"/>
              <w:rPr>
                <w:sz w:val="20"/>
                <w:szCs w:val="20"/>
                <w:lang w:val="en-GB"/>
              </w:rPr>
            </w:pPr>
            <w:r w:rsidRPr="000022C1">
              <w:rPr>
                <w:sz w:val="20"/>
                <w:szCs w:val="20"/>
                <w:lang w:val="en-GB"/>
              </w:rPr>
              <w:lastRenderedPageBreak/>
              <w:t xml:space="preserve">Several research outputs within the Volume 2015 /2016 and 2017 </w:t>
            </w:r>
          </w:p>
          <w:p w:rsidR="000022C1" w:rsidRPr="000022C1" w:rsidRDefault="000022C1" w:rsidP="000022C1">
            <w:pPr>
              <w:pStyle w:val="ColorfulList-Accent11"/>
              <w:numPr>
                <w:ilvl w:val="0"/>
                <w:numId w:val="4"/>
              </w:numPr>
              <w:suppressAutoHyphens/>
              <w:autoSpaceDN w:val="0"/>
              <w:spacing w:after="0"/>
              <w:textAlignment w:val="baseline"/>
              <w:rPr>
                <w:sz w:val="20"/>
                <w:szCs w:val="20"/>
                <w:lang w:val="en-GB"/>
              </w:rPr>
            </w:pPr>
            <w:r w:rsidRPr="000022C1">
              <w:rPr>
                <w:sz w:val="20"/>
                <w:szCs w:val="20"/>
                <w:lang w:val="en-GB"/>
              </w:rPr>
              <w:t>Local visits to several provinces across China performed</w:t>
            </w:r>
          </w:p>
          <w:p w:rsidR="000022C1" w:rsidRPr="006C7666" w:rsidRDefault="000022C1" w:rsidP="004F15E8">
            <w:pPr>
              <w:pStyle w:val="ColorfulList-Accent11"/>
              <w:suppressAutoHyphens/>
              <w:autoSpaceDN w:val="0"/>
              <w:spacing w:after="0"/>
              <w:ind w:left="720"/>
              <w:textAlignment w:val="baseline"/>
              <w:rPr>
                <w:sz w:val="20"/>
                <w:szCs w:val="20"/>
                <w:lang w:val="en-GB"/>
              </w:rPr>
            </w:pPr>
          </w:p>
        </w:tc>
        <w:tc>
          <w:tcPr>
            <w:tcW w:w="2977" w:type="dxa"/>
            <w:vMerge w:val="restart"/>
            <w:vAlign w:val="center"/>
          </w:tcPr>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lastRenderedPageBreak/>
              <w:t>MoCA and other Component 3 stakeholders remain fully committed to share the experience, the Best Practices and the proposals suggested by the Consortium;</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MoCA, Component 3 Chinese Experts, and other Component 3 stakeholder ensure their availability for operational meeting (panel discussion), interviews etc., according to the plan shared in order to contribute actively to the project;</w:t>
            </w:r>
          </w:p>
          <w:p w:rsidR="000022C1" w:rsidRPr="006E3673" w:rsidRDefault="000022C1" w:rsidP="000022C1">
            <w:pPr>
              <w:pStyle w:val="ColorfulList-Accent11"/>
              <w:numPr>
                <w:ilvl w:val="0"/>
                <w:numId w:val="4"/>
              </w:numPr>
              <w:suppressAutoHyphens/>
              <w:autoSpaceDN w:val="0"/>
              <w:spacing w:after="0"/>
              <w:ind w:left="166" w:hanging="166"/>
              <w:textAlignment w:val="baseline"/>
              <w:rPr>
                <w:sz w:val="20"/>
                <w:szCs w:val="20"/>
                <w:lang w:val="en-GB"/>
              </w:rPr>
            </w:pPr>
            <w:r w:rsidRPr="006E3673">
              <w:rPr>
                <w:sz w:val="20"/>
                <w:szCs w:val="20"/>
                <w:lang w:val="en-GB"/>
              </w:rPr>
              <w:t>The EU and Chinese institutions remain interests in long-term cooperation/partnership.</w:t>
            </w:r>
          </w:p>
        </w:tc>
      </w:tr>
      <w:tr w:rsidR="000022C1" w:rsidRPr="006E3673" w:rsidTr="004F15E8">
        <w:trPr>
          <w:trHeight w:val="3572"/>
        </w:trPr>
        <w:tc>
          <w:tcPr>
            <w:tcW w:w="1526" w:type="dxa"/>
            <w:vMerge/>
            <w:shd w:val="clear" w:color="auto" w:fill="DEEAF6"/>
          </w:tcPr>
          <w:p w:rsidR="000022C1" w:rsidRPr="006E3673" w:rsidRDefault="000022C1" w:rsidP="004F15E8">
            <w:pPr>
              <w:rPr>
                <w:b/>
                <w:sz w:val="20"/>
                <w:szCs w:val="20"/>
                <w:lang w:val="en-GB"/>
              </w:rPr>
            </w:pPr>
          </w:p>
        </w:tc>
        <w:tc>
          <w:tcPr>
            <w:tcW w:w="2835" w:type="dxa"/>
            <w:vAlign w:val="center"/>
          </w:tcPr>
          <w:p w:rsidR="000022C1" w:rsidRPr="006E3673" w:rsidRDefault="000022C1" w:rsidP="004F15E8">
            <w:pPr>
              <w:spacing w:after="0"/>
              <w:rPr>
                <w:sz w:val="20"/>
                <w:szCs w:val="20"/>
                <w:lang w:val="en-GB"/>
              </w:rPr>
            </w:pPr>
            <w:r w:rsidRPr="006E3673">
              <w:rPr>
                <w:b/>
                <w:sz w:val="20"/>
                <w:szCs w:val="20"/>
                <w:lang w:val="en-GB"/>
              </w:rPr>
              <w:t>R10</w:t>
            </w:r>
            <w:r w:rsidRPr="006E3673">
              <w:rPr>
                <w:sz w:val="20"/>
                <w:szCs w:val="20"/>
                <w:lang w:val="en-GB"/>
              </w:rPr>
              <w:t>. The legal frameworks on a) formulation of unified standards for the estimation and calculation of social assistance benefits, b) recognition of social assistance target groups and c) identification of low-income families are consolidated.</w:t>
            </w:r>
          </w:p>
        </w:tc>
        <w:tc>
          <w:tcPr>
            <w:tcW w:w="3827" w:type="dxa"/>
            <w:vAlign w:val="center"/>
          </w:tcPr>
          <w:p w:rsidR="000022C1" w:rsidRPr="006E3673" w:rsidRDefault="000022C1" w:rsidP="000022C1">
            <w:pPr>
              <w:pStyle w:val="ColorfulList-Accent11"/>
              <w:numPr>
                <w:ilvl w:val="0"/>
                <w:numId w:val="4"/>
              </w:numPr>
              <w:suppressAutoHyphens/>
              <w:autoSpaceDN w:val="0"/>
              <w:spacing w:after="0" w:line="240" w:lineRule="auto"/>
              <w:ind w:left="166" w:hanging="166"/>
              <w:textAlignment w:val="baseline"/>
              <w:rPr>
                <w:sz w:val="20"/>
                <w:szCs w:val="20"/>
                <w:lang w:val="en-GB"/>
              </w:rPr>
            </w:pPr>
            <w:r w:rsidRPr="006E3673">
              <w:rPr>
                <w:sz w:val="20"/>
                <w:szCs w:val="20"/>
                <w:lang w:val="en-GB"/>
              </w:rPr>
              <w:t xml:space="preserve">A set of proposals for unification of benefits standards in social assistance is developed, discussed and tested under project auspices; </w:t>
            </w:r>
          </w:p>
          <w:p w:rsidR="000022C1" w:rsidRPr="006E3673" w:rsidRDefault="000022C1" w:rsidP="000022C1">
            <w:pPr>
              <w:pStyle w:val="ColorfulList-Accent11"/>
              <w:numPr>
                <w:ilvl w:val="0"/>
                <w:numId w:val="4"/>
              </w:numPr>
              <w:suppressAutoHyphens/>
              <w:autoSpaceDN w:val="0"/>
              <w:spacing w:after="0" w:line="240" w:lineRule="auto"/>
              <w:ind w:left="166" w:hanging="166"/>
              <w:textAlignment w:val="baseline"/>
              <w:rPr>
                <w:sz w:val="20"/>
                <w:szCs w:val="20"/>
                <w:lang w:val="en-GB"/>
              </w:rPr>
            </w:pPr>
            <w:r w:rsidRPr="006E3673">
              <w:rPr>
                <w:sz w:val="20"/>
                <w:szCs w:val="20"/>
                <w:lang w:val="en-GB"/>
              </w:rPr>
              <w:t>A methodology for functional identification of social assistance beneficiaries (target groups) is developed, discussed and tested under project;</w:t>
            </w:r>
          </w:p>
          <w:p w:rsidR="000022C1" w:rsidRPr="006E3673" w:rsidRDefault="000022C1" w:rsidP="000022C1">
            <w:pPr>
              <w:pStyle w:val="ColorfulList-Accent11"/>
              <w:numPr>
                <w:ilvl w:val="0"/>
                <w:numId w:val="4"/>
              </w:numPr>
              <w:suppressAutoHyphens/>
              <w:autoSpaceDN w:val="0"/>
              <w:spacing w:after="0" w:line="240" w:lineRule="auto"/>
              <w:ind w:left="166" w:hanging="166"/>
              <w:textAlignment w:val="baseline"/>
              <w:rPr>
                <w:sz w:val="20"/>
                <w:szCs w:val="20"/>
                <w:lang w:val="en-GB"/>
              </w:rPr>
            </w:pPr>
            <w:r w:rsidRPr="006E3673">
              <w:rPr>
                <w:sz w:val="20"/>
                <w:szCs w:val="20"/>
                <w:lang w:val="en-GB"/>
              </w:rPr>
              <w:t xml:space="preserve">A definition and quantification of goals to be assigned to social assistance benefits are developed and discussed under project auspices. </w:t>
            </w:r>
          </w:p>
          <w:p w:rsidR="000022C1" w:rsidRPr="006E3673" w:rsidRDefault="000022C1" w:rsidP="000022C1">
            <w:pPr>
              <w:pStyle w:val="ColorfulList-Accent11"/>
              <w:numPr>
                <w:ilvl w:val="0"/>
                <w:numId w:val="4"/>
              </w:numPr>
              <w:suppressAutoHyphens/>
              <w:autoSpaceDN w:val="0"/>
              <w:spacing w:after="0" w:line="240" w:lineRule="auto"/>
              <w:ind w:left="166" w:hanging="166"/>
              <w:textAlignment w:val="baseline"/>
              <w:rPr>
                <w:sz w:val="20"/>
                <w:szCs w:val="20"/>
                <w:lang w:val="en-GB"/>
              </w:rPr>
            </w:pPr>
            <w:r w:rsidRPr="006E3673">
              <w:rPr>
                <w:sz w:val="20"/>
                <w:szCs w:val="20"/>
                <w:lang w:val="en-GB"/>
              </w:rPr>
              <w:t>A methodology for and requirement for social assistance services is developed;</w:t>
            </w:r>
          </w:p>
        </w:tc>
        <w:tc>
          <w:tcPr>
            <w:tcW w:w="3402" w:type="dxa"/>
            <w:vMerge/>
          </w:tcPr>
          <w:p w:rsidR="000022C1" w:rsidRPr="006E3673" w:rsidRDefault="000022C1" w:rsidP="000022C1">
            <w:pPr>
              <w:pStyle w:val="Paragraphedeliste"/>
              <w:numPr>
                <w:ilvl w:val="0"/>
                <w:numId w:val="7"/>
              </w:numPr>
              <w:spacing w:after="0" w:line="240" w:lineRule="auto"/>
              <w:rPr>
                <w:sz w:val="20"/>
                <w:szCs w:val="20"/>
                <w:lang w:val="en-GB"/>
              </w:rPr>
            </w:pPr>
          </w:p>
        </w:tc>
        <w:tc>
          <w:tcPr>
            <w:tcW w:w="2977" w:type="dxa"/>
            <w:vMerge/>
          </w:tcPr>
          <w:p w:rsidR="000022C1" w:rsidRPr="006E3673" w:rsidRDefault="000022C1" w:rsidP="000022C1">
            <w:pPr>
              <w:pStyle w:val="Paragraphedeliste"/>
              <w:numPr>
                <w:ilvl w:val="0"/>
                <w:numId w:val="7"/>
              </w:numPr>
              <w:spacing w:after="0" w:line="240" w:lineRule="auto"/>
              <w:rPr>
                <w:sz w:val="20"/>
                <w:szCs w:val="20"/>
                <w:lang w:val="en-GB"/>
              </w:rPr>
            </w:pPr>
          </w:p>
        </w:tc>
      </w:tr>
      <w:tr w:rsidR="000022C1" w:rsidRPr="006E3673" w:rsidTr="004F15E8">
        <w:trPr>
          <w:trHeight w:val="3317"/>
        </w:trPr>
        <w:tc>
          <w:tcPr>
            <w:tcW w:w="1526" w:type="dxa"/>
            <w:vMerge/>
            <w:shd w:val="clear" w:color="auto" w:fill="DEEAF6"/>
          </w:tcPr>
          <w:p w:rsidR="000022C1" w:rsidRPr="006E3673" w:rsidRDefault="000022C1" w:rsidP="004F15E8">
            <w:pPr>
              <w:rPr>
                <w:b/>
                <w:sz w:val="20"/>
                <w:szCs w:val="20"/>
                <w:lang w:val="en-GB"/>
              </w:rPr>
            </w:pPr>
          </w:p>
        </w:tc>
        <w:tc>
          <w:tcPr>
            <w:tcW w:w="2835" w:type="dxa"/>
            <w:vAlign w:val="center"/>
          </w:tcPr>
          <w:p w:rsidR="000022C1" w:rsidRPr="006E3673" w:rsidRDefault="000022C1" w:rsidP="004F15E8">
            <w:pPr>
              <w:spacing w:after="0"/>
              <w:rPr>
                <w:sz w:val="20"/>
                <w:szCs w:val="20"/>
                <w:lang w:val="en-GB"/>
              </w:rPr>
            </w:pPr>
            <w:r w:rsidRPr="006E3673">
              <w:rPr>
                <w:b/>
                <w:sz w:val="20"/>
                <w:szCs w:val="20"/>
                <w:lang w:val="en-GB"/>
              </w:rPr>
              <w:t>R11.</w:t>
            </w:r>
            <w:r w:rsidRPr="006E3673">
              <w:rPr>
                <w:sz w:val="20"/>
                <w:szCs w:val="20"/>
                <w:lang w:val="en-GB"/>
              </w:rPr>
              <w:t xml:space="preserve"> Efforts of MoCA in improved care for poor rural people and disabled people are strengthened, and public information and transparency of social assistance policies are raised at provincial level.</w:t>
            </w:r>
          </w:p>
        </w:tc>
        <w:tc>
          <w:tcPr>
            <w:tcW w:w="3827" w:type="dxa"/>
            <w:vAlign w:val="center"/>
          </w:tcPr>
          <w:p w:rsidR="000022C1" w:rsidRPr="006E3673" w:rsidRDefault="000022C1" w:rsidP="000022C1">
            <w:pPr>
              <w:pStyle w:val="ColorfulList-Accent11"/>
              <w:numPr>
                <w:ilvl w:val="0"/>
                <w:numId w:val="4"/>
              </w:numPr>
              <w:suppressAutoHyphens/>
              <w:autoSpaceDN w:val="0"/>
              <w:spacing w:after="0" w:line="240" w:lineRule="auto"/>
              <w:ind w:left="166" w:hanging="166"/>
              <w:textAlignment w:val="baseline"/>
              <w:rPr>
                <w:sz w:val="20"/>
                <w:szCs w:val="20"/>
                <w:lang w:val="en-GB"/>
              </w:rPr>
            </w:pPr>
            <w:r w:rsidRPr="006E3673">
              <w:rPr>
                <w:sz w:val="20"/>
                <w:szCs w:val="20"/>
                <w:lang w:val="en-GB"/>
              </w:rPr>
              <w:t>Targeting of social assistance towards the specific groups (children, elderly, people with disabilities, poor rural people); service delivery for them is documented and discussed under project auspices, mechanisms for improving the situation are developed and tested.</w:t>
            </w:r>
          </w:p>
          <w:p w:rsidR="000022C1" w:rsidRPr="006E3673" w:rsidRDefault="000022C1" w:rsidP="000022C1">
            <w:pPr>
              <w:pStyle w:val="ColorfulList-Accent11"/>
              <w:numPr>
                <w:ilvl w:val="0"/>
                <w:numId w:val="4"/>
              </w:numPr>
              <w:suppressAutoHyphens/>
              <w:autoSpaceDN w:val="0"/>
              <w:spacing w:after="0" w:line="240" w:lineRule="auto"/>
              <w:ind w:left="166" w:hanging="166"/>
              <w:textAlignment w:val="baseline"/>
              <w:rPr>
                <w:sz w:val="20"/>
                <w:szCs w:val="20"/>
                <w:lang w:val="en-GB"/>
              </w:rPr>
            </w:pPr>
            <w:r w:rsidRPr="006E3673">
              <w:rPr>
                <w:sz w:val="20"/>
                <w:szCs w:val="20"/>
                <w:lang w:val="en-GB"/>
              </w:rPr>
              <w:t>Tools for public information and its transparency i.e. via campaigns and awareness on social assistance, are developed and tested under project auspices.</w:t>
            </w:r>
          </w:p>
        </w:tc>
        <w:tc>
          <w:tcPr>
            <w:tcW w:w="3402" w:type="dxa"/>
            <w:vMerge/>
          </w:tcPr>
          <w:p w:rsidR="000022C1" w:rsidRPr="006E3673" w:rsidRDefault="000022C1" w:rsidP="000022C1">
            <w:pPr>
              <w:pStyle w:val="Paragraphedeliste"/>
              <w:numPr>
                <w:ilvl w:val="0"/>
                <w:numId w:val="7"/>
              </w:numPr>
              <w:spacing w:after="0" w:line="240" w:lineRule="auto"/>
              <w:rPr>
                <w:sz w:val="20"/>
                <w:szCs w:val="20"/>
                <w:lang w:val="en-GB"/>
              </w:rPr>
            </w:pPr>
          </w:p>
        </w:tc>
        <w:tc>
          <w:tcPr>
            <w:tcW w:w="2977" w:type="dxa"/>
            <w:vMerge/>
          </w:tcPr>
          <w:p w:rsidR="000022C1" w:rsidRPr="006E3673" w:rsidRDefault="000022C1" w:rsidP="000022C1">
            <w:pPr>
              <w:pStyle w:val="Paragraphedeliste"/>
              <w:numPr>
                <w:ilvl w:val="0"/>
                <w:numId w:val="7"/>
              </w:numPr>
              <w:spacing w:after="0" w:line="240" w:lineRule="auto"/>
              <w:rPr>
                <w:sz w:val="20"/>
                <w:szCs w:val="20"/>
                <w:lang w:val="en-GB"/>
              </w:rPr>
            </w:pPr>
          </w:p>
        </w:tc>
      </w:tr>
    </w:tbl>
    <w:p w:rsidR="000022C1" w:rsidRDefault="000022C1">
      <w:pPr>
        <w:rPr>
          <w:lang w:val="en-GB"/>
        </w:rPr>
      </w:pPr>
    </w:p>
    <w:p w:rsidR="000022C1" w:rsidRDefault="000022C1">
      <w:pPr>
        <w:rPr>
          <w:lang w:val="en-GB"/>
        </w:rPr>
      </w:pPr>
    </w:p>
    <w:p w:rsidR="000022C1" w:rsidRDefault="000022C1">
      <w:pPr>
        <w:rPr>
          <w:lang w:val="en-GB"/>
        </w:rPr>
      </w:pPr>
    </w:p>
    <w:p w:rsidR="000022C1" w:rsidRDefault="000022C1">
      <w:pPr>
        <w:rPr>
          <w:lang w:val="en-GB"/>
        </w:rPr>
      </w:pPr>
    </w:p>
    <w:p w:rsidR="000022C1" w:rsidRPr="000022C1" w:rsidRDefault="000022C1">
      <w:pPr>
        <w:rPr>
          <w:lang w:val="en-GB"/>
        </w:rPr>
      </w:pPr>
    </w:p>
    <w:sectPr w:rsidR="000022C1" w:rsidRPr="000022C1" w:rsidSect="000022C1">
      <w:pgSz w:w="16838" w:h="11906" w:orient="landscape"/>
      <w:pgMar w:top="1800" w:right="1440" w:bottom="18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_GOPA TheSerif Ligh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Optane">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4B8D4B2"/>
    <w:lvl w:ilvl="0">
      <w:start w:val="1"/>
      <w:numFmt w:val="decimal"/>
      <w:pStyle w:val="Titre1"/>
      <w:lvlText w:val="%1"/>
      <w:lvlJc w:val="left"/>
      <w:pPr>
        <w:tabs>
          <w:tab w:val="num" w:pos="2552"/>
        </w:tabs>
        <w:ind w:left="2552" w:hanging="1191"/>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 %1.%2"/>
      <w:lvlJc w:val="left"/>
      <w:pPr>
        <w:tabs>
          <w:tab w:val="num" w:pos="5134"/>
        </w:tabs>
        <w:ind w:left="5134" w:hanging="454"/>
      </w:pPr>
      <w:rPr>
        <w:rFonts w:ascii="_GOPA TheSerif Light" w:hAnsi="_GOPA TheSerif Light" w:cs="_GOPA TheSerif Light" w:hint="default"/>
        <w:b/>
        <w:i w:val="0"/>
        <w:caps w:val="0"/>
        <w:smallCaps w:val="0"/>
        <w:strike w:val="0"/>
        <w:dstrike w:val="0"/>
        <w:vanish w:val="0"/>
        <w:color w:val="006058"/>
        <w:position w:val="0"/>
        <w:sz w:val="22"/>
        <w:szCs w:val="22"/>
        <w:u w:val="none"/>
        <w:vertAlign w:val="baseline"/>
      </w:rPr>
    </w:lvl>
    <w:lvl w:ilvl="2">
      <w:start w:val="1"/>
      <w:numFmt w:val="decimal"/>
      <w:lvlText w:val="%1.%2.%3"/>
      <w:lvlJc w:val="left"/>
      <w:pPr>
        <w:tabs>
          <w:tab w:val="num" w:pos="4027"/>
        </w:tabs>
        <w:ind w:left="4027" w:hanging="624"/>
      </w:pPr>
      <w:rPr>
        <w:rFonts w:ascii="_GOPA TheSerif Light" w:hAnsi="_GOPA TheSerif Light" w:cs="_GOPA TheSerif Light" w:hint="default"/>
        <w:b w:val="0"/>
        <w:i w:val="0"/>
        <w:color w:val="006058"/>
        <w:sz w:val="20"/>
        <w:szCs w:val="22"/>
      </w:rPr>
    </w:lvl>
    <w:lvl w:ilvl="3">
      <w:start w:val="1"/>
      <w:numFmt w:val="decimal"/>
      <w:lvlText w:val="%1.%2.%3.%4"/>
      <w:lvlJc w:val="left"/>
      <w:pPr>
        <w:tabs>
          <w:tab w:val="num" w:pos="624"/>
        </w:tabs>
        <w:ind w:left="624" w:hanging="624"/>
      </w:pPr>
      <w:rPr>
        <w:rFonts w:ascii="_GOPA TheSerif Light" w:hAnsi="_GOPA TheSerif Light" w:cs="_GOPA TheSerif Light" w:hint="default"/>
        <w:b w:val="0"/>
        <w:i w:val="0"/>
        <w:caps w:val="0"/>
        <w:smallCaps w:val="0"/>
        <w:strike w:val="0"/>
        <w:dstrike w:val="0"/>
        <w:vanish w:val="0"/>
        <w:color w:val="000000"/>
        <w:position w:val="0"/>
        <w:sz w:val="19"/>
        <w:szCs w:val="18"/>
        <w:vertAlign w:val="baseline"/>
      </w:rPr>
    </w:lvl>
    <w:lvl w:ilvl="4">
      <w:start w:val="1"/>
      <w:numFmt w:val="decimal"/>
      <w:lvlText w:val="%1.%2.%3.%4.%5"/>
      <w:lvlJc w:val="left"/>
      <w:pPr>
        <w:tabs>
          <w:tab w:val="num" w:pos="1361"/>
        </w:tabs>
        <w:ind w:left="624" w:hanging="624"/>
      </w:pPr>
      <w:rPr>
        <w:rFonts w:hint="default"/>
      </w:rPr>
    </w:lvl>
    <w:lvl w:ilvl="5">
      <w:start w:val="1"/>
      <w:numFmt w:val="lowerRoman"/>
      <w:lvlText w:val="%6."/>
      <w:lvlJc w:val="right"/>
      <w:pPr>
        <w:tabs>
          <w:tab w:val="num" w:pos="1361"/>
        </w:tabs>
        <w:ind w:left="7496" w:hanging="180"/>
      </w:pPr>
      <w:rPr>
        <w:rFonts w:hint="default"/>
      </w:rPr>
    </w:lvl>
    <w:lvl w:ilvl="6">
      <w:start w:val="1"/>
      <w:numFmt w:val="decimal"/>
      <w:lvlText w:val="%7."/>
      <w:lvlJc w:val="left"/>
      <w:pPr>
        <w:tabs>
          <w:tab w:val="num" w:pos="1361"/>
        </w:tabs>
        <w:ind w:left="8216" w:hanging="360"/>
      </w:pPr>
      <w:rPr>
        <w:rFonts w:hint="default"/>
      </w:rPr>
    </w:lvl>
    <w:lvl w:ilvl="7">
      <w:start w:val="1"/>
      <w:numFmt w:val="lowerLetter"/>
      <w:lvlText w:val="%8."/>
      <w:lvlJc w:val="left"/>
      <w:pPr>
        <w:tabs>
          <w:tab w:val="num" w:pos="1361"/>
        </w:tabs>
        <w:ind w:left="8936" w:hanging="360"/>
      </w:pPr>
      <w:rPr>
        <w:rFonts w:hint="default"/>
      </w:rPr>
    </w:lvl>
    <w:lvl w:ilvl="8">
      <w:start w:val="1"/>
      <w:numFmt w:val="lowerRoman"/>
      <w:lvlText w:val="%9."/>
      <w:lvlJc w:val="right"/>
      <w:pPr>
        <w:tabs>
          <w:tab w:val="num" w:pos="1361"/>
        </w:tabs>
        <w:ind w:left="9656" w:hanging="180"/>
      </w:pPr>
      <w:rPr>
        <w:rFonts w:hint="default"/>
      </w:rPr>
    </w:lvl>
  </w:abstractNum>
  <w:abstractNum w:abstractNumId="1" w15:restartNumberingAfterBreak="0">
    <w:nsid w:val="106471C2"/>
    <w:multiLevelType w:val="multilevel"/>
    <w:tmpl w:val="106471C2"/>
    <w:lvl w:ilvl="0">
      <w:start w:val="168"/>
      <w:numFmt w:val="bullet"/>
      <w:lvlText w:val="-"/>
      <w:lvlJc w:val="left"/>
      <w:pPr>
        <w:ind w:left="360" w:hanging="360"/>
      </w:pPr>
      <w:rPr>
        <w:rFonts w:ascii="Calibri" w:eastAsia="Calibri" w:hAnsi="Calibri" w:cs="Times New Roman"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7510CD"/>
    <w:multiLevelType w:val="multilevel"/>
    <w:tmpl w:val="2D7510CD"/>
    <w:lvl w:ilvl="0">
      <w:numFmt w:val="bullet"/>
      <w:lvlText w:val="-"/>
      <w:lvlJc w:val="left"/>
      <w:pPr>
        <w:ind w:left="360" w:hanging="360"/>
      </w:pPr>
      <w:rPr>
        <w:rFonts w:ascii="Calibri" w:eastAsia="Times New Roman" w:hAnsi="Calibri"/>
      </w:rPr>
    </w:lvl>
    <w:lvl w:ilvl="1">
      <w:numFmt w:val="bullet"/>
      <w:lvlText w:val=""/>
      <w:lvlJc w:val="left"/>
      <w:pPr>
        <w:ind w:left="360" w:hanging="360"/>
      </w:pPr>
      <w:rPr>
        <w:rFonts w:ascii="Symbol" w:hAnsi="Symbol"/>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3" w15:restartNumberingAfterBreak="0">
    <w:nsid w:val="2DC52484"/>
    <w:multiLevelType w:val="multilevel"/>
    <w:tmpl w:val="369AF93E"/>
    <w:lvl w:ilvl="0">
      <w:numFmt w:val="bullet"/>
      <w:lvlText w:val="-"/>
      <w:lvlJc w:val="left"/>
      <w:pPr>
        <w:ind w:left="36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32314FCE"/>
    <w:multiLevelType w:val="multilevel"/>
    <w:tmpl w:val="32314FCE"/>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445820EA"/>
    <w:multiLevelType w:val="multilevel"/>
    <w:tmpl w:val="445820EA"/>
    <w:lvl w:ilvl="0">
      <w:numFmt w:val="bullet"/>
      <w:lvlText w:val="-"/>
      <w:lvlJc w:val="left"/>
      <w:pPr>
        <w:ind w:left="720" w:hanging="360"/>
      </w:pPr>
      <w:rPr>
        <w:rFonts w:ascii="Calibri" w:eastAsia="Times New Roman"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45FE6476"/>
    <w:multiLevelType w:val="multilevel"/>
    <w:tmpl w:val="45FE6476"/>
    <w:lvl w:ilvl="0">
      <w:start w:val="168"/>
      <w:numFmt w:val="bullet"/>
      <w:lvlText w:val="-"/>
      <w:lvlJc w:val="left"/>
      <w:pPr>
        <w:ind w:left="36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2C1"/>
    <w:rsid w:val="000022C1"/>
    <w:rsid w:val="000069F9"/>
    <w:rsid w:val="0003305A"/>
    <w:rsid w:val="0032460B"/>
    <w:rsid w:val="00A77011"/>
    <w:rsid w:val="00AE1172"/>
    <w:rsid w:val="00C1633D"/>
    <w:rsid w:val="00DD0149"/>
    <w:rsid w:val="00FE6D4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D46FC1-FDAC-413F-9888-59103175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2C1"/>
    <w:pPr>
      <w:spacing w:after="200" w:line="276" w:lineRule="auto"/>
    </w:pPr>
    <w:rPr>
      <w:rFonts w:ascii="Optane" w:eastAsia="宋体" w:hAnsi="Optane" w:cs="Times New Roman"/>
      <w:lang w:val="it-IT" w:eastAsia="en-US"/>
    </w:rPr>
  </w:style>
  <w:style w:type="paragraph" w:styleId="Titre1">
    <w:name w:val="heading 1"/>
    <w:next w:val="Normal"/>
    <w:link w:val="Titre1Car1"/>
    <w:uiPriority w:val="9"/>
    <w:qFormat/>
    <w:rsid w:val="000069F9"/>
    <w:pPr>
      <w:keepNext/>
      <w:keepLines/>
      <w:pageBreakBefore/>
      <w:numPr>
        <w:numId w:val="1"/>
      </w:numPr>
      <w:suppressAutoHyphens/>
      <w:spacing w:before="840" w:after="480" w:line="380" w:lineRule="exact"/>
      <w:jc w:val="both"/>
      <w:outlineLvl w:val="0"/>
    </w:pPr>
    <w:rPr>
      <w:rFonts w:ascii="Arial" w:hAnsi="Arial" w:cs="_GOPA TheSerif Light"/>
      <w:bCs/>
      <w:color w:val="DC9300"/>
      <w:sz w:val="48"/>
      <w:szCs w:val="28"/>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uiPriority w:val="9"/>
    <w:rsid w:val="00A77011"/>
    <w:rPr>
      <w:rFonts w:asciiTheme="majorHAnsi" w:eastAsiaTheme="majorEastAsia" w:hAnsiTheme="majorHAnsi" w:cstheme="majorBidi"/>
      <w:b/>
      <w:bCs/>
      <w:color w:val="2E74B5" w:themeColor="accent1" w:themeShade="BF"/>
      <w:sz w:val="28"/>
      <w:szCs w:val="28"/>
    </w:rPr>
  </w:style>
  <w:style w:type="paragraph" w:customStyle="1" w:styleId="Style2">
    <w:name w:val="Style2"/>
    <w:basedOn w:val="Paragraphedeliste"/>
    <w:link w:val="Style2Car"/>
    <w:qFormat/>
    <w:rsid w:val="0032460B"/>
    <w:pPr>
      <w:spacing w:after="123" w:line="259" w:lineRule="auto"/>
      <w:ind w:left="0" w:right="66"/>
    </w:pPr>
    <w:rPr>
      <w:rFonts w:eastAsiaTheme="minorEastAsia"/>
      <w:b/>
      <w:lang w:val="en-US" w:eastAsia="zh-CN"/>
    </w:rPr>
  </w:style>
  <w:style w:type="character" w:customStyle="1" w:styleId="Style2Car">
    <w:name w:val="Style2 Car"/>
    <w:basedOn w:val="Policepardfaut"/>
    <w:link w:val="Style2"/>
    <w:rsid w:val="0032460B"/>
    <w:rPr>
      <w:rFonts w:ascii="Calibri" w:hAnsi="Calibri"/>
      <w:b/>
      <w:lang w:val="en-US"/>
    </w:rPr>
  </w:style>
  <w:style w:type="paragraph" w:styleId="Paragraphedeliste">
    <w:name w:val="List Paragraph"/>
    <w:basedOn w:val="Normal"/>
    <w:link w:val="ParagraphedelisteCar1"/>
    <w:uiPriority w:val="34"/>
    <w:qFormat/>
    <w:rsid w:val="0032460B"/>
    <w:pPr>
      <w:ind w:left="720"/>
      <w:contextualSpacing/>
    </w:pPr>
  </w:style>
  <w:style w:type="paragraph" w:customStyle="1" w:styleId="Style3">
    <w:name w:val="Style3"/>
    <w:basedOn w:val="Normal"/>
    <w:link w:val="Style3Car"/>
    <w:qFormat/>
    <w:rsid w:val="0032460B"/>
    <w:pPr>
      <w:spacing w:after="123" w:line="259" w:lineRule="auto"/>
      <w:ind w:left="426" w:right="66"/>
    </w:pPr>
    <w:rPr>
      <w:rFonts w:ascii="Times New Roman" w:eastAsia="Times New Roman" w:hAnsi="Times New Roman"/>
      <w:i/>
      <w:color w:val="000000"/>
      <w:lang w:val="en-US" w:eastAsia="zh-CN"/>
    </w:rPr>
  </w:style>
  <w:style w:type="character" w:customStyle="1" w:styleId="Style3Car">
    <w:name w:val="Style3 Car"/>
    <w:basedOn w:val="Policepardfaut"/>
    <w:link w:val="Style3"/>
    <w:rsid w:val="0032460B"/>
    <w:rPr>
      <w:rFonts w:ascii="Times New Roman" w:eastAsia="Times New Roman" w:hAnsi="Times New Roman" w:cs="Times New Roman"/>
      <w:i/>
      <w:color w:val="000000"/>
      <w:lang w:val="en-US"/>
    </w:rPr>
  </w:style>
  <w:style w:type="paragraph" w:customStyle="1" w:styleId="Style1">
    <w:name w:val="Style1"/>
    <w:basedOn w:val="Normal"/>
    <w:link w:val="Style1Car"/>
    <w:qFormat/>
    <w:rsid w:val="0032460B"/>
    <w:pPr>
      <w:spacing w:after="5" w:line="354" w:lineRule="auto"/>
      <w:ind w:left="-5" w:right="66" w:hanging="10"/>
    </w:pPr>
    <w:rPr>
      <w:rFonts w:ascii="Times New Roman" w:eastAsia="Times New Roman" w:hAnsi="Times New Roman"/>
      <w:b/>
      <w:color w:val="000000"/>
      <w:sz w:val="29"/>
      <w:lang w:val="en-US" w:eastAsia="zh-CN"/>
    </w:rPr>
  </w:style>
  <w:style w:type="character" w:customStyle="1" w:styleId="Style1Car">
    <w:name w:val="Style1 Car"/>
    <w:basedOn w:val="Policepardfaut"/>
    <w:link w:val="Style1"/>
    <w:rsid w:val="0032460B"/>
    <w:rPr>
      <w:rFonts w:ascii="Times New Roman" w:eastAsia="Times New Roman" w:hAnsi="Times New Roman" w:cs="Times New Roman"/>
      <w:b/>
      <w:color w:val="000000"/>
      <w:sz w:val="29"/>
      <w:lang w:val="en-US"/>
    </w:rPr>
  </w:style>
  <w:style w:type="paragraph" w:customStyle="1" w:styleId="note">
    <w:name w:val="note"/>
    <w:basedOn w:val="Notedebasdepage"/>
    <w:link w:val="noteCar"/>
    <w:qFormat/>
    <w:rsid w:val="00AE1172"/>
    <w:rPr>
      <w:rFonts w:eastAsiaTheme="minorEastAsia"/>
      <w:sz w:val="18"/>
      <w:lang w:val="en-US" w:eastAsia="zh-CN"/>
    </w:rPr>
  </w:style>
  <w:style w:type="character" w:customStyle="1" w:styleId="noteCar">
    <w:name w:val="note Car"/>
    <w:basedOn w:val="NotedebasdepageCar"/>
    <w:link w:val="note"/>
    <w:rsid w:val="00AE1172"/>
    <w:rPr>
      <w:rFonts w:ascii="Calibri" w:eastAsiaTheme="minorHAnsi" w:hAnsi="Calibri"/>
      <w:sz w:val="18"/>
      <w:szCs w:val="20"/>
      <w:lang w:val="en-US" w:eastAsia="en-US"/>
    </w:rPr>
  </w:style>
  <w:style w:type="paragraph" w:styleId="Notedebasdepage">
    <w:name w:val="footnote text"/>
    <w:basedOn w:val="Normal"/>
    <w:link w:val="NotedebasdepageCar"/>
    <w:uiPriority w:val="99"/>
    <w:semiHidden/>
    <w:unhideWhenUsed/>
    <w:rsid w:val="00AE117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E1172"/>
    <w:rPr>
      <w:rFonts w:ascii="Calibri" w:eastAsiaTheme="minorHAnsi" w:hAnsi="Calibri"/>
      <w:sz w:val="20"/>
      <w:szCs w:val="20"/>
      <w:lang w:val="it-IT" w:eastAsia="en-US"/>
    </w:rPr>
  </w:style>
  <w:style w:type="character" w:customStyle="1" w:styleId="Titre1Car1">
    <w:name w:val="Titre 1 Car1"/>
    <w:link w:val="Titre1"/>
    <w:uiPriority w:val="9"/>
    <w:rsid w:val="000069F9"/>
    <w:rPr>
      <w:rFonts w:ascii="Arial" w:hAnsi="Arial" w:cs="_GOPA TheSerif Light"/>
      <w:bCs/>
      <w:color w:val="DC9300"/>
      <w:sz w:val="48"/>
      <w:szCs w:val="28"/>
      <w:lang w:val="en-GB" w:eastAsia="ar-SA"/>
    </w:rPr>
  </w:style>
  <w:style w:type="character" w:customStyle="1" w:styleId="ColorfulList-Accent1Char">
    <w:name w:val="Colorful List - Accent 1 Char"/>
    <w:link w:val="ColorfulList-Accent11"/>
    <w:qFormat/>
    <w:rsid w:val="000022C1"/>
    <w:rPr>
      <w:rFonts w:ascii="Optane" w:hAnsi="Optane"/>
      <w:lang w:eastAsia="en-US"/>
    </w:rPr>
  </w:style>
  <w:style w:type="paragraph" w:customStyle="1" w:styleId="ColorfulList-Accent11">
    <w:name w:val="Colorful List - Accent 11"/>
    <w:basedOn w:val="Normal"/>
    <w:link w:val="ColorfulList-Accent1Char"/>
    <w:uiPriority w:val="34"/>
    <w:qFormat/>
    <w:rsid w:val="000022C1"/>
    <w:pPr>
      <w:ind w:left="708"/>
    </w:pPr>
    <w:rPr>
      <w:rFonts w:eastAsiaTheme="minorEastAsia" w:cstheme="minorBidi"/>
      <w:lang w:val="fr-FR"/>
    </w:rPr>
  </w:style>
  <w:style w:type="character" w:customStyle="1" w:styleId="ParagraphedelisteCar">
    <w:name w:val="Paragraphe de liste Car"/>
    <w:aliases w:val="Normal bullet 2 Car,Bullet list Car,List Paragraph1 Car,Numbered List Car,1st level - Bullet List Paragraph Car,Lettre d'introduction Car,lp1 Car"/>
    <w:link w:val="Paragraphedeliste1"/>
    <w:locked/>
    <w:rsid w:val="000022C1"/>
    <w:rPr>
      <w:rFonts w:ascii="Calibri" w:hAnsi="Calibri" w:cs="Calibri"/>
      <w:lang w:val="en-US" w:eastAsia="ar-SA"/>
    </w:rPr>
  </w:style>
  <w:style w:type="paragraph" w:customStyle="1" w:styleId="Default">
    <w:name w:val="Default"/>
    <w:rsid w:val="000022C1"/>
    <w:pPr>
      <w:widowControl w:val="0"/>
      <w:autoSpaceDE w:val="0"/>
      <w:autoSpaceDN w:val="0"/>
      <w:adjustRightInd w:val="0"/>
      <w:spacing w:after="0" w:line="240" w:lineRule="auto"/>
    </w:pPr>
    <w:rPr>
      <w:rFonts w:ascii="Times New Roman" w:eastAsia="宋体" w:hAnsi="Times New Roman" w:cs="Times New Roman"/>
      <w:color w:val="000000"/>
      <w:sz w:val="24"/>
      <w:szCs w:val="24"/>
      <w:lang w:val="en-US" w:eastAsia="en-US"/>
    </w:rPr>
  </w:style>
  <w:style w:type="paragraph" w:customStyle="1" w:styleId="Paragraphedeliste1">
    <w:name w:val="Paragraphe de liste1"/>
    <w:aliases w:val="Normal bullet 2,Bullet list,List Paragraph1,Numbered List,1st level - Bullet List Paragraph,Lettre d'introduction,lp1"/>
    <w:basedOn w:val="Normal"/>
    <w:link w:val="ParagraphedelisteCar"/>
    <w:qFormat/>
    <w:rsid w:val="000022C1"/>
    <w:pPr>
      <w:ind w:left="720"/>
      <w:jc w:val="both"/>
    </w:pPr>
    <w:rPr>
      <w:rFonts w:ascii="Calibri" w:eastAsiaTheme="minorEastAsia" w:hAnsi="Calibri" w:cs="Calibri"/>
      <w:lang w:val="en-US" w:eastAsia="ar-SA"/>
    </w:rPr>
  </w:style>
  <w:style w:type="character" w:customStyle="1" w:styleId="ParagraphedelisteCar1">
    <w:name w:val="Paragraphe de liste Car1"/>
    <w:link w:val="Paragraphedeliste"/>
    <w:uiPriority w:val="34"/>
    <w:qFormat/>
    <w:locked/>
    <w:rsid w:val="000022C1"/>
    <w:rPr>
      <w:rFonts w:ascii="Optane" w:eastAsia="宋体" w:hAnsi="Optane" w:cs="Times New Roman"/>
      <w:lang w:val="it-I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p-cn.eu/reports/2015DraftReformProposalsCN.pdf" TargetMode="External"/><Relationship Id="rId5" Type="http://schemas.openxmlformats.org/officeDocument/2006/relationships/hyperlink" Target="http://sprp-cn.eu/reports/2015DraftReformProposalsEN.pd"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2302</Words>
  <Characters>12665</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Jean-Victor Gruat</dc:creator>
  <cp:keywords/>
  <dc:description/>
  <cp:lastModifiedBy>Jean-Victor Gruat</cp:lastModifiedBy>
  <cp:revision>3</cp:revision>
  <dcterms:created xsi:type="dcterms:W3CDTF">2018-08-07T07:28:00Z</dcterms:created>
  <dcterms:modified xsi:type="dcterms:W3CDTF">2019-07-10T01:57:00Z</dcterms:modified>
</cp:coreProperties>
</file>