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A0C0B8" w14:textId="77777777" w:rsidR="00A01678" w:rsidRDefault="00A01678" w:rsidP="00A01678">
      <w:pPr>
        <w:spacing w:beforeLines="50" w:before="156" w:afterLines="50" w:after="156" w:line="360" w:lineRule="auto"/>
        <w:jc w:val="center"/>
        <w:rPr>
          <w:rFonts w:ascii="Optane" w:hAnsi="Optane" w:cs="Times New Roman"/>
          <w:b/>
          <w:sz w:val="56"/>
          <w:szCs w:val="56"/>
        </w:rPr>
      </w:pPr>
      <w:r>
        <w:rPr>
          <w:rFonts w:ascii="Optane" w:hAnsi="Optane" w:cs="Times New Roman" w:hint="eastAsia"/>
          <w:b/>
          <w:sz w:val="56"/>
          <w:szCs w:val="56"/>
        </w:rPr>
        <w:t>欧盟成员国的养老金</w:t>
      </w:r>
      <w:r w:rsidRPr="00564640">
        <w:rPr>
          <w:rFonts w:ascii="Optane" w:hAnsi="Optane" w:cs="Times New Roman" w:hint="eastAsia"/>
          <w:b/>
          <w:sz w:val="56"/>
          <w:szCs w:val="56"/>
        </w:rPr>
        <w:t>参数</w:t>
      </w:r>
      <w:r>
        <w:rPr>
          <w:rFonts w:ascii="Optane" w:hAnsi="Optane" w:cs="Times New Roman" w:hint="eastAsia"/>
          <w:b/>
          <w:sz w:val="56"/>
          <w:szCs w:val="56"/>
        </w:rPr>
        <w:t>改革</w:t>
      </w:r>
    </w:p>
    <w:p w14:paraId="530E0F76" w14:textId="77777777" w:rsidR="00A01678" w:rsidRPr="00845F01" w:rsidRDefault="00A01678" w:rsidP="00A01678">
      <w:pPr>
        <w:spacing w:beforeLines="50" w:before="156" w:afterLines="50" w:after="156" w:line="360" w:lineRule="auto"/>
        <w:jc w:val="both"/>
        <w:rPr>
          <w:rFonts w:ascii="Optane" w:hAnsi="Optane" w:cs="Times New Roman"/>
          <w:b/>
          <w:sz w:val="56"/>
          <w:szCs w:val="56"/>
        </w:rPr>
      </w:pPr>
    </w:p>
    <w:p w14:paraId="5D73F9AF" w14:textId="77777777" w:rsidR="00A01678" w:rsidRPr="00845F01" w:rsidRDefault="00A01678" w:rsidP="00A01678">
      <w:pPr>
        <w:spacing w:beforeLines="50" w:before="156" w:afterLines="50" w:after="156" w:line="360" w:lineRule="auto"/>
        <w:jc w:val="center"/>
        <w:rPr>
          <w:rFonts w:ascii="Optane" w:hAnsi="Optane" w:cs="Times New Roman"/>
          <w:b/>
          <w:sz w:val="56"/>
          <w:szCs w:val="56"/>
        </w:rPr>
      </w:pPr>
      <w:r w:rsidRPr="00A01678">
        <w:rPr>
          <w:rFonts w:ascii="黑体" w:eastAsia="黑体" w:hAnsi="黑体" w:cs="Times New Roman" w:hint="eastAsia"/>
          <w:sz w:val="56"/>
          <w:szCs w:val="56"/>
        </w:rPr>
        <w:t>瑞典</w:t>
      </w:r>
      <w:r>
        <w:rPr>
          <w:rFonts w:ascii="Optane" w:hAnsi="Optane" w:cs="Times New Roman" w:hint="eastAsia"/>
          <w:b/>
          <w:sz w:val="56"/>
          <w:szCs w:val="56"/>
        </w:rPr>
        <w:t>国家报告</w:t>
      </w:r>
      <w:bookmarkStart w:id="0" w:name="_GoBack"/>
      <w:bookmarkEnd w:id="0"/>
    </w:p>
    <w:p w14:paraId="453E83EB" w14:textId="77777777" w:rsidR="00A01678" w:rsidRPr="006A178D" w:rsidRDefault="00A01678" w:rsidP="00A01678">
      <w:pPr>
        <w:spacing w:beforeLines="50" w:before="156" w:afterLines="50" w:after="156" w:line="360" w:lineRule="auto"/>
        <w:jc w:val="center"/>
        <w:rPr>
          <w:rFonts w:ascii="Optane" w:hAnsi="Optane" w:cs="Times New Roman"/>
          <w:sz w:val="24"/>
        </w:rPr>
      </w:pPr>
    </w:p>
    <w:p w14:paraId="0A57A3F1" w14:textId="77777777" w:rsidR="00A01678" w:rsidRPr="006A178D" w:rsidRDefault="00A01678" w:rsidP="00A01678">
      <w:pPr>
        <w:spacing w:beforeLines="50" w:before="156" w:afterLines="50" w:after="156" w:line="360" w:lineRule="auto"/>
        <w:jc w:val="center"/>
        <w:rPr>
          <w:rFonts w:ascii="Optane" w:hAnsi="Optane" w:cs="Times New Roman"/>
        </w:rPr>
      </w:pPr>
      <w:r>
        <w:rPr>
          <w:rFonts w:ascii="Optane" w:hAnsi="Optane" w:cs="Times New Roman"/>
          <w:noProof/>
        </w:rPr>
        <w:drawing>
          <wp:inline distT="0" distB="0" distL="0" distR="0" wp14:anchorId="4F292E05" wp14:editId="79D7672E">
            <wp:extent cx="2182188" cy="2176092"/>
            <wp:effectExtent l="0" t="0" r="889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188" cy="2176092"/>
                    </a:xfrm>
                    <a:prstGeom prst="rect">
                      <a:avLst/>
                    </a:prstGeom>
                  </pic:spPr>
                </pic:pic>
              </a:graphicData>
            </a:graphic>
          </wp:inline>
        </w:drawing>
      </w:r>
    </w:p>
    <w:p w14:paraId="5F3918A9" w14:textId="77777777" w:rsidR="00A01678" w:rsidRPr="006A178D" w:rsidRDefault="00A01678" w:rsidP="00A01678">
      <w:pPr>
        <w:tabs>
          <w:tab w:val="center" w:pos="4819"/>
          <w:tab w:val="left" w:pos="8706"/>
        </w:tabs>
        <w:spacing w:beforeLines="50" w:before="156" w:afterLines="50" w:after="156" w:line="360" w:lineRule="auto"/>
        <w:jc w:val="center"/>
        <w:rPr>
          <w:rFonts w:ascii="Optane" w:hAnsi="Optane" w:cs="Times New Roman"/>
          <w:sz w:val="24"/>
        </w:rPr>
      </w:pPr>
      <w:r>
        <w:rPr>
          <w:noProof/>
          <w:lang w:eastAsia="en-US"/>
        </w:rPr>
        <w:pict w14:anchorId="579E4918">
          <v:shapetype id="_x0000_t202" coordsize="21600,21600" o:spt="202" path="m0,0l0,21600,21600,21600,21600,0xe">
            <v:stroke joinstyle="miter"/>
            <v:path gradientshapeok="t" o:connecttype="rect"/>
          </v:shapetype>
          <v:shape id="Text Box 3" o:spid="_x0000_s1026" type="#_x0000_t202" style="position:absolute;left:0;text-align:left;margin-left:0;margin-top:2.95pt;width:99pt;height:2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" filled="f" stroked="f">
            <v:path arrowok="t"/>
            <v:textbox>
              <w:txbxContent>
                <w:p w14:paraId="1B94D270" w14:textId="77777777" w:rsidR="00A01678" w:rsidRPr="003142B1" w:rsidRDefault="00A01678" w:rsidP="00A01678">
                  <w:pPr>
                    <w:rPr>
                      <w:b/>
                      <w:sz w:val="28"/>
                      <w:szCs w:val="28"/>
                    </w:rPr>
                  </w:pPr>
                  <w:r w:rsidRPr="003142B1">
                    <w:rPr>
                      <w:b/>
                      <w:sz w:val="28"/>
                      <w:szCs w:val="28"/>
                    </w:rPr>
                    <w:t>Component 1</w:t>
                  </w:r>
                </w:p>
              </w:txbxContent>
            </v:textbox>
            <w10:wrap type="square" anchorx="margin"/>
          </v:shape>
        </w:pict>
      </w:r>
    </w:p>
    <w:p w14:paraId="2C73E982" w14:textId="77777777" w:rsidR="00A01678" w:rsidRDefault="00A01678" w:rsidP="00A01678">
      <w:pPr>
        <w:spacing w:beforeLines="50" w:before="156" w:afterLines="50" w:after="156" w:line="360" w:lineRule="auto"/>
        <w:jc w:val="center"/>
        <w:rPr>
          <w:rFonts w:ascii="Optane" w:eastAsia="MS Gothic" w:hAnsi="Optane" w:cs="Times New Roman"/>
        </w:rPr>
      </w:pPr>
    </w:p>
    <w:p w14:paraId="75D1D918" w14:textId="77777777" w:rsidR="00A01678" w:rsidRDefault="00A01678" w:rsidP="00A01678">
      <w:pPr>
        <w:spacing w:beforeLines="50" w:before="156" w:afterLines="50" w:after="156" w:line="360" w:lineRule="auto"/>
        <w:jc w:val="right"/>
        <w:rPr>
          <w:rFonts w:ascii="Optane" w:hAnsi="Optane" w:cs="Times New Roman"/>
          <w:b/>
          <w:lang w:val="fr-FR"/>
        </w:rPr>
      </w:pPr>
      <w:proofErr w:type="spellStart"/>
      <w:r w:rsidRPr="004A7DED">
        <w:rPr>
          <w:rFonts w:ascii="Optane" w:eastAsia="MS Gothic" w:hAnsi="Optane" w:cs="Times New Roman"/>
          <w:b/>
          <w:lang w:val="fr-FR"/>
        </w:rPr>
        <w:t>June</w:t>
      </w:r>
      <w:proofErr w:type="spellEnd"/>
      <w:r w:rsidRPr="004A7DED">
        <w:rPr>
          <w:rFonts w:ascii="Optane" w:eastAsia="MS Gothic" w:hAnsi="Optane" w:cs="Times New Roman"/>
          <w:b/>
          <w:lang w:val="fr-FR"/>
        </w:rPr>
        <w:t xml:space="preserve"> 2017, v.1</w:t>
      </w:r>
    </w:p>
    <w:p w14:paraId="0E8268C1" w14:textId="77777777" w:rsidR="00A01678" w:rsidRDefault="00A01678" w:rsidP="00A01678">
      <w:pPr>
        <w:jc w:val="right"/>
        <w:rPr>
          <w:b/>
          <w:sz w:val="28"/>
          <w:szCs w:val="28"/>
          <w:lang w:val="en-GB"/>
        </w:rPr>
      </w:pPr>
      <w:r>
        <w:rPr>
          <w:rFonts w:ascii="Optane" w:hAnsi="Optane" w:cs="Times New Roman" w:hint="eastAsia"/>
          <w:b/>
          <w:lang w:val="fr-FR"/>
        </w:rPr>
        <w:t>2017</w:t>
      </w:r>
      <w:r>
        <w:rPr>
          <w:rFonts w:ascii="Optane" w:hAnsi="Optane" w:cs="Times New Roman" w:hint="eastAsia"/>
          <w:b/>
          <w:lang w:val="fr-FR"/>
        </w:rPr>
        <w:t>年</w:t>
      </w:r>
      <w:r>
        <w:rPr>
          <w:rFonts w:ascii="Optane" w:hAnsi="Optane" w:cs="Times New Roman" w:hint="eastAsia"/>
          <w:b/>
          <w:lang w:val="fr-FR"/>
        </w:rPr>
        <w:t>6</w:t>
      </w:r>
      <w:r>
        <w:rPr>
          <w:rFonts w:ascii="Optane" w:hAnsi="Optane" w:cs="Times New Roman" w:hint="eastAsia"/>
          <w:b/>
          <w:lang w:val="fr-FR"/>
        </w:rPr>
        <w:t>月，第一版</w:t>
      </w:r>
    </w:p>
    <w:p w14:paraId="3BF9717B" w14:textId="77777777" w:rsidR="00A01678" w:rsidRDefault="00A01678">
      <w:pPr>
        <w:adjustRightInd/>
        <w:snapToGrid/>
        <w:spacing w:after="0"/>
        <w:rPr>
          <w:rFonts w:ascii="黑体" w:eastAsia="黑体" w:hAnsi="黑体" w:cs="Times New Roman"/>
          <w:sz w:val="36"/>
          <w:szCs w:val="36"/>
        </w:rPr>
      </w:pPr>
    </w:p>
    <w:p w14:paraId="6B834C74" w14:textId="77777777" w:rsidR="00A01678" w:rsidRDefault="00A01678">
      <w:pPr>
        <w:adjustRightInd/>
        <w:snapToGrid/>
        <w:spacing w:after="0"/>
        <w:rPr>
          <w:rFonts w:ascii="黑体" w:eastAsia="黑体" w:hAnsi="黑体" w:cs="Times New Roman"/>
          <w:sz w:val="36"/>
          <w:szCs w:val="36"/>
        </w:rPr>
      </w:pPr>
    </w:p>
    <w:p w14:paraId="2718F700" w14:textId="77777777" w:rsidR="00A01678" w:rsidRDefault="00A01678">
      <w:pPr>
        <w:adjustRightInd/>
        <w:snapToGrid/>
        <w:spacing w:after="0"/>
        <w:rPr>
          <w:rFonts w:ascii="黑体" w:eastAsia="黑体" w:hAnsi="黑体" w:cs="Times New Roman"/>
          <w:sz w:val="36"/>
          <w:szCs w:val="36"/>
        </w:rPr>
      </w:pPr>
    </w:p>
    <w:p w14:paraId="03C89465" w14:textId="77777777" w:rsidR="00A01678" w:rsidRDefault="00A01678">
      <w:pPr>
        <w:adjustRightInd/>
        <w:snapToGrid/>
        <w:spacing w:after="0"/>
        <w:rPr>
          <w:rFonts w:ascii="黑体" w:eastAsia="黑体" w:hAnsi="黑体" w:cs="Times New Roman"/>
          <w:sz w:val="36"/>
          <w:szCs w:val="36"/>
        </w:rPr>
      </w:pPr>
    </w:p>
    <w:p w14:paraId="40F18E8E" w14:textId="77777777" w:rsidR="00A01678" w:rsidRDefault="00A01678">
      <w:pPr>
        <w:adjustRightInd/>
        <w:snapToGrid/>
        <w:spacing w:after="0"/>
        <w:rPr>
          <w:rFonts w:ascii="黑体" w:eastAsia="黑体" w:hAnsi="黑体" w:cs="Times New Roman"/>
          <w:sz w:val="36"/>
          <w:szCs w:val="36"/>
        </w:rPr>
      </w:pPr>
    </w:p>
    <w:p w14:paraId="0DF6A958" w14:textId="77777777" w:rsidR="00A01678" w:rsidRDefault="00A01678">
      <w:pPr>
        <w:adjustRightInd/>
        <w:snapToGrid/>
        <w:spacing w:after="0"/>
        <w:rPr>
          <w:rFonts w:ascii="黑体" w:eastAsia="黑体" w:hAnsi="黑体" w:cs="Times New Roman"/>
          <w:sz w:val="36"/>
          <w:szCs w:val="36"/>
        </w:rPr>
      </w:pPr>
    </w:p>
    <w:p w14:paraId="4ACB3A95" w14:textId="77777777" w:rsidR="00DE25A1" w:rsidRPr="0043674E" w:rsidRDefault="00DE25A1" w:rsidP="00A843B4">
      <w:pPr>
        <w:spacing w:line="400" w:lineRule="exact"/>
        <w:jc w:val="center"/>
        <w:rPr>
          <w:rFonts w:ascii="黑体" w:eastAsia="黑体" w:hAnsi="黑体" w:cs="Times New Roman"/>
          <w:sz w:val="36"/>
          <w:szCs w:val="36"/>
        </w:rPr>
      </w:pPr>
      <w:r w:rsidRPr="0043674E">
        <w:rPr>
          <w:rFonts w:ascii="黑体" w:eastAsia="黑体" w:hAnsi="黑体" w:cs="Times New Roman" w:hint="eastAsia"/>
          <w:sz w:val="36"/>
          <w:szCs w:val="36"/>
        </w:rPr>
        <w:lastRenderedPageBreak/>
        <w:t>中欧社会保障改革项目</w:t>
      </w:r>
    </w:p>
    <w:p w14:paraId="71934702" w14:textId="77777777" w:rsidR="00DE25A1" w:rsidRDefault="00DE25A1" w:rsidP="00A843B4">
      <w:pPr>
        <w:spacing w:line="400" w:lineRule="exact"/>
        <w:jc w:val="center"/>
        <w:rPr>
          <w:rFonts w:ascii="黑体" w:eastAsia="黑体" w:hAnsi="黑体" w:cs="Times New Roman"/>
          <w:sz w:val="36"/>
          <w:szCs w:val="36"/>
        </w:rPr>
      </w:pPr>
      <w:r w:rsidRPr="0043674E">
        <w:rPr>
          <w:rFonts w:ascii="黑体" w:eastAsia="黑体" w:hAnsi="黑体" w:cs="Times New Roman" w:hint="eastAsia"/>
          <w:sz w:val="36"/>
          <w:szCs w:val="36"/>
        </w:rPr>
        <w:t>养老保险参数改革课题欧洲国别报告</w:t>
      </w:r>
    </w:p>
    <w:p w14:paraId="3A18129C" w14:textId="77777777" w:rsidR="00DE25A1" w:rsidRPr="0043674E" w:rsidRDefault="00DE25A1" w:rsidP="00A843B4">
      <w:pPr>
        <w:spacing w:line="400" w:lineRule="exact"/>
        <w:jc w:val="center"/>
        <w:rPr>
          <w:rFonts w:ascii="黑体" w:eastAsia="黑体" w:hAnsi="黑体" w:cs="Times New Roman"/>
          <w:sz w:val="36"/>
          <w:szCs w:val="36"/>
        </w:rPr>
      </w:pPr>
      <w:r>
        <w:rPr>
          <w:rFonts w:ascii="黑体" w:eastAsia="黑体" w:hAnsi="黑体" w:cs="Times New Roman" w:hint="eastAsia"/>
          <w:sz w:val="36"/>
          <w:szCs w:val="36"/>
        </w:rPr>
        <w:t>瑞典养老金制度改革</w:t>
      </w:r>
    </w:p>
    <w:p w14:paraId="488EC051" w14:textId="77777777" w:rsidR="004F0FC0" w:rsidRPr="00DE25A1" w:rsidRDefault="004F0FC0" w:rsidP="00A843B4">
      <w:pPr>
        <w:spacing w:line="400" w:lineRule="exact"/>
        <w:rPr>
          <w:rFonts w:ascii="仿宋" w:eastAsia="仿宋" w:hAnsi="仿宋"/>
          <w:sz w:val="30"/>
          <w:szCs w:val="30"/>
        </w:rPr>
      </w:pPr>
    </w:p>
    <w:p w14:paraId="2774AE81" w14:textId="77777777" w:rsidR="00DE25A1" w:rsidRPr="0043674E" w:rsidRDefault="00DE25A1" w:rsidP="00A843B4">
      <w:pPr>
        <w:spacing w:line="400" w:lineRule="exact"/>
        <w:rPr>
          <w:rFonts w:ascii="楷体" w:eastAsia="楷体" w:hAnsi="楷体" w:cs="Times New Roman"/>
          <w:sz w:val="28"/>
          <w:szCs w:val="28"/>
        </w:rPr>
      </w:pPr>
      <w:r w:rsidRPr="0043674E">
        <w:rPr>
          <w:rFonts w:ascii="楷体" w:eastAsia="楷体" w:hAnsi="楷体" w:cs="Times New Roman" w:hint="eastAsia"/>
          <w:sz w:val="28"/>
          <w:szCs w:val="28"/>
        </w:rPr>
        <w:t>作者：</w:t>
      </w:r>
    </w:p>
    <w:p w14:paraId="425764DA" w14:textId="77777777" w:rsidR="00DE25A1" w:rsidRPr="00DE25A1" w:rsidRDefault="00DE25A1" w:rsidP="00A843B4">
      <w:pPr>
        <w:spacing w:line="400" w:lineRule="exact"/>
        <w:rPr>
          <w:rFonts w:ascii="楷体" w:eastAsia="楷体" w:hAnsi="楷体" w:cs="Times New Roman"/>
          <w:sz w:val="28"/>
          <w:szCs w:val="28"/>
        </w:rPr>
      </w:pPr>
      <w:r w:rsidRPr="00DE25A1">
        <w:rPr>
          <w:rFonts w:ascii="楷体" w:eastAsia="楷体" w:hAnsi="楷体" w:cs="Times New Roman"/>
          <w:sz w:val="28"/>
          <w:szCs w:val="28"/>
        </w:rPr>
        <w:t xml:space="preserve">Karl </w:t>
      </w:r>
      <w:r w:rsidRPr="00DE25A1">
        <w:rPr>
          <w:rFonts w:ascii="楷体" w:eastAsia="楷体" w:hAnsi="楷体" w:cs="Times New Roman" w:hint="eastAsia"/>
          <w:sz w:val="28"/>
          <w:szCs w:val="28"/>
        </w:rPr>
        <w:t>Birkholz</w:t>
      </w:r>
    </w:p>
    <w:p w14:paraId="2DC4DECE" w14:textId="77777777" w:rsidR="00DE25A1" w:rsidRDefault="001C35B0" w:rsidP="00A843B4">
      <w:pPr>
        <w:spacing w:line="400" w:lineRule="exact"/>
        <w:rPr>
          <w:rFonts w:ascii="楷体" w:eastAsia="楷体" w:hAnsi="楷体" w:cs="Times New Roman"/>
          <w:sz w:val="28"/>
          <w:szCs w:val="28"/>
        </w:rPr>
      </w:pPr>
      <w:r>
        <w:rPr>
          <w:rFonts w:ascii="楷体" w:eastAsia="楷体" w:hAnsi="楷体" w:cs="Times New Roman" w:hint="eastAsia"/>
          <w:sz w:val="28"/>
          <w:szCs w:val="28"/>
        </w:rPr>
        <w:t>瑞典养老保险局</w:t>
      </w:r>
      <w:r w:rsidR="00DE25A1" w:rsidRPr="00DE25A1">
        <w:rPr>
          <w:rFonts w:ascii="楷体" w:eastAsia="楷体" w:hAnsi="楷体" w:cs="Times New Roman" w:hint="eastAsia"/>
          <w:sz w:val="28"/>
          <w:szCs w:val="28"/>
        </w:rPr>
        <w:t>研究室高级分析员</w:t>
      </w:r>
    </w:p>
    <w:p w14:paraId="74A455FB" w14:textId="77777777" w:rsidR="00DE25A1" w:rsidRDefault="00DE25A1" w:rsidP="00A843B4">
      <w:pPr>
        <w:spacing w:line="400" w:lineRule="exact"/>
        <w:rPr>
          <w:rFonts w:ascii="楷体" w:eastAsia="楷体" w:hAnsi="楷体" w:cs="Times New Roman"/>
          <w:sz w:val="28"/>
          <w:szCs w:val="28"/>
        </w:rPr>
      </w:pPr>
    </w:p>
    <w:p w14:paraId="5F837385"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一、引言</w:t>
      </w:r>
    </w:p>
    <w:p w14:paraId="50F3A08A" w14:textId="77777777" w:rsidR="00D106B1" w:rsidRPr="00D106B1" w:rsidRDefault="00D106B1" w:rsidP="00A843B4">
      <w:pPr>
        <w:spacing w:line="400" w:lineRule="exact"/>
        <w:ind w:firstLine="576"/>
        <w:jc w:val="both"/>
        <w:rPr>
          <w:rFonts w:ascii="仿宋" w:eastAsia="仿宋" w:hAnsi="仿宋" w:cs="Times New Roman"/>
          <w:sz w:val="28"/>
          <w:szCs w:val="28"/>
        </w:rPr>
      </w:pPr>
      <w:r w:rsidRPr="00D106B1">
        <w:rPr>
          <w:rFonts w:ascii="仿宋" w:eastAsia="仿宋" w:hAnsi="仿宋" w:cs="Times New Roman" w:hint="eastAsia"/>
          <w:sz w:val="28"/>
          <w:szCs w:val="28"/>
        </w:rPr>
        <w:t>本报告旨在简要描述1991年至1998年期间瑞典推行的公共养老金</w:t>
      </w:r>
      <w:r w:rsidR="001C35B0" w:rsidRPr="00D106B1">
        <w:rPr>
          <w:rFonts w:ascii="仿宋" w:eastAsia="仿宋" w:hAnsi="仿宋" w:cs="Times New Roman" w:hint="eastAsia"/>
          <w:sz w:val="28"/>
          <w:szCs w:val="28"/>
        </w:rPr>
        <w:t>系统性</w:t>
      </w:r>
      <w:r w:rsidRPr="00D106B1">
        <w:rPr>
          <w:rFonts w:ascii="仿宋" w:eastAsia="仿宋" w:hAnsi="仿宋" w:cs="Times New Roman" w:hint="eastAsia"/>
          <w:sz w:val="28"/>
          <w:szCs w:val="28"/>
        </w:rPr>
        <w:t>改革，重点是与收入相关的养老金。报告首先阐述了改革的背景和基本原则，概述了改革之前与现行的制度。报告还涵盖了一些具体技术细节以及公众讨论的话题。要深入了解具体信息和技术细节，请参阅《瑞典养老金制度年度报告》[1]。</w:t>
      </w:r>
    </w:p>
    <w:p w14:paraId="2D62A533" w14:textId="77777777" w:rsidR="00D106B1" w:rsidRDefault="00D106B1" w:rsidP="00A843B4">
      <w:pPr>
        <w:spacing w:line="400" w:lineRule="exact"/>
        <w:ind w:firstLine="576"/>
        <w:jc w:val="both"/>
        <w:rPr>
          <w:rFonts w:ascii="仿宋" w:eastAsia="仿宋" w:hAnsi="仿宋" w:cs="Times New Roman"/>
          <w:sz w:val="28"/>
          <w:szCs w:val="28"/>
        </w:rPr>
      </w:pPr>
      <w:r w:rsidRPr="00D106B1">
        <w:rPr>
          <w:rFonts w:ascii="仿宋" w:eastAsia="仿宋" w:hAnsi="仿宋" w:cs="Times New Roman" w:hint="eastAsia"/>
          <w:sz w:val="28"/>
          <w:szCs w:val="28"/>
        </w:rPr>
        <w:t>税收水平和职业养老金</w:t>
      </w:r>
      <w:r w:rsidR="001C35B0">
        <w:rPr>
          <w:rFonts w:ascii="仿宋" w:eastAsia="仿宋" w:hAnsi="仿宋" w:cs="Times New Roman" w:hint="eastAsia"/>
          <w:sz w:val="28"/>
          <w:szCs w:val="28"/>
        </w:rPr>
        <w:t>方案</w:t>
      </w:r>
      <w:r w:rsidRPr="00D106B1">
        <w:rPr>
          <w:rFonts w:ascii="仿宋" w:eastAsia="仿宋" w:hAnsi="仿宋" w:cs="Times New Roman" w:hint="eastAsia"/>
          <w:sz w:val="28"/>
          <w:szCs w:val="28"/>
        </w:rPr>
        <w:t>无疑对个人养老金有影响。本报告未涉及个人养老金，个人养老金与国家公共养老金采用了两种不同的制度。自从实行新养老金制度以来，税收水平已发生多轮变化。改革前，养老金的税率低于工资收入的税率</w:t>
      </w:r>
      <w:r w:rsidR="001C35B0">
        <w:rPr>
          <w:rFonts w:ascii="仿宋" w:eastAsia="仿宋" w:hAnsi="仿宋" w:cs="Times New Roman" w:hint="eastAsia"/>
          <w:sz w:val="28"/>
          <w:szCs w:val="28"/>
        </w:rPr>
        <w:t>；改革旨在短期内使二者持平。目前</w:t>
      </w:r>
      <w:r w:rsidRPr="00D106B1">
        <w:rPr>
          <w:rFonts w:ascii="仿宋" w:eastAsia="仿宋" w:hAnsi="仿宋" w:cs="Times New Roman" w:hint="eastAsia"/>
          <w:sz w:val="28"/>
          <w:szCs w:val="28"/>
        </w:rPr>
        <w:t>情况比较复杂，低水平养老金的税率低于同等的低水平工资收入的税率</w:t>
      </w:r>
      <w:r w:rsidR="001C35B0">
        <w:rPr>
          <w:rFonts w:ascii="仿宋" w:eastAsia="仿宋" w:hAnsi="仿宋" w:cs="Times New Roman" w:hint="eastAsia"/>
          <w:sz w:val="28"/>
          <w:szCs w:val="28"/>
        </w:rPr>
        <w:t>；</w:t>
      </w:r>
      <w:r w:rsidRPr="00D106B1">
        <w:rPr>
          <w:rFonts w:ascii="仿宋" w:eastAsia="仿宋" w:hAnsi="仿宋" w:cs="Times New Roman" w:hint="eastAsia"/>
          <w:sz w:val="28"/>
          <w:szCs w:val="28"/>
        </w:rPr>
        <w:t>正常或更</w:t>
      </w:r>
      <w:r w:rsidR="001C35B0">
        <w:rPr>
          <w:rFonts w:ascii="仿宋" w:eastAsia="仿宋" w:hAnsi="仿宋" w:cs="Times New Roman" w:hint="eastAsia"/>
          <w:sz w:val="28"/>
          <w:szCs w:val="28"/>
        </w:rPr>
        <w:t>高水平的养老金的税率高于同等的高水平工资收入的税率。职业养老金方案</w:t>
      </w:r>
      <w:r w:rsidRPr="00D106B1">
        <w:rPr>
          <w:rFonts w:ascii="仿宋" w:eastAsia="仿宋" w:hAnsi="仿宋" w:cs="Times New Roman" w:hint="eastAsia"/>
          <w:sz w:val="28"/>
          <w:szCs w:val="28"/>
        </w:rPr>
        <w:t>由社会伙伴根据国家养老金制度进行调整，缴费率是根据缴费上限确定的, 一般来说，超过最高限额的部分缴费率较高。对于高收入者，职业养老金可能占养老金总额的较大一部分。</w:t>
      </w:r>
    </w:p>
    <w:p w14:paraId="3C6871EA" w14:textId="77777777" w:rsidR="00D106B1" w:rsidRPr="00D106B1" w:rsidRDefault="00D106B1" w:rsidP="00A843B4">
      <w:pPr>
        <w:spacing w:line="400" w:lineRule="exact"/>
        <w:ind w:firstLine="576"/>
        <w:jc w:val="both"/>
        <w:rPr>
          <w:rFonts w:ascii="仿宋" w:eastAsia="仿宋" w:hAnsi="仿宋" w:cs="Times New Roman"/>
          <w:sz w:val="28"/>
          <w:szCs w:val="28"/>
        </w:rPr>
      </w:pPr>
    </w:p>
    <w:p w14:paraId="0DE6F66D" w14:textId="77777777" w:rsidR="00DE25A1" w:rsidRDefault="00D106B1" w:rsidP="00A843B4">
      <w:pPr>
        <w:spacing w:line="400" w:lineRule="exact"/>
        <w:rPr>
          <w:rFonts w:ascii="仿宋" w:eastAsia="仿宋" w:hAnsi="仿宋" w:cs="Times New Roman"/>
          <w:b/>
          <w:sz w:val="28"/>
          <w:szCs w:val="28"/>
        </w:rPr>
      </w:pPr>
      <w:r>
        <w:rPr>
          <w:rFonts w:ascii="仿宋" w:eastAsia="仿宋" w:hAnsi="仿宋" w:cs="Times New Roman" w:hint="eastAsia"/>
          <w:b/>
          <w:sz w:val="28"/>
          <w:szCs w:val="28"/>
        </w:rPr>
        <w:t>二、背景</w:t>
      </w:r>
    </w:p>
    <w:p w14:paraId="708873F5" w14:textId="77777777" w:rsidR="00D106B1" w:rsidRPr="00D106B1" w:rsidRDefault="00D106B1" w:rsidP="00A843B4">
      <w:pPr>
        <w:pStyle w:val="BodyText"/>
        <w:spacing w:line="400" w:lineRule="exact"/>
        <w:ind w:firstLineChars="200" w:firstLine="560"/>
        <w:jc w:val="both"/>
        <w:rPr>
          <w:rFonts w:ascii="仿宋" w:eastAsia="仿宋" w:hAnsi="仿宋" w:cs="Times New Roman"/>
          <w:sz w:val="28"/>
          <w:szCs w:val="28"/>
          <w:lang w:val="en-US" w:eastAsia="zh-CN"/>
        </w:rPr>
      </w:pPr>
      <w:r w:rsidRPr="00D106B1">
        <w:rPr>
          <w:rFonts w:ascii="仿宋" w:eastAsia="仿宋" w:hAnsi="仿宋" w:cs="Times New Roman" w:hint="eastAsia"/>
          <w:sz w:val="28"/>
          <w:szCs w:val="28"/>
          <w:lang w:val="en-US" w:eastAsia="zh-CN"/>
        </w:rPr>
        <w:t>1960年，瑞典实行了补充养老金制度（ATP</w:t>
      </w:r>
      <w:r w:rsidR="001C35B0">
        <w:rPr>
          <w:rFonts w:ascii="仿宋" w:eastAsia="仿宋" w:hAnsi="仿宋" w:cs="Times New Roman" w:hint="eastAsia"/>
          <w:sz w:val="28"/>
          <w:szCs w:val="28"/>
          <w:lang w:val="en-US" w:eastAsia="zh-CN"/>
        </w:rPr>
        <w:t>），这</w:t>
      </w:r>
      <w:r w:rsidRPr="00D106B1">
        <w:rPr>
          <w:rFonts w:ascii="仿宋" w:eastAsia="仿宋" w:hAnsi="仿宋" w:cs="Times New Roman" w:hint="eastAsia"/>
          <w:sz w:val="28"/>
          <w:szCs w:val="28"/>
          <w:lang w:val="en-US" w:eastAsia="zh-CN"/>
        </w:rPr>
        <w:t>是一种确定收益型现收现付补充性养老金制度。在20世纪90</w:t>
      </w:r>
      <w:r w:rsidR="001C35B0">
        <w:rPr>
          <w:rFonts w:ascii="仿宋" w:eastAsia="仿宋" w:hAnsi="仿宋" w:cs="Times New Roman" w:hint="eastAsia"/>
          <w:sz w:val="28"/>
          <w:szCs w:val="28"/>
          <w:lang w:val="en-US" w:eastAsia="zh-CN"/>
        </w:rPr>
        <w:t>年代初，经济的严重衰退导致储蓄率降至二战后的最低水平。然而</w:t>
      </w:r>
      <w:r w:rsidRPr="00D106B1">
        <w:rPr>
          <w:rFonts w:ascii="仿宋" w:eastAsia="仿宋" w:hAnsi="仿宋" w:cs="Times New Roman" w:hint="eastAsia"/>
          <w:sz w:val="28"/>
          <w:szCs w:val="28"/>
          <w:lang w:val="en-US" w:eastAsia="zh-CN"/>
        </w:rPr>
        <w:t>人们并没有认识到，</w:t>
      </w:r>
      <w:r w:rsidRPr="00D106B1">
        <w:rPr>
          <w:rFonts w:ascii="仿宋" w:eastAsia="仿宋" w:hAnsi="仿宋" w:cs="Times New Roman" w:hint="eastAsia"/>
          <w:sz w:val="28"/>
          <w:szCs w:val="28"/>
          <w:lang w:val="en-US" w:eastAsia="zh-CN"/>
        </w:rPr>
        <w:lastRenderedPageBreak/>
        <w:t>养老金支出和投保人</w:t>
      </w:r>
      <w:r w:rsidR="001C35B0">
        <w:rPr>
          <w:rFonts w:ascii="仿宋" w:eastAsia="仿宋" w:hAnsi="仿宋" w:cs="Times New Roman" w:hint="eastAsia"/>
          <w:sz w:val="28"/>
          <w:szCs w:val="28"/>
          <w:lang w:val="en-US" w:eastAsia="zh-CN"/>
        </w:rPr>
        <w:t>缴费</w:t>
      </w:r>
      <w:r w:rsidRPr="00D106B1">
        <w:rPr>
          <w:rFonts w:ascii="仿宋" w:eastAsia="仿宋" w:hAnsi="仿宋" w:cs="Times New Roman" w:hint="eastAsia"/>
          <w:sz w:val="28"/>
          <w:szCs w:val="28"/>
          <w:lang w:val="en-US" w:eastAsia="zh-CN"/>
        </w:rPr>
        <w:t>二者之间的短期偏差会威胁到养老金制度的长期财政稳定。收入与支出的短暂性赤字可以通过养老金缓冲基金进行弥补与支持。养老金制度的不稳定性是由收益与经济增长率长期变动之间的关联性低导致的。</w:t>
      </w:r>
    </w:p>
    <w:p w14:paraId="3DD57F55" w14:textId="77777777" w:rsidR="00D106B1" w:rsidRPr="00D106B1" w:rsidRDefault="00D106B1" w:rsidP="00A843B4">
      <w:pPr>
        <w:pStyle w:val="BodyText"/>
        <w:spacing w:line="400" w:lineRule="exact"/>
        <w:ind w:firstLineChars="200" w:firstLine="560"/>
        <w:jc w:val="both"/>
        <w:rPr>
          <w:rFonts w:ascii="仿宋" w:eastAsia="仿宋" w:hAnsi="仿宋" w:cs="Times New Roman"/>
          <w:sz w:val="28"/>
          <w:szCs w:val="28"/>
          <w:lang w:val="en-US" w:eastAsia="zh-CN"/>
        </w:rPr>
      </w:pPr>
      <w:r w:rsidRPr="00D106B1">
        <w:rPr>
          <w:rFonts w:ascii="仿宋" w:eastAsia="仿宋" w:hAnsi="仿宋" w:cs="Times New Roman" w:hint="eastAsia"/>
          <w:sz w:val="28"/>
          <w:szCs w:val="28"/>
          <w:lang w:val="en-US" w:eastAsia="zh-CN"/>
        </w:rPr>
        <w:t>未来几十年，养老金支出预计将实际增加2%，受到缴费基数增长率的影响几乎很小。因此，国家养老金制度的储蓄率高度依赖缴费的增长率。当时的预测（1993年）表明，若缴费率不变，储蓄率很快将变为负数，养老金缓冲基金将萎缩殆尽[2]。</w:t>
      </w:r>
    </w:p>
    <w:p w14:paraId="4282A723" w14:textId="77777777" w:rsidR="00D106B1" w:rsidRPr="00D106B1" w:rsidRDefault="00D106B1" w:rsidP="001C35B0">
      <w:pPr>
        <w:pStyle w:val="BodyText"/>
        <w:spacing w:line="400" w:lineRule="exact"/>
        <w:ind w:firstLineChars="100" w:firstLine="280"/>
        <w:jc w:val="both"/>
        <w:rPr>
          <w:rFonts w:ascii="仿宋" w:eastAsia="仿宋" w:hAnsi="仿宋" w:cs="Times New Roman"/>
          <w:sz w:val="28"/>
          <w:szCs w:val="28"/>
          <w:lang w:val="en-US" w:eastAsia="zh-CN"/>
        </w:rPr>
      </w:pPr>
      <w:r w:rsidRPr="00D106B1">
        <w:rPr>
          <w:rFonts w:ascii="仿宋" w:eastAsia="仿宋" w:hAnsi="仿宋" w:cs="Times New Roman" w:hint="eastAsia"/>
          <w:sz w:val="28"/>
          <w:szCs w:val="28"/>
          <w:lang w:val="en-US" w:eastAsia="zh-CN"/>
        </w:rPr>
        <w:t>政府的建议是对国家养老金制度进行深度改革。其目的是使国家养老金制度更加适应经济增长率和人口发展的变化。另一个目标是，从个人的角度加强缴纳的保费与获取的收益之间的联系。</w:t>
      </w:r>
    </w:p>
    <w:p w14:paraId="2952B997" w14:textId="77777777" w:rsidR="00D106B1" w:rsidRPr="00D106B1" w:rsidRDefault="00D106B1" w:rsidP="00A843B4">
      <w:pPr>
        <w:pStyle w:val="BodyText"/>
        <w:spacing w:line="400" w:lineRule="exact"/>
        <w:ind w:firstLineChars="200" w:firstLine="560"/>
        <w:jc w:val="both"/>
        <w:rPr>
          <w:rFonts w:ascii="仿宋" w:eastAsia="仿宋" w:hAnsi="仿宋" w:cs="Times New Roman"/>
          <w:sz w:val="28"/>
          <w:szCs w:val="28"/>
          <w:lang w:val="en-US" w:eastAsia="zh-CN"/>
        </w:rPr>
      </w:pPr>
      <w:r w:rsidRPr="00D106B1">
        <w:rPr>
          <w:rFonts w:ascii="仿宋" w:eastAsia="仿宋" w:hAnsi="仿宋" w:cs="Times New Roman" w:hint="eastAsia"/>
          <w:sz w:val="28"/>
          <w:szCs w:val="28"/>
          <w:lang w:val="en-US" w:eastAsia="zh-CN"/>
        </w:rPr>
        <w:t>大家都认为，维持目前的养老金计划未来可能导致巨大的变化，并且这些变化带有追</w:t>
      </w:r>
      <w:r w:rsidR="001C35B0">
        <w:rPr>
          <w:rFonts w:ascii="仿宋" w:eastAsia="仿宋" w:hAnsi="仿宋" w:cs="Times New Roman" w:hint="eastAsia"/>
          <w:sz w:val="28"/>
          <w:szCs w:val="28"/>
          <w:lang w:val="en-US" w:eastAsia="zh-CN"/>
        </w:rPr>
        <w:t>溯效力。若改革仅局限于细微调整，许多问题很大程度上仍然存在。</w:t>
      </w:r>
      <w:r w:rsidRPr="00D106B1">
        <w:rPr>
          <w:rFonts w:ascii="仿宋" w:eastAsia="仿宋" w:hAnsi="仿宋" w:cs="Times New Roman" w:hint="eastAsia"/>
          <w:sz w:val="28"/>
          <w:szCs w:val="28"/>
          <w:lang w:val="en-US" w:eastAsia="zh-CN"/>
        </w:rPr>
        <w:t>出台的新规则</w:t>
      </w:r>
      <w:r w:rsidR="001C35B0">
        <w:rPr>
          <w:rFonts w:ascii="仿宋" w:eastAsia="仿宋" w:hAnsi="仿宋" w:cs="Times New Roman" w:hint="eastAsia"/>
          <w:sz w:val="28"/>
          <w:szCs w:val="28"/>
          <w:lang w:val="en-US" w:eastAsia="zh-CN"/>
        </w:rPr>
        <w:t>的</w:t>
      </w:r>
      <w:r w:rsidRPr="00D106B1">
        <w:rPr>
          <w:rFonts w:ascii="仿宋" w:eastAsia="仿宋" w:hAnsi="仿宋" w:cs="Times New Roman" w:hint="eastAsia"/>
          <w:sz w:val="28"/>
          <w:szCs w:val="28"/>
          <w:lang w:val="en-US" w:eastAsia="zh-CN"/>
        </w:rPr>
        <w:t>主要目的是，尽可能地进行平稳改革。</w:t>
      </w:r>
    </w:p>
    <w:p w14:paraId="65A6A175" w14:textId="77777777" w:rsidR="00D106B1" w:rsidRPr="00D106B1" w:rsidRDefault="00D106B1" w:rsidP="00A843B4">
      <w:pPr>
        <w:pStyle w:val="BodyText"/>
        <w:spacing w:line="400" w:lineRule="exact"/>
        <w:ind w:firstLineChars="200" w:firstLine="560"/>
        <w:jc w:val="both"/>
        <w:rPr>
          <w:rFonts w:ascii="仿宋" w:eastAsia="仿宋" w:hAnsi="仿宋" w:cs="Times New Roman"/>
          <w:b/>
          <w:sz w:val="28"/>
          <w:szCs w:val="28"/>
          <w:lang w:val="en-US" w:eastAsia="zh-CN"/>
        </w:rPr>
      </w:pPr>
      <w:r w:rsidRPr="00D106B1">
        <w:rPr>
          <w:rFonts w:ascii="仿宋" w:eastAsia="仿宋" w:hAnsi="仿宋" w:cs="Times New Roman" w:hint="eastAsia"/>
          <w:sz w:val="28"/>
          <w:szCs w:val="28"/>
          <w:lang w:val="en-US" w:eastAsia="zh-CN"/>
        </w:rPr>
        <w:t>1991年，改革委员会成立。1992年，新的养老金制度草案提交。1994年，议会审议通过了新养老金制度的基本原则。1998年，该制度相关的主要立法在议会获得通过。21世纪，新养老金制度给付了第一笔养老金。</w:t>
      </w:r>
    </w:p>
    <w:p w14:paraId="448CE9E8" w14:textId="77777777" w:rsidR="00D106B1" w:rsidRPr="00D106B1" w:rsidRDefault="00D106B1" w:rsidP="00A843B4">
      <w:pPr>
        <w:spacing w:line="400" w:lineRule="exact"/>
        <w:rPr>
          <w:rFonts w:ascii="仿宋" w:eastAsia="仿宋" w:hAnsi="仿宋" w:cs="Times New Roman"/>
          <w:b/>
          <w:sz w:val="28"/>
          <w:szCs w:val="28"/>
        </w:rPr>
      </w:pPr>
    </w:p>
    <w:p w14:paraId="6CF65267"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三、改革基本原则</w:t>
      </w:r>
    </w:p>
    <w:p w14:paraId="40C4338D" w14:textId="77777777" w:rsidR="00323408" w:rsidRPr="00323408" w:rsidRDefault="00323408" w:rsidP="003B2BF2">
      <w:pPr>
        <w:pStyle w:val="BodyText"/>
        <w:spacing w:line="400" w:lineRule="exact"/>
        <w:ind w:firstLineChars="200" w:firstLine="560"/>
        <w:jc w:val="both"/>
        <w:rPr>
          <w:rFonts w:ascii="仿宋" w:eastAsia="仿宋" w:hAnsi="仿宋" w:cs="Times New Roman"/>
          <w:sz w:val="28"/>
          <w:szCs w:val="28"/>
          <w:lang w:val="en-US" w:eastAsia="zh-CN"/>
        </w:rPr>
      </w:pPr>
      <w:r w:rsidRPr="00323408">
        <w:rPr>
          <w:rFonts w:ascii="仿宋" w:eastAsia="仿宋" w:hAnsi="仿宋" w:cs="Times New Roman" w:hint="eastAsia"/>
          <w:sz w:val="28"/>
          <w:szCs w:val="28"/>
          <w:lang w:val="en-US" w:eastAsia="zh-CN"/>
        </w:rPr>
        <w:t>本章节</w:t>
      </w:r>
      <w:r w:rsidR="001C35B0">
        <w:rPr>
          <w:rFonts w:ascii="仿宋" w:eastAsia="仿宋" w:hAnsi="仿宋" w:cs="Times New Roman" w:hint="eastAsia"/>
          <w:sz w:val="28"/>
          <w:szCs w:val="28"/>
          <w:lang w:val="en-US" w:eastAsia="zh-CN"/>
        </w:rPr>
        <w:t>所阐述内容</w:t>
      </w:r>
      <w:r w:rsidRPr="00323408">
        <w:rPr>
          <w:rFonts w:ascii="仿宋" w:eastAsia="仿宋" w:hAnsi="仿宋" w:cs="Times New Roman" w:hint="eastAsia"/>
          <w:sz w:val="28"/>
          <w:szCs w:val="28"/>
          <w:lang w:val="en-US" w:eastAsia="zh-CN"/>
        </w:rPr>
        <w:t>即议会在1994年所确定的法案。改革国家养老金制度的法案（提案 1993/94:250）[2]呈现了新的国家公共养老金制度的基本特征。1994 年也因此成为改革的里程碑。</w:t>
      </w:r>
    </w:p>
    <w:p w14:paraId="41FA850F" w14:textId="77777777" w:rsidR="00323408" w:rsidRPr="00323408" w:rsidRDefault="00323408" w:rsidP="003B2BF2">
      <w:pPr>
        <w:pStyle w:val="BodyText"/>
        <w:spacing w:line="400" w:lineRule="exact"/>
        <w:ind w:firstLineChars="200" w:firstLine="560"/>
        <w:jc w:val="both"/>
        <w:rPr>
          <w:rFonts w:ascii="仿宋" w:eastAsia="仿宋" w:hAnsi="仿宋" w:cs="Times New Roman"/>
          <w:sz w:val="28"/>
          <w:szCs w:val="28"/>
          <w:lang w:val="en-US" w:eastAsia="zh-CN"/>
        </w:rPr>
      </w:pPr>
      <w:r w:rsidRPr="00323408">
        <w:rPr>
          <w:rFonts w:ascii="仿宋" w:eastAsia="仿宋" w:hAnsi="仿宋" w:cs="Times New Roman" w:hint="eastAsia"/>
          <w:sz w:val="28"/>
          <w:szCs w:val="28"/>
          <w:lang w:val="en-US" w:eastAsia="zh-CN"/>
        </w:rPr>
        <w:t>政府建议, 国家强制性养老金制度仍然是个人养老金的基础。出于对有效性、部分群体无法妥善为自己储蓄资金的考量，强制性制度是最佳选择。国家公共养老金应继续为低收入或无收入的群体提供经济保障。</w:t>
      </w:r>
    </w:p>
    <w:p w14:paraId="42CF6C50" w14:textId="77777777" w:rsidR="00323408" w:rsidRPr="00323408" w:rsidRDefault="00323408" w:rsidP="003B2BF2">
      <w:pPr>
        <w:pStyle w:val="BodyText"/>
        <w:spacing w:line="400" w:lineRule="exact"/>
        <w:ind w:firstLineChars="200" w:firstLine="560"/>
        <w:jc w:val="both"/>
        <w:rPr>
          <w:rFonts w:ascii="仿宋" w:eastAsia="仿宋" w:hAnsi="仿宋" w:cs="Times New Roman"/>
          <w:sz w:val="28"/>
          <w:szCs w:val="28"/>
          <w:lang w:val="en-US" w:eastAsia="zh-CN"/>
        </w:rPr>
      </w:pPr>
      <w:r w:rsidRPr="00323408">
        <w:rPr>
          <w:rFonts w:ascii="仿宋" w:eastAsia="仿宋" w:hAnsi="仿宋" w:cs="Times New Roman" w:hint="eastAsia"/>
          <w:sz w:val="28"/>
          <w:szCs w:val="28"/>
          <w:lang w:val="en-US" w:eastAsia="zh-CN"/>
        </w:rPr>
        <w:t>改革应重点关注年轻群体。已经退休或即将退休的群体不应受到影响。这两大类群体之间的几代人应平稳过渡。年轻群体也应该了解自己适用的情况与条件。</w:t>
      </w:r>
    </w:p>
    <w:p w14:paraId="2A7B0711" w14:textId="77777777" w:rsidR="00323408" w:rsidRPr="00323408" w:rsidRDefault="001C35B0" w:rsidP="001C35B0">
      <w:pPr>
        <w:pStyle w:val="BodyText"/>
        <w:spacing w:line="400" w:lineRule="exact"/>
        <w:ind w:firstLineChars="200" w:firstLine="560"/>
        <w:jc w:val="both"/>
        <w:rPr>
          <w:rFonts w:ascii="仿宋" w:eastAsia="仿宋" w:hAnsi="仿宋" w:cs="Times New Roman"/>
          <w:sz w:val="28"/>
          <w:szCs w:val="28"/>
          <w:lang w:val="en-US" w:eastAsia="zh-CN"/>
        </w:rPr>
      </w:pPr>
      <w:r>
        <w:rPr>
          <w:rFonts w:ascii="仿宋" w:eastAsia="仿宋" w:hAnsi="仿宋" w:cs="Times New Roman" w:hint="eastAsia"/>
          <w:sz w:val="28"/>
          <w:szCs w:val="28"/>
          <w:lang w:val="en-US" w:eastAsia="zh-CN"/>
        </w:rPr>
        <w:lastRenderedPageBreak/>
        <w:t>养老金的保险风险，即寿命，与提前退休不尽相同。提前退休所需的</w:t>
      </w:r>
      <w:r w:rsidR="00323408" w:rsidRPr="00323408">
        <w:rPr>
          <w:rFonts w:ascii="仿宋" w:eastAsia="仿宋" w:hAnsi="仿宋" w:cs="Times New Roman" w:hint="eastAsia"/>
          <w:sz w:val="28"/>
          <w:szCs w:val="28"/>
          <w:lang w:val="en-US" w:eastAsia="zh-CN"/>
        </w:rPr>
        <w:t>管理和控制更为严格。因此，养老金更适合采用精算原则。改革应努力建立独立的养老金制度，避免反复作决定。</w:t>
      </w:r>
    </w:p>
    <w:p w14:paraId="4CCACE06" w14:textId="77777777" w:rsidR="00323408" w:rsidRPr="00323408" w:rsidRDefault="001C35B0" w:rsidP="003B2BF2">
      <w:pPr>
        <w:pStyle w:val="BodyText"/>
        <w:spacing w:line="400" w:lineRule="exact"/>
        <w:ind w:firstLineChars="200" w:firstLine="560"/>
        <w:jc w:val="both"/>
        <w:rPr>
          <w:rFonts w:ascii="仿宋" w:eastAsia="仿宋" w:hAnsi="仿宋" w:cs="Times New Roman"/>
          <w:sz w:val="28"/>
          <w:szCs w:val="28"/>
          <w:lang w:val="en-US" w:eastAsia="zh-CN"/>
        </w:rPr>
      </w:pPr>
      <w:r>
        <w:rPr>
          <w:rFonts w:ascii="仿宋" w:eastAsia="仿宋" w:hAnsi="仿宋" w:cs="Times New Roman" w:hint="eastAsia"/>
          <w:sz w:val="28"/>
          <w:szCs w:val="28"/>
          <w:lang w:val="en-US" w:eastAsia="zh-CN"/>
        </w:rPr>
        <w:t>养老金应由独立机构全额支付，缴费率通过专门设计确定。应明确再</w:t>
      </w:r>
      <w:r w:rsidR="00323408" w:rsidRPr="00323408">
        <w:rPr>
          <w:rFonts w:ascii="仿宋" w:eastAsia="仿宋" w:hAnsi="仿宋" w:cs="Times New Roman" w:hint="eastAsia"/>
          <w:sz w:val="28"/>
          <w:szCs w:val="28"/>
          <w:lang w:val="en-US" w:eastAsia="zh-CN"/>
        </w:rPr>
        <w:t>分配的要素，并根据养老金</w:t>
      </w:r>
      <w:r>
        <w:rPr>
          <w:rFonts w:ascii="仿宋" w:eastAsia="仿宋" w:hAnsi="仿宋" w:cs="Times New Roman" w:hint="eastAsia"/>
          <w:sz w:val="28"/>
          <w:szCs w:val="28"/>
          <w:lang w:val="en-US" w:eastAsia="zh-CN"/>
        </w:rPr>
        <w:t>补贴</w:t>
      </w:r>
      <w:r w:rsidR="00323408" w:rsidRPr="00323408">
        <w:rPr>
          <w:rFonts w:ascii="仿宋" w:eastAsia="仿宋" w:hAnsi="仿宋" w:cs="Times New Roman" w:hint="eastAsia"/>
          <w:sz w:val="28"/>
          <w:szCs w:val="28"/>
          <w:lang w:val="en-US" w:eastAsia="zh-CN"/>
        </w:rPr>
        <w:t>（</w:t>
      </w:r>
      <w:r w:rsidR="00323408" w:rsidRPr="00323408">
        <w:rPr>
          <w:rFonts w:ascii="仿宋" w:eastAsia="仿宋" w:hAnsi="仿宋" w:cs="Times New Roman"/>
          <w:sz w:val="28"/>
          <w:szCs w:val="28"/>
          <w:lang w:val="en-US" w:eastAsia="zh-CN"/>
        </w:rPr>
        <w:t>pension credit</w:t>
      </w:r>
      <w:r w:rsidR="00323408" w:rsidRPr="00323408">
        <w:rPr>
          <w:rFonts w:ascii="仿宋" w:eastAsia="仿宋" w:hAnsi="仿宋" w:cs="Times New Roman" w:hint="eastAsia"/>
          <w:sz w:val="28"/>
          <w:szCs w:val="28"/>
          <w:lang w:val="en-US" w:eastAsia="zh-CN"/>
        </w:rPr>
        <w:t>）的累积，持续地从中央政府预算中拨出资金进行支持。</w:t>
      </w:r>
    </w:p>
    <w:p w14:paraId="1B4E9486" w14:textId="77777777" w:rsidR="00323408" w:rsidRPr="00323408" w:rsidRDefault="00323408" w:rsidP="003B2BF2">
      <w:pPr>
        <w:pStyle w:val="BodyText"/>
        <w:spacing w:line="400" w:lineRule="exact"/>
        <w:ind w:firstLineChars="200" w:firstLine="560"/>
        <w:jc w:val="both"/>
        <w:rPr>
          <w:rFonts w:ascii="仿宋" w:eastAsia="仿宋" w:hAnsi="仿宋" w:cs="Times New Roman"/>
          <w:sz w:val="28"/>
          <w:szCs w:val="28"/>
          <w:lang w:val="en-US" w:eastAsia="zh-CN"/>
        </w:rPr>
      </w:pPr>
      <w:r w:rsidRPr="00323408">
        <w:rPr>
          <w:rFonts w:ascii="仿宋" w:eastAsia="仿宋" w:hAnsi="仿宋" w:cs="Times New Roman" w:hint="eastAsia"/>
          <w:sz w:val="28"/>
          <w:szCs w:val="28"/>
          <w:lang w:val="en-US" w:eastAsia="zh-CN"/>
        </w:rPr>
        <w:t>政府发现，将养老金制度完全改革成基金积累制是不可能的，也是不可取的。基金积累制的优点是，每个人的储蓄率增加了，但并没有使得养老金缓冲基金进一步增加。改革后的养老金制度在很大程度上应该是现收现付制，同时以个人保费储备作为补充。</w:t>
      </w:r>
    </w:p>
    <w:p w14:paraId="30A49213" w14:textId="77777777" w:rsidR="00323408" w:rsidRPr="00323408" w:rsidRDefault="00323408" w:rsidP="003B2BF2">
      <w:pPr>
        <w:pStyle w:val="BodyText"/>
        <w:spacing w:line="400" w:lineRule="exact"/>
        <w:ind w:firstLineChars="200" w:firstLine="560"/>
        <w:jc w:val="both"/>
        <w:rPr>
          <w:rFonts w:ascii="仿宋" w:eastAsia="仿宋" w:hAnsi="仿宋" w:cs="Times New Roman"/>
          <w:sz w:val="28"/>
          <w:szCs w:val="28"/>
          <w:lang w:val="en-US" w:eastAsia="zh-CN"/>
        </w:rPr>
      </w:pPr>
      <w:r w:rsidRPr="00323408">
        <w:rPr>
          <w:rFonts w:ascii="仿宋" w:eastAsia="仿宋" w:hAnsi="仿宋" w:cs="Times New Roman" w:hint="eastAsia"/>
          <w:sz w:val="28"/>
          <w:szCs w:val="28"/>
          <w:lang w:val="en-US" w:eastAsia="zh-CN"/>
        </w:rPr>
        <w:t>另一个原因是风险蔓延；新制度将会受到经济增长率和金融市场发展的影响。</w:t>
      </w:r>
    </w:p>
    <w:p w14:paraId="3484C1FD" w14:textId="77777777" w:rsidR="00323408" w:rsidRPr="00323408" w:rsidRDefault="00323408" w:rsidP="003B2BF2">
      <w:pPr>
        <w:pStyle w:val="BodyText"/>
        <w:spacing w:line="400" w:lineRule="exact"/>
        <w:ind w:firstLineChars="200" w:firstLine="560"/>
        <w:jc w:val="both"/>
        <w:rPr>
          <w:rFonts w:ascii="仿宋" w:eastAsia="仿宋" w:hAnsi="仿宋" w:cs="Times New Roman"/>
          <w:sz w:val="28"/>
          <w:szCs w:val="28"/>
          <w:lang w:val="en-US" w:eastAsia="zh-CN"/>
        </w:rPr>
      </w:pPr>
      <w:r w:rsidRPr="00323408">
        <w:rPr>
          <w:rFonts w:ascii="仿宋" w:eastAsia="仿宋" w:hAnsi="仿宋" w:cs="Times New Roman" w:hint="eastAsia"/>
          <w:sz w:val="28"/>
          <w:szCs w:val="28"/>
          <w:lang w:val="en-US" w:eastAsia="zh-CN"/>
        </w:rPr>
        <w:t>根据改革后养老金制度的生活收入原则（</w:t>
      </w:r>
      <w:r w:rsidRPr="00323408">
        <w:rPr>
          <w:rFonts w:ascii="仿宋" w:eastAsia="仿宋" w:hAnsi="仿宋" w:cs="Times New Roman"/>
          <w:sz w:val="28"/>
          <w:szCs w:val="28"/>
          <w:lang w:val="en-US" w:eastAsia="zh-CN"/>
        </w:rPr>
        <w:t>life income principle</w:t>
      </w:r>
      <w:r w:rsidRPr="00323408">
        <w:rPr>
          <w:rFonts w:ascii="仿宋" w:eastAsia="仿宋" w:hAnsi="仿宋" w:cs="Times New Roman" w:hint="eastAsia"/>
          <w:sz w:val="28"/>
          <w:szCs w:val="28"/>
          <w:lang w:val="en-US" w:eastAsia="zh-CN"/>
        </w:rPr>
        <w:t>），所有低于特定上限的收入都将</w:t>
      </w:r>
      <w:r w:rsidR="001C35B0">
        <w:rPr>
          <w:rFonts w:ascii="仿宋" w:eastAsia="仿宋" w:hAnsi="仿宋" w:cs="Times New Roman" w:hint="eastAsia"/>
          <w:sz w:val="28"/>
          <w:szCs w:val="28"/>
          <w:lang w:val="en-US" w:eastAsia="zh-CN"/>
        </w:rPr>
        <w:t>具有</w:t>
      </w:r>
      <w:r w:rsidRPr="00323408">
        <w:rPr>
          <w:rFonts w:ascii="仿宋" w:eastAsia="仿宋" w:hAnsi="仿宋" w:cs="Times New Roman" w:hint="eastAsia"/>
          <w:sz w:val="28"/>
          <w:szCs w:val="28"/>
          <w:lang w:val="en-US" w:eastAsia="zh-CN"/>
        </w:rPr>
        <w:t>同等权重，无论</w:t>
      </w:r>
      <w:r w:rsidR="001C35B0">
        <w:rPr>
          <w:rFonts w:ascii="仿宋" w:eastAsia="仿宋" w:hAnsi="仿宋" w:cs="Times New Roman" w:hint="eastAsia"/>
          <w:sz w:val="28"/>
          <w:szCs w:val="28"/>
          <w:lang w:val="en-US" w:eastAsia="zh-CN"/>
        </w:rPr>
        <w:t>是</w:t>
      </w:r>
      <w:r w:rsidRPr="00323408">
        <w:rPr>
          <w:rFonts w:ascii="仿宋" w:eastAsia="仿宋" w:hAnsi="仿宋" w:cs="Times New Roman" w:hint="eastAsia"/>
          <w:sz w:val="28"/>
          <w:szCs w:val="28"/>
          <w:lang w:val="en-US" w:eastAsia="zh-CN"/>
        </w:rPr>
        <w:t>何时获得的收入。然而出于管理原因，要获得养老金</w:t>
      </w:r>
      <w:r w:rsidR="001C35B0">
        <w:rPr>
          <w:rFonts w:ascii="仿宋" w:eastAsia="仿宋" w:hAnsi="仿宋" w:cs="Times New Roman" w:hint="eastAsia"/>
          <w:sz w:val="28"/>
          <w:szCs w:val="28"/>
          <w:lang w:val="en-US" w:eastAsia="zh-CN"/>
        </w:rPr>
        <w:t>补贴</w:t>
      </w:r>
      <w:r w:rsidRPr="00323408">
        <w:rPr>
          <w:rFonts w:ascii="仿宋" w:eastAsia="仿宋" w:hAnsi="仿宋" w:cs="Times New Roman" w:hint="eastAsia"/>
          <w:sz w:val="28"/>
          <w:szCs w:val="28"/>
          <w:lang w:val="en-US" w:eastAsia="zh-CN"/>
        </w:rPr>
        <w:t>，特定的收入限制是不可避免的，但不应设立年龄上限。</w:t>
      </w:r>
    </w:p>
    <w:p w14:paraId="6412CDA4" w14:textId="77777777" w:rsidR="00323408" w:rsidRPr="00323408" w:rsidRDefault="00323408" w:rsidP="003B2BF2">
      <w:pPr>
        <w:pStyle w:val="BodyText"/>
        <w:spacing w:line="400" w:lineRule="exact"/>
        <w:ind w:firstLineChars="200" w:firstLine="560"/>
        <w:jc w:val="both"/>
        <w:rPr>
          <w:rFonts w:ascii="仿宋" w:eastAsia="仿宋" w:hAnsi="仿宋" w:cs="Times New Roman"/>
          <w:sz w:val="28"/>
          <w:szCs w:val="28"/>
          <w:lang w:val="en-US" w:eastAsia="zh-CN"/>
        </w:rPr>
      </w:pPr>
      <w:r w:rsidRPr="00323408">
        <w:rPr>
          <w:rFonts w:ascii="仿宋" w:eastAsia="仿宋" w:hAnsi="仿宋" w:cs="Times New Roman" w:hint="eastAsia"/>
          <w:sz w:val="28"/>
          <w:szCs w:val="28"/>
          <w:lang w:val="en-US" w:eastAsia="zh-CN"/>
        </w:rPr>
        <w:t>根据生活收入原则，不仅在带薪就业时期，在罹患疾病、养育假、失业等时期，都可以获得养老金</w:t>
      </w:r>
      <w:r w:rsidR="001C35B0">
        <w:rPr>
          <w:rFonts w:ascii="仿宋" w:eastAsia="仿宋" w:hAnsi="仿宋" w:cs="Times New Roman" w:hint="eastAsia"/>
          <w:sz w:val="28"/>
          <w:szCs w:val="28"/>
          <w:lang w:val="en-US" w:eastAsia="zh-CN"/>
        </w:rPr>
        <w:t>补贴</w:t>
      </w:r>
      <w:r w:rsidRPr="00323408">
        <w:rPr>
          <w:rFonts w:ascii="仿宋" w:eastAsia="仿宋" w:hAnsi="仿宋" w:cs="Times New Roman" w:hint="eastAsia"/>
          <w:sz w:val="28"/>
          <w:szCs w:val="28"/>
          <w:lang w:val="en-US" w:eastAsia="zh-CN"/>
        </w:rPr>
        <w:t>。然而，弥补社会收入差异的作用并非养老金制度的义务。</w:t>
      </w:r>
    </w:p>
    <w:p w14:paraId="4067F866" w14:textId="77777777" w:rsidR="00323408" w:rsidRPr="00323408" w:rsidRDefault="00323408" w:rsidP="003B2BF2">
      <w:pPr>
        <w:pStyle w:val="BodyText"/>
        <w:spacing w:line="400" w:lineRule="exact"/>
        <w:ind w:firstLineChars="200" w:firstLine="560"/>
        <w:jc w:val="both"/>
        <w:rPr>
          <w:rFonts w:ascii="仿宋" w:eastAsia="仿宋" w:hAnsi="仿宋" w:cs="Times New Roman"/>
          <w:sz w:val="28"/>
          <w:szCs w:val="28"/>
          <w:lang w:val="en-US" w:eastAsia="zh-CN"/>
        </w:rPr>
      </w:pPr>
      <w:r w:rsidRPr="00323408">
        <w:rPr>
          <w:rFonts w:ascii="仿宋" w:eastAsia="仿宋" w:hAnsi="仿宋" w:cs="Times New Roman" w:hint="eastAsia"/>
          <w:sz w:val="28"/>
          <w:szCs w:val="28"/>
          <w:lang w:val="en-US" w:eastAsia="zh-CN"/>
        </w:rPr>
        <w:t>应计养老金</w:t>
      </w:r>
      <w:r w:rsidR="001C35B0">
        <w:rPr>
          <w:rFonts w:ascii="仿宋" w:eastAsia="仿宋" w:hAnsi="仿宋" w:cs="Times New Roman" w:hint="eastAsia"/>
          <w:sz w:val="28"/>
          <w:szCs w:val="28"/>
          <w:lang w:val="en-US" w:eastAsia="zh-CN"/>
        </w:rPr>
        <w:t>补贴</w:t>
      </w:r>
      <w:r w:rsidRPr="00323408">
        <w:rPr>
          <w:rFonts w:ascii="仿宋" w:eastAsia="仿宋" w:hAnsi="仿宋" w:cs="Times New Roman" w:hint="eastAsia"/>
          <w:sz w:val="28"/>
          <w:szCs w:val="28"/>
          <w:lang w:val="en-US" w:eastAsia="zh-CN"/>
        </w:rPr>
        <w:t>应随着可计算养老金的收入的增长进行指数化调整。养老金制度的收益</w:t>
      </w:r>
      <w:r w:rsidR="001C35B0">
        <w:rPr>
          <w:rFonts w:ascii="仿宋" w:eastAsia="仿宋" w:hAnsi="仿宋" w:cs="Times New Roman" w:hint="eastAsia"/>
          <w:sz w:val="28"/>
          <w:szCs w:val="28"/>
          <w:lang w:val="en-US" w:eastAsia="zh-CN"/>
        </w:rPr>
        <w:t>根据</w:t>
      </w:r>
      <w:r w:rsidRPr="00323408">
        <w:rPr>
          <w:rFonts w:ascii="仿宋" w:eastAsia="仿宋" w:hAnsi="仿宋" w:cs="Times New Roman" w:hint="eastAsia"/>
          <w:sz w:val="28"/>
          <w:szCs w:val="28"/>
          <w:lang w:val="en-US" w:eastAsia="zh-CN"/>
        </w:rPr>
        <w:t>一般收入发展而变化，并非很大程度上依赖金融市场回报率。因此，养老金制度必须集体化、强制化。</w:t>
      </w:r>
    </w:p>
    <w:p w14:paraId="6FB14981" w14:textId="77777777" w:rsidR="00323408" w:rsidRPr="00323408" w:rsidRDefault="00323408" w:rsidP="003B2BF2">
      <w:pPr>
        <w:spacing w:line="400" w:lineRule="exact"/>
        <w:jc w:val="both"/>
        <w:rPr>
          <w:rFonts w:ascii="仿宋" w:eastAsia="仿宋" w:hAnsi="仿宋" w:cs="Times New Roman"/>
          <w:sz w:val="28"/>
          <w:szCs w:val="28"/>
        </w:rPr>
      </w:pPr>
    </w:p>
    <w:p w14:paraId="7F5DBBA4" w14:textId="77777777" w:rsidR="00DE25A1" w:rsidRDefault="00DE25A1" w:rsidP="003B2BF2">
      <w:pPr>
        <w:spacing w:line="400" w:lineRule="exact"/>
        <w:jc w:val="both"/>
        <w:rPr>
          <w:rFonts w:ascii="仿宋" w:eastAsia="仿宋" w:hAnsi="仿宋" w:cs="Times New Roman"/>
          <w:b/>
          <w:sz w:val="28"/>
          <w:szCs w:val="28"/>
        </w:rPr>
      </w:pPr>
      <w:r w:rsidRPr="00D106B1">
        <w:rPr>
          <w:rFonts w:ascii="仿宋" w:eastAsia="仿宋" w:hAnsi="仿宋" w:cs="Times New Roman" w:hint="eastAsia"/>
          <w:b/>
          <w:sz w:val="28"/>
          <w:szCs w:val="28"/>
        </w:rPr>
        <w:t>四、政治历程</w:t>
      </w:r>
    </w:p>
    <w:p w14:paraId="49F4846E" w14:textId="77777777" w:rsidR="003B2BF2" w:rsidRPr="003B2BF2" w:rsidRDefault="00DC5084" w:rsidP="003B2BF2">
      <w:pPr>
        <w:spacing w:line="400" w:lineRule="exact"/>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政治历程相关的内容</w:t>
      </w:r>
      <w:r w:rsidR="003B2BF2" w:rsidRPr="003B2BF2">
        <w:rPr>
          <w:rFonts w:ascii="仿宋" w:eastAsia="仿宋" w:hAnsi="仿宋" w:cs="Times New Roman" w:hint="eastAsia"/>
          <w:sz w:val="28"/>
          <w:szCs w:val="28"/>
        </w:rPr>
        <w:t>基于</w:t>
      </w:r>
      <w:r w:rsidR="003B2BF2" w:rsidRPr="003B2BF2">
        <w:rPr>
          <w:rFonts w:ascii="仿宋" w:eastAsia="仿宋" w:hAnsi="仿宋" w:cs="Times New Roman"/>
          <w:sz w:val="28"/>
          <w:szCs w:val="28"/>
        </w:rPr>
        <w:t>Bo K</w:t>
      </w:r>
      <w:r w:rsidR="003B2BF2" w:rsidRPr="003B2BF2">
        <w:rPr>
          <w:rFonts w:eastAsia="仿宋"/>
          <w:sz w:val="28"/>
          <w:szCs w:val="28"/>
        </w:rPr>
        <w:t>ö</w:t>
      </w:r>
      <w:r w:rsidR="003B2BF2" w:rsidRPr="003B2BF2">
        <w:rPr>
          <w:rFonts w:ascii="仿宋" w:eastAsia="仿宋" w:hAnsi="仿宋" w:cs="Times New Roman"/>
          <w:sz w:val="28"/>
          <w:szCs w:val="28"/>
        </w:rPr>
        <w:t>nberg</w:t>
      </w:r>
      <w:r w:rsidR="003B2BF2" w:rsidRPr="003B2BF2">
        <w:rPr>
          <w:rFonts w:ascii="仿宋" w:eastAsia="仿宋" w:hAnsi="仿宋" w:cs="Times New Roman" w:hint="eastAsia"/>
          <w:sz w:val="28"/>
          <w:szCs w:val="28"/>
        </w:rPr>
        <w:t>的经历。</w:t>
      </w:r>
      <w:r w:rsidR="003B2BF2" w:rsidRPr="003B2BF2">
        <w:rPr>
          <w:rFonts w:ascii="仿宋" w:eastAsia="仿宋" w:hAnsi="仿宋" w:cs="Times New Roman"/>
          <w:sz w:val="28"/>
          <w:szCs w:val="28"/>
        </w:rPr>
        <w:t>Bo K</w:t>
      </w:r>
      <w:r w:rsidR="003B2BF2" w:rsidRPr="003B2BF2">
        <w:rPr>
          <w:rFonts w:eastAsia="仿宋"/>
          <w:sz w:val="28"/>
          <w:szCs w:val="28"/>
        </w:rPr>
        <w:t>ö</w:t>
      </w:r>
      <w:r w:rsidR="003B2BF2" w:rsidRPr="003B2BF2">
        <w:rPr>
          <w:rFonts w:ascii="仿宋" w:eastAsia="仿宋" w:hAnsi="仿宋" w:cs="Times New Roman"/>
          <w:sz w:val="28"/>
          <w:szCs w:val="28"/>
        </w:rPr>
        <w:t>nberg</w:t>
      </w:r>
      <w:r w:rsidR="003B2BF2" w:rsidRPr="003B2BF2">
        <w:rPr>
          <w:rFonts w:ascii="仿宋" w:eastAsia="仿宋" w:hAnsi="仿宋" w:cs="Times New Roman" w:hint="eastAsia"/>
          <w:sz w:val="28"/>
          <w:szCs w:val="28"/>
        </w:rPr>
        <w:t>曾任议会养老金工作组主席 [3]。</w:t>
      </w:r>
      <w:r w:rsidR="003B2BF2" w:rsidRPr="003B2BF2">
        <w:rPr>
          <w:rFonts w:ascii="仿宋" w:eastAsia="仿宋" w:hAnsi="仿宋" w:cs="Times New Roman"/>
          <w:sz w:val="28"/>
          <w:szCs w:val="28"/>
        </w:rPr>
        <w:t>K</w:t>
      </w:r>
      <w:r w:rsidR="003B2BF2" w:rsidRPr="003B2BF2">
        <w:rPr>
          <w:rFonts w:eastAsia="仿宋"/>
          <w:sz w:val="28"/>
          <w:szCs w:val="28"/>
        </w:rPr>
        <w:t>ö</w:t>
      </w:r>
      <w:r w:rsidR="003B2BF2" w:rsidRPr="003B2BF2">
        <w:rPr>
          <w:rFonts w:ascii="仿宋" w:eastAsia="仿宋" w:hAnsi="仿宋" w:cs="Times New Roman"/>
          <w:sz w:val="28"/>
          <w:szCs w:val="28"/>
        </w:rPr>
        <w:t>nberg</w:t>
      </w:r>
      <w:r w:rsidR="003B2BF2" w:rsidRPr="003B2BF2">
        <w:rPr>
          <w:rFonts w:ascii="仿宋" w:eastAsia="仿宋" w:hAnsi="仿宋" w:cs="Times New Roman" w:hint="eastAsia"/>
          <w:sz w:val="28"/>
          <w:szCs w:val="28"/>
        </w:rPr>
        <w:t>努力避免社会伙伴机构及养老金利益相关方加入工作组。</w:t>
      </w:r>
      <w:r w:rsidR="003B2BF2" w:rsidRPr="003B2BF2">
        <w:rPr>
          <w:rFonts w:ascii="仿宋" w:eastAsia="仿宋" w:hAnsi="仿宋" w:cs="Times New Roman"/>
          <w:sz w:val="28"/>
          <w:szCs w:val="28"/>
        </w:rPr>
        <w:t>K</w:t>
      </w:r>
      <w:r w:rsidR="003B2BF2" w:rsidRPr="003B2BF2">
        <w:rPr>
          <w:rFonts w:eastAsia="仿宋"/>
          <w:sz w:val="28"/>
          <w:szCs w:val="28"/>
        </w:rPr>
        <w:t>ö</w:t>
      </w:r>
      <w:r w:rsidR="003B2BF2" w:rsidRPr="003B2BF2">
        <w:rPr>
          <w:rFonts w:ascii="仿宋" w:eastAsia="仿宋" w:hAnsi="仿宋" w:cs="Times New Roman"/>
          <w:sz w:val="28"/>
          <w:szCs w:val="28"/>
        </w:rPr>
        <w:t>nberg</w:t>
      </w:r>
      <w:r w:rsidR="003B2BF2" w:rsidRPr="003B2BF2">
        <w:rPr>
          <w:rFonts w:ascii="仿宋" w:eastAsia="仿宋" w:hAnsi="仿宋" w:cs="Times New Roman" w:hint="eastAsia"/>
          <w:sz w:val="28"/>
          <w:szCs w:val="28"/>
        </w:rPr>
        <w:t>曾经历过艰苦的谈判，与会者不积极参与讨论，反而关注各种特殊利益。另一个重要因素是，减少参与的政党成员，让他们各自任命党派中知名度高的政治官员。在工作组内部，</w:t>
      </w:r>
      <w:r w:rsidR="003B2BF2" w:rsidRPr="003B2BF2">
        <w:rPr>
          <w:rFonts w:ascii="仿宋" w:eastAsia="仿宋" w:hAnsi="仿宋" w:cs="Times New Roman"/>
          <w:sz w:val="28"/>
          <w:szCs w:val="28"/>
        </w:rPr>
        <w:t>Bo K</w:t>
      </w:r>
      <w:r w:rsidR="003B2BF2" w:rsidRPr="003B2BF2">
        <w:rPr>
          <w:rFonts w:eastAsia="仿宋"/>
          <w:sz w:val="28"/>
          <w:szCs w:val="28"/>
        </w:rPr>
        <w:t>ö</w:t>
      </w:r>
      <w:r w:rsidR="003B2BF2" w:rsidRPr="003B2BF2">
        <w:rPr>
          <w:rFonts w:ascii="仿宋" w:eastAsia="仿宋" w:hAnsi="仿宋" w:cs="Times New Roman"/>
          <w:sz w:val="28"/>
          <w:szCs w:val="28"/>
        </w:rPr>
        <w:t>nberg</w:t>
      </w:r>
      <w:r w:rsidR="003B2BF2" w:rsidRPr="003B2BF2">
        <w:rPr>
          <w:rFonts w:ascii="仿宋" w:eastAsia="仿宋" w:hAnsi="仿宋" w:cs="Times New Roman" w:hint="eastAsia"/>
          <w:sz w:val="28"/>
          <w:szCs w:val="28"/>
        </w:rPr>
        <w:t>努力推动开放讨论。</w:t>
      </w:r>
    </w:p>
    <w:p w14:paraId="4489418F"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lastRenderedPageBreak/>
        <w:t>据</w:t>
      </w:r>
      <w:r w:rsidRPr="003B2BF2">
        <w:rPr>
          <w:rFonts w:ascii="仿宋" w:eastAsia="仿宋" w:hAnsi="仿宋" w:cs="Times New Roman"/>
          <w:sz w:val="28"/>
          <w:szCs w:val="28"/>
        </w:rPr>
        <w:t>Bo K</w:t>
      </w:r>
      <w:r w:rsidRPr="003B2BF2">
        <w:rPr>
          <w:rFonts w:eastAsia="仿宋"/>
          <w:sz w:val="28"/>
          <w:szCs w:val="28"/>
        </w:rPr>
        <w:t>ö</w:t>
      </w:r>
      <w:r w:rsidRPr="003B2BF2">
        <w:rPr>
          <w:rFonts w:ascii="仿宋" w:eastAsia="仿宋" w:hAnsi="仿宋" w:cs="Times New Roman"/>
          <w:sz w:val="28"/>
          <w:szCs w:val="28"/>
        </w:rPr>
        <w:t>nberg</w:t>
      </w:r>
      <w:r w:rsidRPr="003B2BF2">
        <w:rPr>
          <w:rFonts w:ascii="仿宋" w:eastAsia="仿宋" w:hAnsi="仿宋" w:cs="Times New Roman" w:hint="eastAsia"/>
          <w:sz w:val="28"/>
          <w:szCs w:val="28"/>
        </w:rPr>
        <w:t>称，实际参与这一进程的人对改革的成功至关重要。另一个重要的外部因素就是瑞典90</w:t>
      </w:r>
      <w:r w:rsidR="00DC5084">
        <w:rPr>
          <w:rFonts w:ascii="仿宋" w:eastAsia="仿宋" w:hAnsi="仿宋" w:cs="Times New Roman" w:hint="eastAsia"/>
          <w:sz w:val="28"/>
          <w:szCs w:val="28"/>
        </w:rPr>
        <w:t>年代的金融危机，这场危机可能推动了政</w:t>
      </w:r>
      <w:r w:rsidRPr="003B2BF2">
        <w:rPr>
          <w:rFonts w:ascii="仿宋" w:eastAsia="仿宋" w:hAnsi="仿宋" w:cs="Times New Roman" w:hint="eastAsia"/>
          <w:sz w:val="28"/>
          <w:szCs w:val="28"/>
        </w:rPr>
        <w:t>界做出艰难决定。</w:t>
      </w:r>
    </w:p>
    <w:p w14:paraId="60A4DD5E"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在这一过程中最难的两个问题，一是采用累积制（额外投保养老金），二是高于缴费上限的缴费。</w:t>
      </w:r>
    </w:p>
    <w:p w14:paraId="2FCD57DC" w14:textId="77777777" w:rsidR="003B2BF2" w:rsidRPr="003B2BF2" w:rsidRDefault="003B2BF2" w:rsidP="00A843B4">
      <w:pPr>
        <w:spacing w:line="400" w:lineRule="exact"/>
        <w:rPr>
          <w:rFonts w:ascii="仿宋" w:eastAsia="仿宋" w:hAnsi="仿宋" w:cs="Times New Roman"/>
          <w:b/>
          <w:sz w:val="28"/>
          <w:szCs w:val="28"/>
        </w:rPr>
      </w:pPr>
    </w:p>
    <w:p w14:paraId="73B05E4C"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五、改革前的制度</w:t>
      </w:r>
    </w:p>
    <w:p w14:paraId="501E7F79" w14:textId="77777777" w:rsidR="003B2BF2" w:rsidRPr="003B2BF2" w:rsidRDefault="00DC5084" w:rsidP="003B2BF2">
      <w:pPr>
        <w:spacing w:line="400" w:lineRule="exact"/>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现已逐步淘汰的养老金制度包括两个主要部分：普惠</w:t>
      </w:r>
      <w:r w:rsidR="003B2BF2" w:rsidRPr="003B2BF2">
        <w:rPr>
          <w:rFonts w:ascii="仿宋" w:eastAsia="仿宋" w:hAnsi="仿宋" w:cs="Times New Roman" w:hint="eastAsia"/>
          <w:sz w:val="28"/>
          <w:szCs w:val="28"/>
        </w:rPr>
        <w:t>型最低养老金（folk</w:t>
      </w:r>
      <w:r w:rsidR="003B2BF2">
        <w:rPr>
          <w:rFonts w:ascii="仿宋" w:eastAsia="仿宋" w:hAnsi="仿宋" w:cs="Times New Roman" w:hint="eastAsia"/>
          <w:sz w:val="28"/>
          <w:szCs w:val="28"/>
        </w:rPr>
        <w:t xml:space="preserve"> </w:t>
      </w:r>
      <w:r w:rsidR="003B2BF2" w:rsidRPr="003B2BF2">
        <w:rPr>
          <w:rFonts w:ascii="仿宋" w:eastAsia="仿宋" w:hAnsi="仿宋" w:cs="Times New Roman" w:hint="eastAsia"/>
          <w:sz w:val="28"/>
          <w:szCs w:val="28"/>
        </w:rPr>
        <w:t>pension</w:t>
      </w:r>
      <w:r>
        <w:rPr>
          <w:rFonts w:ascii="仿宋" w:eastAsia="仿宋" w:hAnsi="仿宋" w:cs="Times New Roman" w:hint="eastAsia"/>
          <w:sz w:val="28"/>
          <w:szCs w:val="28"/>
        </w:rPr>
        <w:t>）和一般</w:t>
      </w:r>
      <w:r w:rsidR="003B2BF2" w:rsidRPr="003B2BF2">
        <w:rPr>
          <w:rFonts w:ascii="仿宋" w:eastAsia="仿宋" w:hAnsi="仿宋" w:cs="Times New Roman" w:hint="eastAsia"/>
          <w:sz w:val="28"/>
          <w:szCs w:val="28"/>
        </w:rPr>
        <w:t>型补充养老金（ATP）。这两种养老金统称为ATP制度（或补充养老金制度），这种制度的收益是确定的。ATP也包括提前退休养老金和遗属抚恤金/健在者养老金。</w:t>
      </w:r>
    </w:p>
    <w:p w14:paraId="3D0D1428" w14:textId="77777777" w:rsidR="003B2BF2" w:rsidRPr="003B2BF2" w:rsidRDefault="003B2BF2" w:rsidP="003B2BF2">
      <w:pPr>
        <w:pStyle w:val="BodyText"/>
        <w:spacing w:line="400" w:lineRule="exact"/>
        <w:ind w:firstLineChars="200" w:firstLine="560"/>
        <w:jc w:val="both"/>
        <w:rPr>
          <w:rFonts w:ascii="仿宋" w:eastAsia="仿宋" w:hAnsi="仿宋" w:cs="Times New Roman"/>
          <w:sz w:val="28"/>
          <w:szCs w:val="28"/>
          <w:lang w:val="en-US" w:eastAsia="zh-CN"/>
        </w:rPr>
      </w:pPr>
      <w:r w:rsidRPr="003B2BF2">
        <w:rPr>
          <w:rFonts w:ascii="仿宋" w:eastAsia="仿宋" w:hAnsi="仿宋" w:cs="Times New Roman" w:hint="eastAsia"/>
          <w:sz w:val="28"/>
          <w:szCs w:val="28"/>
          <w:lang w:val="en-US" w:eastAsia="zh-CN"/>
        </w:rPr>
        <w:t>所支付的福利是以养老金积分（</w:t>
      </w:r>
      <w:r w:rsidRPr="003B2BF2">
        <w:rPr>
          <w:rFonts w:ascii="仿宋" w:eastAsia="仿宋" w:hAnsi="仿宋" w:cs="Times New Roman"/>
          <w:sz w:val="28"/>
          <w:szCs w:val="28"/>
          <w:lang w:val="en-US" w:eastAsia="zh-CN"/>
        </w:rPr>
        <w:t>pension points</w:t>
      </w:r>
      <w:r w:rsidRPr="003B2BF2">
        <w:rPr>
          <w:rFonts w:ascii="仿宋" w:eastAsia="仿宋" w:hAnsi="仿宋" w:cs="Times New Roman" w:hint="eastAsia"/>
          <w:sz w:val="28"/>
          <w:szCs w:val="28"/>
          <w:lang w:val="en-US" w:eastAsia="zh-CN"/>
        </w:rPr>
        <w:t>）为基础的，通常每年进行确定，应计入养老金的收入随着更高的价格相关基数（</w:t>
      </w:r>
      <w:r w:rsidRPr="003B2BF2">
        <w:rPr>
          <w:rFonts w:ascii="仿宋" w:eastAsia="仿宋" w:hAnsi="仿宋" w:cs="Times New Roman"/>
          <w:sz w:val="28"/>
          <w:szCs w:val="28"/>
          <w:lang w:val="en-US" w:eastAsia="zh-CN"/>
        </w:rPr>
        <w:t>higher price-related base amount</w:t>
      </w:r>
      <w:r w:rsidRPr="003B2BF2">
        <w:rPr>
          <w:rFonts w:ascii="仿宋" w:eastAsia="仿宋" w:hAnsi="仿宋" w:cs="Times New Roman" w:hint="eastAsia"/>
          <w:sz w:val="28"/>
          <w:szCs w:val="28"/>
          <w:lang w:val="en-US" w:eastAsia="zh-CN"/>
        </w:rPr>
        <w:t>）减少，再除以该基数。</w:t>
      </w:r>
    </w:p>
    <w:p w14:paraId="39CB1C25" w14:textId="77777777" w:rsidR="003B2BF2" w:rsidRPr="003B2BF2" w:rsidRDefault="003B2BF2" w:rsidP="00DC5084">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在某年龄群体达到65岁的当年，养老金积分不能再被记录。要记为1单位养老金基金，可计为养老金的收入（</w:t>
      </w:r>
      <w:r w:rsidRPr="003B2BF2">
        <w:rPr>
          <w:rFonts w:ascii="仿宋" w:eastAsia="仿宋" w:hAnsi="仿宋" w:cs="Times New Roman"/>
          <w:sz w:val="28"/>
          <w:szCs w:val="28"/>
        </w:rPr>
        <w:t>pensionable income</w:t>
      </w:r>
      <w:r w:rsidRPr="003B2BF2">
        <w:rPr>
          <w:rFonts w:ascii="仿宋" w:eastAsia="仿宋" w:hAnsi="仿宋" w:cs="Times New Roman" w:hint="eastAsia"/>
          <w:sz w:val="28"/>
          <w:szCs w:val="28"/>
        </w:rPr>
        <w:t>）必须大于更高的价格相关基数（</w:t>
      </w:r>
      <w:r w:rsidRPr="003B2BF2">
        <w:rPr>
          <w:rFonts w:ascii="仿宋" w:eastAsia="仿宋" w:hAnsi="仿宋" w:cs="Times New Roman"/>
          <w:sz w:val="28"/>
          <w:szCs w:val="28"/>
        </w:rPr>
        <w:t>higher price-related base amount</w:t>
      </w:r>
      <w:r w:rsidRPr="003B2BF2">
        <w:rPr>
          <w:rFonts w:ascii="仿宋" w:eastAsia="仿宋" w:hAnsi="仿宋" w:cs="Times New Roman" w:hint="eastAsia"/>
          <w:sz w:val="28"/>
          <w:szCs w:val="28"/>
        </w:rPr>
        <w:t>）。要领取全额养老金，需要有30年的养老金积分记录。如果某人的养老金积分记录为28年，其养老金是拥有30年或以上记录的群体的 28/30。</w:t>
      </w:r>
    </w:p>
    <w:p w14:paraId="40039A92" w14:textId="77777777" w:rsidR="003B2BF2" w:rsidRPr="003B2BF2" w:rsidRDefault="003B2BF2" w:rsidP="003B2BF2">
      <w:pPr>
        <w:pStyle w:val="BodyText"/>
        <w:spacing w:line="400" w:lineRule="exact"/>
        <w:ind w:firstLineChars="200" w:firstLine="560"/>
        <w:jc w:val="both"/>
        <w:rPr>
          <w:rFonts w:ascii="仿宋" w:eastAsia="仿宋" w:hAnsi="仿宋" w:cs="Times New Roman"/>
          <w:sz w:val="28"/>
          <w:szCs w:val="28"/>
          <w:lang w:val="en-US" w:eastAsia="zh-CN"/>
        </w:rPr>
      </w:pPr>
      <w:r w:rsidRPr="003B2BF2">
        <w:rPr>
          <w:rFonts w:ascii="仿宋" w:eastAsia="仿宋" w:hAnsi="仿宋" w:cs="Times New Roman" w:hint="eastAsia"/>
          <w:sz w:val="28"/>
          <w:szCs w:val="28"/>
          <w:lang w:val="en-US" w:eastAsia="zh-CN"/>
        </w:rPr>
        <w:t>退休时，获得的养老金积分会</w:t>
      </w:r>
      <w:r w:rsidR="00DC5084">
        <w:rPr>
          <w:rFonts w:ascii="仿宋" w:eastAsia="仿宋" w:hAnsi="仿宋" w:cs="Times New Roman" w:hint="eastAsia"/>
          <w:sz w:val="28"/>
          <w:szCs w:val="28"/>
          <w:lang w:val="en-US" w:eastAsia="zh-CN"/>
        </w:rPr>
        <w:t>转换</w:t>
      </w:r>
      <w:r w:rsidRPr="003B2BF2">
        <w:rPr>
          <w:rFonts w:ascii="仿宋" w:eastAsia="仿宋" w:hAnsi="仿宋" w:cs="Times New Roman" w:hint="eastAsia"/>
          <w:sz w:val="28"/>
          <w:szCs w:val="28"/>
          <w:lang w:val="en-US" w:eastAsia="zh-CN"/>
        </w:rPr>
        <w:t>为养老金。退休时间现在（及以前）很灵活，通常是65岁。养老金可以通过以下方式确定：养老金最高的15年的平均额乘以0.6，以及当年的价格有关基数（</w:t>
      </w:r>
      <w:r w:rsidRPr="003B2BF2">
        <w:rPr>
          <w:rFonts w:ascii="仿宋" w:eastAsia="仿宋" w:hAnsi="仿宋" w:cs="Times New Roman"/>
          <w:sz w:val="28"/>
          <w:szCs w:val="28"/>
          <w:lang w:val="en-US" w:eastAsia="zh-CN"/>
        </w:rPr>
        <w:t>price-related base amount</w:t>
      </w:r>
      <w:r w:rsidRPr="003B2BF2">
        <w:rPr>
          <w:rFonts w:ascii="仿宋" w:eastAsia="仿宋" w:hAnsi="仿宋" w:cs="Times New Roman" w:hint="eastAsia"/>
          <w:sz w:val="28"/>
          <w:szCs w:val="28"/>
          <w:lang w:val="en-US" w:eastAsia="zh-CN"/>
        </w:rPr>
        <w:t>）。未婚人士采用价格相关基数的96%，已婚人士为78.5%，因此</w:t>
      </w:r>
      <w:r w:rsidR="00DC5084">
        <w:rPr>
          <w:rFonts w:ascii="仿宋" w:eastAsia="仿宋" w:hAnsi="仿宋" w:cs="Times New Roman" w:hint="eastAsia"/>
          <w:sz w:val="28"/>
          <w:szCs w:val="28"/>
          <w:lang w:val="en-US" w:eastAsia="zh-CN"/>
        </w:rPr>
        <w:t>普惠</w:t>
      </w:r>
      <w:r w:rsidRPr="003B2BF2">
        <w:rPr>
          <w:rFonts w:ascii="仿宋" w:eastAsia="仿宋" w:hAnsi="仿宋" w:cs="Times New Roman" w:hint="eastAsia"/>
          <w:sz w:val="28"/>
          <w:szCs w:val="28"/>
          <w:lang w:val="en-US" w:eastAsia="zh-CN"/>
        </w:rPr>
        <w:t>型最低养老金有所增加。</w:t>
      </w:r>
    </w:p>
    <w:p w14:paraId="654DB8CA"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sz w:val="28"/>
          <w:szCs w:val="28"/>
        </w:rPr>
        <w:t xml:space="preserve">ATP </w:t>
      </w:r>
      <w:r w:rsidRPr="003B2BF2">
        <w:rPr>
          <w:rFonts w:ascii="仿宋" w:eastAsia="仿宋" w:hAnsi="仿宋" w:cs="Times New Roman" w:hint="eastAsia"/>
          <w:sz w:val="28"/>
          <w:szCs w:val="28"/>
        </w:rPr>
        <w:t>制度是通过中央政府预算提供资金，但ATP在信托基金也有大量资金。</w:t>
      </w:r>
    </w:p>
    <w:p w14:paraId="71B710D8" w14:textId="77777777" w:rsidR="003B2BF2" w:rsidRPr="003B2BF2" w:rsidRDefault="003B2BF2" w:rsidP="00A843B4">
      <w:pPr>
        <w:spacing w:line="400" w:lineRule="exact"/>
        <w:rPr>
          <w:rFonts w:ascii="仿宋" w:eastAsia="仿宋" w:hAnsi="仿宋" w:cs="Times New Roman"/>
          <w:b/>
          <w:sz w:val="28"/>
          <w:szCs w:val="28"/>
        </w:rPr>
      </w:pPr>
    </w:p>
    <w:p w14:paraId="170E2B27"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六、改革后的制度</w:t>
      </w:r>
    </w:p>
    <w:p w14:paraId="159A343D"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lastRenderedPageBreak/>
        <w:t>新制度包括两个与收入相关的部分：收入养老金（</w:t>
      </w:r>
      <w:r w:rsidRPr="003B2BF2">
        <w:rPr>
          <w:rFonts w:ascii="仿宋" w:eastAsia="仿宋" w:hAnsi="仿宋" w:cs="Times New Roman"/>
          <w:sz w:val="28"/>
          <w:szCs w:val="28"/>
        </w:rPr>
        <w:t>inkomstpension</w:t>
      </w:r>
      <w:r w:rsidRPr="003B2BF2">
        <w:rPr>
          <w:rFonts w:ascii="仿宋" w:eastAsia="仿宋" w:hAnsi="仿宋" w:cs="Times New Roman" w:hint="eastAsia"/>
          <w:sz w:val="28"/>
          <w:szCs w:val="28"/>
        </w:rPr>
        <w:t>）和可支配养老金（</w:t>
      </w:r>
      <w:r w:rsidRPr="003B2BF2">
        <w:rPr>
          <w:rFonts w:ascii="仿宋" w:eastAsia="仿宋" w:hAnsi="仿宋" w:cs="Times New Roman"/>
          <w:sz w:val="28"/>
          <w:szCs w:val="28"/>
        </w:rPr>
        <w:t>premium pension</w:t>
      </w:r>
      <w:r w:rsidRPr="003B2BF2">
        <w:rPr>
          <w:rFonts w:ascii="仿宋" w:eastAsia="仿宋" w:hAnsi="仿宋" w:cs="Times New Roman" w:hint="eastAsia"/>
          <w:sz w:val="28"/>
          <w:szCs w:val="28"/>
        </w:rPr>
        <w:t>)。收入养老金是一项名义账户养老金计划（NDC），而可支配养老金是一项基金个人账户制计划（FDC）。与养老金相关的收益可在61</w:t>
      </w:r>
      <w:r w:rsidR="00DC5084">
        <w:rPr>
          <w:rFonts w:ascii="仿宋" w:eastAsia="仿宋" w:hAnsi="仿宋" w:cs="Times New Roman" w:hint="eastAsia"/>
          <w:sz w:val="28"/>
          <w:szCs w:val="28"/>
        </w:rPr>
        <w:t>岁时提取，不设上限。收入养老金和可支配养老金每推迟一个月都有所</w:t>
      </w:r>
      <w:r w:rsidRPr="003B2BF2">
        <w:rPr>
          <w:rFonts w:ascii="仿宋" w:eastAsia="仿宋" w:hAnsi="仿宋" w:cs="Times New Roman" w:hint="eastAsia"/>
          <w:sz w:val="28"/>
          <w:szCs w:val="28"/>
        </w:rPr>
        <w:t>增加。也可以选择领取部分养老金，如25%、50%或75%。</w:t>
      </w:r>
    </w:p>
    <w:p w14:paraId="57D2BD0F"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从65岁起，养老金领取人还可享受保障养老金、住房补贴和</w:t>
      </w:r>
      <w:r w:rsidR="00DC5084">
        <w:rPr>
          <w:rFonts w:ascii="仿宋" w:eastAsia="仿宋" w:hAnsi="仿宋" w:cs="Times New Roman" w:hint="eastAsia"/>
          <w:sz w:val="28"/>
          <w:szCs w:val="28"/>
        </w:rPr>
        <w:t>生活费用补贴</w:t>
      </w:r>
      <w:r w:rsidRPr="003B2BF2">
        <w:rPr>
          <w:rFonts w:ascii="仿宋" w:eastAsia="仿宋" w:hAnsi="仿宋" w:cs="Times New Roman" w:hint="eastAsia"/>
          <w:sz w:val="28"/>
          <w:szCs w:val="28"/>
        </w:rPr>
        <w:t>等形式</w:t>
      </w:r>
      <w:r w:rsidR="00DC5084">
        <w:rPr>
          <w:rFonts w:ascii="仿宋" w:eastAsia="仿宋" w:hAnsi="仿宋" w:cs="Times New Roman" w:hint="eastAsia"/>
          <w:sz w:val="28"/>
          <w:szCs w:val="28"/>
        </w:rPr>
        <w:t>的基本保障，推迟领取这些福利并不会使这些福利水平提高。基本保障</w:t>
      </w:r>
      <w:r w:rsidRPr="003B2BF2">
        <w:rPr>
          <w:rFonts w:ascii="仿宋" w:eastAsia="仿宋" w:hAnsi="仿宋" w:cs="Times New Roman" w:hint="eastAsia"/>
          <w:sz w:val="28"/>
          <w:szCs w:val="28"/>
        </w:rPr>
        <w:t>来自中央政府预算提供的税收。住房补贴和</w:t>
      </w:r>
      <w:r w:rsidR="00DC5084">
        <w:rPr>
          <w:rFonts w:ascii="仿宋" w:eastAsia="仿宋" w:hAnsi="仿宋" w:cs="Times New Roman" w:hint="eastAsia"/>
          <w:sz w:val="28"/>
          <w:szCs w:val="28"/>
        </w:rPr>
        <w:t>生活费用补贴</w:t>
      </w:r>
      <w:r w:rsidRPr="003B2BF2">
        <w:rPr>
          <w:rFonts w:ascii="仿宋" w:eastAsia="仿宋" w:hAnsi="仿宋" w:cs="Times New Roman" w:hint="eastAsia"/>
          <w:sz w:val="28"/>
          <w:szCs w:val="28"/>
        </w:rPr>
        <w:t>是收入限定性补助，本报告未包含相关细节。</w:t>
      </w:r>
    </w:p>
    <w:p w14:paraId="4AABCB6E"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（一）缴费率</w:t>
      </w:r>
    </w:p>
    <w:p w14:paraId="3BA812C7"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向国家公共养老金的缴费是养老金基数（</w:t>
      </w:r>
      <w:r w:rsidRPr="003B2BF2">
        <w:rPr>
          <w:rFonts w:ascii="仿宋" w:eastAsia="仿宋" w:hAnsi="仿宋" w:cs="Times New Roman"/>
          <w:sz w:val="28"/>
          <w:szCs w:val="28"/>
        </w:rPr>
        <w:t>pension base</w:t>
      </w:r>
      <w:r w:rsidRPr="003B2BF2">
        <w:rPr>
          <w:rFonts w:ascii="仿宋" w:eastAsia="仿宋" w:hAnsi="仿宋" w:cs="Times New Roman" w:hint="eastAsia"/>
          <w:sz w:val="28"/>
          <w:szCs w:val="28"/>
        </w:rPr>
        <w:t>）的18.5%。缴费分为个人缴费及雇主缴费。</w:t>
      </w:r>
    </w:p>
    <w:p w14:paraId="39E531A3"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养老金基数最高上限是收入相关基数的7.5倍。个人缴费占劳动者收入的7%，并且未包含在养老金基数内，因此养老金基数为个人收入的93%。缴费是针对超过收入相关基数8.07倍的部分，因此需要和收入预缴税金一起支付。</w:t>
      </w:r>
    </w:p>
    <w:p w14:paraId="28AE0FC9"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投保人应从收入中缴纳个人养老金保费，以及为从社会保险和/或失业保险计划中获得的所有福利缴纳费用。如果他们的收入超过了可申报返税的最低收入，年度收入就符合养老金资格，从2003年开始，返还的部分是当前价格相关基数的42.3%。当一个人的收入超过了这个标准,在第一克朗制度中便符合养老金资格。</w:t>
      </w:r>
    </w:p>
    <w:p w14:paraId="38A05621"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雇主的缴费总额占个人收入的31.42%，其中养老金缴费占10.21%。缴费同样是针对超过收入相关基数8.07倍的部分。因为一旦收入金额超过收入相关基数的8.07倍，便不再有养老金补助，缴纳的费用实际上是税，这些缴费从养老金制度转到政府预算中。对于符合领取养老金资格并获取社会保险或失业保险福利金的人，中央政府会向养老金制度支付10.21% 的补助金。</w:t>
      </w:r>
    </w:p>
    <w:p w14:paraId="7A150E18"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因此，养老金缴款总额是个人收入的 17.21%，而养老金补助和养老金缴费是养老金基数的18.5%。</w:t>
      </w:r>
    </w:p>
    <w:p w14:paraId="14CAB452" w14:textId="77777777" w:rsidR="003B2BF2" w:rsidRPr="003B2BF2" w:rsidRDefault="00DC5084" w:rsidP="003B2BF2">
      <w:pPr>
        <w:spacing w:line="400" w:lineRule="exact"/>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lastRenderedPageBreak/>
        <w:t>具有</w:t>
      </w:r>
      <w:r w:rsidR="003B2BF2" w:rsidRPr="003B2BF2">
        <w:rPr>
          <w:rFonts w:ascii="仿宋" w:eastAsia="仿宋" w:hAnsi="仿宋" w:cs="Times New Roman" w:hint="eastAsia"/>
          <w:sz w:val="28"/>
          <w:szCs w:val="28"/>
        </w:rPr>
        <w:t>领取养老金资格的人，中央政府向养老金制度支付养老金合格收入的18.5% 。这些中央政府对养老金制度的缴款由一般性税收收入提供资金。</w:t>
      </w:r>
    </w:p>
    <w:p w14:paraId="3F745C2C"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（二）保障养老金</w:t>
      </w:r>
    </w:p>
    <w:p w14:paraId="6E00C82B"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保障养老金是为低收入或无收入的人群提供的基本社会保险。保障养老金通过中央政府预算提供资金。瑞典居民从65岁开始具备领取保障养老金的资格，获取资格的条件主要是居住年限。保障养老金通过中央政府预算提供资金。</w:t>
      </w:r>
    </w:p>
    <w:p w14:paraId="2F0BFEB3"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保障养老金的指数调整遵循价格指数的变化。未婚和已婚的养老金领取者所获得的保障养老金数量不同。未婚人士可领取的养老金是价格相关基数的2.13倍，已婚人士可领取的养老金是价格相关基数的1.9倍。</w:t>
      </w:r>
    </w:p>
    <w:p w14:paraId="7A36F436"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相对</w:t>
      </w:r>
      <w:r w:rsidR="00DC5084">
        <w:rPr>
          <w:rFonts w:ascii="仿宋" w:eastAsia="仿宋" w:hAnsi="仿宋" w:cs="Times New Roman" w:hint="eastAsia"/>
          <w:sz w:val="28"/>
          <w:szCs w:val="28"/>
        </w:rPr>
        <w:t>于</w:t>
      </w:r>
      <w:r w:rsidRPr="003B2BF2">
        <w:rPr>
          <w:rFonts w:ascii="仿宋" w:eastAsia="仿宋" w:hAnsi="仿宋" w:cs="Times New Roman" w:hint="eastAsia"/>
          <w:sz w:val="28"/>
          <w:szCs w:val="28"/>
        </w:rPr>
        <w:t>收入相关养老金</w:t>
      </w:r>
      <w:r w:rsidR="00DC5084">
        <w:rPr>
          <w:rFonts w:ascii="仿宋" w:eastAsia="仿宋" w:hAnsi="仿宋" w:cs="Times New Roman" w:hint="eastAsia"/>
          <w:sz w:val="28"/>
          <w:szCs w:val="28"/>
        </w:rPr>
        <w:t>，</w:t>
      </w:r>
      <w:r w:rsidR="00DC5084" w:rsidRPr="003B2BF2">
        <w:rPr>
          <w:rFonts w:ascii="仿宋" w:eastAsia="仿宋" w:hAnsi="仿宋" w:cs="Times New Roman" w:hint="eastAsia"/>
          <w:sz w:val="28"/>
          <w:szCs w:val="28"/>
        </w:rPr>
        <w:t>保障养老金</w:t>
      </w:r>
      <w:r w:rsidRPr="003B2BF2">
        <w:rPr>
          <w:rFonts w:ascii="仿宋" w:eastAsia="仿宋" w:hAnsi="仿宋" w:cs="Times New Roman" w:hint="eastAsia"/>
          <w:sz w:val="28"/>
          <w:szCs w:val="28"/>
        </w:rPr>
        <w:t>在减少。对于（低）收入有关的养老金，保障养老金最多可降低价格相关基数的1.26倍。对未婚退休人士而言，降幅是价格有关基数的1.26 和3.07倍之间，下降48%；已婚退休人士相应是1.14 和 2.72，见表1。</w:t>
      </w:r>
    </w:p>
    <w:p w14:paraId="2943BDFE"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计算保障养老金时，额外投保养老金不包含在收入相关养老金中，相反，收入养老金的计算是养老金基数的18.5%，而不是16%。</w:t>
      </w:r>
    </w:p>
    <w:p w14:paraId="26DC9536"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图1</w:t>
      </w:r>
      <w:r w:rsidR="00DC5084">
        <w:rPr>
          <w:rFonts w:ascii="仿宋" w:eastAsia="仿宋" w:hAnsi="仿宋" w:cs="Times New Roman" w:hint="eastAsia"/>
          <w:sz w:val="28"/>
          <w:szCs w:val="28"/>
        </w:rPr>
        <w:t>：</w:t>
      </w:r>
      <w:r w:rsidRPr="003B2BF2">
        <w:rPr>
          <w:rFonts w:ascii="仿宋" w:eastAsia="仿宋" w:hAnsi="仿宋" w:cs="Times New Roman" w:hint="eastAsia"/>
          <w:sz w:val="28"/>
          <w:szCs w:val="28"/>
        </w:rPr>
        <w:t>表明保障养老金随收入相关养老金减少的情况。数值代表价格相关基数及（2016年月度养老金，单位：瑞典克朗）。来源：橙皮书报告2016。</w:t>
      </w:r>
    </w:p>
    <w:p w14:paraId="77550D95" w14:textId="77777777" w:rsidR="003B2BF2" w:rsidRPr="009B4DF1" w:rsidRDefault="003B2BF2" w:rsidP="003B2BF2">
      <w:pPr>
        <w:jc w:val="center"/>
      </w:pPr>
      <w:r w:rsidRPr="003B2BF2">
        <w:rPr>
          <w:noProof/>
          <w:lang w:eastAsia="en-US"/>
        </w:rPr>
        <w:drawing>
          <wp:inline distT="0" distB="0" distL="0" distR="0" wp14:anchorId="6E670172" wp14:editId="00AF698E">
            <wp:extent cx="3442855" cy="2454377"/>
            <wp:effectExtent l="19050" t="0" r="519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440309" cy="2452562"/>
                    </a:xfrm>
                    <a:prstGeom prst="rect">
                      <a:avLst/>
                    </a:prstGeom>
                  </pic:spPr>
                </pic:pic>
              </a:graphicData>
            </a:graphic>
          </wp:inline>
        </w:drawing>
      </w:r>
    </w:p>
    <w:p w14:paraId="14F70C96"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lastRenderedPageBreak/>
        <w:t>（三）收入型养老金</w:t>
      </w:r>
    </w:p>
    <w:p w14:paraId="64AA88EB"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收入型养老金是收入相关养老金中最大的一部分，是一种名义账户养老金计划（</w:t>
      </w:r>
      <w:r w:rsidRPr="003B2BF2">
        <w:rPr>
          <w:rFonts w:ascii="仿宋" w:eastAsia="仿宋" w:hAnsi="仿宋" w:cs="Times New Roman"/>
          <w:sz w:val="28"/>
          <w:szCs w:val="28"/>
        </w:rPr>
        <w:t>Notional Defined Contribution</w:t>
      </w:r>
      <w:r w:rsidRPr="003B2BF2">
        <w:rPr>
          <w:rFonts w:ascii="仿宋" w:eastAsia="仿宋" w:hAnsi="仿宋" w:cs="Times New Roman" w:hint="eastAsia"/>
          <w:sz w:val="28"/>
          <w:szCs w:val="28"/>
        </w:rPr>
        <w:t xml:space="preserve"> ，NDC）。在收入基数18.5%的缴费中，16个百分点将被存入缓冲基金。收入型养老金给付的月度养老金来源于缓冲基金。</w:t>
      </w:r>
    </w:p>
    <w:p w14:paraId="7D538293"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获得的养老金补助记录在个人账户上，与账户积累制的方法一致，不同在于缴纳的费用直接用于支付现在的养老金。</w:t>
      </w:r>
    </w:p>
    <w:p w14:paraId="07C52E21" w14:textId="77777777" w:rsidR="003B2BF2" w:rsidRPr="003B2BF2" w:rsidRDefault="003B2BF2" w:rsidP="00DC5084">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每年（12月）养老金补助会被计入个人名义账户，在新养老金补助加入前，前一年的数值需要乘以继承收益系数（</w:t>
      </w:r>
      <w:r w:rsidRPr="003B2BF2">
        <w:rPr>
          <w:rFonts w:ascii="仿宋" w:eastAsia="仿宋" w:hAnsi="仿宋" w:cs="Times New Roman"/>
          <w:sz w:val="28"/>
          <w:szCs w:val="28"/>
        </w:rPr>
        <w:t>inheritance gains factor</w:t>
      </w:r>
      <w:r w:rsidRPr="003B2BF2">
        <w:rPr>
          <w:rFonts w:ascii="仿宋" w:eastAsia="仿宋" w:hAnsi="仿宋" w:cs="Times New Roman" w:hint="eastAsia"/>
          <w:sz w:val="28"/>
          <w:szCs w:val="28"/>
        </w:rPr>
        <w:t>）。如果参保者在积累阶段死亡，其所积累的名义资金则分配给同一年龄群组的参保者。对于60岁以下，实际累积的资本被重新分；从60岁及以上，是基于瑞典总人口的预期寿命，采用的是用于计算年金除数</w:t>
      </w:r>
      <w:r w:rsidR="00DC5084">
        <w:rPr>
          <w:rFonts w:ascii="仿宋" w:eastAsia="仿宋" w:hAnsi="仿宋" w:cs="Times New Roman" w:hint="eastAsia"/>
          <w:sz w:val="28"/>
          <w:szCs w:val="28"/>
        </w:rPr>
        <w:t>（annuity divisor）</w:t>
      </w:r>
      <w:r w:rsidRPr="003B2BF2">
        <w:rPr>
          <w:rFonts w:ascii="仿宋" w:eastAsia="仿宋" w:hAnsi="仿宋" w:cs="Times New Roman" w:hint="eastAsia"/>
          <w:sz w:val="28"/>
          <w:szCs w:val="28"/>
        </w:rPr>
        <w:t>的相同数据。</w:t>
      </w:r>
    </w:p>
    <w:p w14:paraId="32874AAE"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每年年底，资本总额是与收入指数的变化挂钩的（平衡期的余额指数）。为支付管理费用，帐户余额中有一项管理费用系数（</w:t>
      </w:r>
      <w:r w:rsidRPr="003B2BF2">
        <w:rPr>
          <w:rFonts w:ascii="仿宋" w:eastAsia="仿宋" w:hAnsi="仿宋" w:cs="Times New Roman"/>
          <w:sz w:val="28"/>
          <w:szCs w:val="28"/>
        </w:rPr>
        <w:t>administrative-cost factor</w:t>
      </w:r>
      <w:r w:rsidRPr="003B2BF2">
        <w:rPr>
          <w:rFonts w:ascii="仿宋" w:eastAsia="仿宋" w:hAnsi="仿宋" w:cs="Times New Roman" w:hint="eastAsia"/>
          <w:sz w:val="28"/>
          <w:szCs w:val="28"/>
        </w:rPr>
        <w:t>）可以加以运用。对养老金领取者而言，不扣除管理费用。这些内容每年都会放在橙色信封中，发给每个参保者。</w:t>
      </w:r>
    </w:p>
    <w:p w14:paraId="0B48D2E0"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退休时，累计名义资本通过年金除数转为月度养老金。年金除数是指特定年龄的预期剩余寿命，同时也考虑到1.6% 的预付利息。预付利息的运用提高了初始养老金数额，但指数调整减少了。在达到65岁的当年，该年龄群组的年金除数将确定下来。因此，寿命的延长会给</w:t>
      </w:r>
      <w:r w:rsidR="00DC5084">
        <w:rPr>
          <w:rFonts w:ascii="仿宋" w:eastAsia="仿宋" w:hAnsi="仿宋" w:cs="Times New Roman" w:hint="eastAsia"/>
          <w:sz w:val="28"/>
          <w:szCs w:val="28"/>
        </w:rPr>
        <w:t>体系</w:t>
      </w:r>
      <w:r w:rsidRPr="003B2BF2">
        <w:rPr>
          <w:rFonts w:ascii="仿宋" w:eastAsia="仿宋" w:hAnsi="仿宋" w:cs="Times New Roman" w:hint="eastAsia"/>
          <w:sz w:val="28"/>
          <w:szCs w:val="28"/>
        </w:rPr>
        <w:t>带来压力。年金除数是根据最新的五年期数据计算的，无论性别。</w:t>
      </w:r>
    </w:p>
    <w:p w14:paraId="03CE90CE"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指数化</w:t>
      </w:r>
      <w:r w:rsidR="00DC5084">
        <w:rPr>
          <w:rFonts w:ascii="仿宋" w:eastAsia="仿宋" w:hAnsi="仿宋" w:cs="Times New Roman" w:hint="eastAsia"/>
          <w:sz w:val="28"/>
          <w:szCs w:val="28"/>
        </w:rPr>
        <w:t>调整</w:t>
      </w:r>
      <w:r w:rsidRPr="003B2BF2">
        <w:rPr>
          <w:rFonts w:ascii="仿宋" w:eastAsia="仿宋" w:hAnsi="仿宋" w:cs="Times New Roman" w:hint="eastAsia"/>
          <w:sz w:val="28"/>
          <w:szCs w:val="28"/>
        </w:rPr>
        <w:t>通常是指以收入指数衡量平均收入的增长。截至 2017年，t年的收入指数衡量t-2年和 t-1年之间的平均收入变化。如果资产少于负债，那么指数化就会减少，养老金和账户余额则由余额指数进行指数化</w:t>
      </w:r>
      <w:r w:rsidR="00DC5084">
        <w:rPr>
          <w:rFonts w:ascii="仿宋" w:eastAsia="仿宋" w:hAnsi="仿宋" w:cs="Times New Roman" w:hint="eastAsia"/>
          <w:sz w:val="28"/>
          <w:szCs w:val="28"/>
        </w:rPr>
        <w:t>调整</w:t>
      </w:r>
      <w:r w:rsidRPr="003B2BF2">
        <w:rPr>
          <w:rFonts w:ascii="仿宋" w:eastAsia="仿宋" w:hAnsi="仿宋" w:cs="Times New Roman" w:hint="eastAsia"/>
          <w:sz w:val="28"/>
          <w:szCs w:val="28"/>
        </w:rPr>
        <w:t>。指数化</w:t>
      </w:r>
      <w:r w:rsidR="00DC5084" w:rsidRPr="003B2BF2">
        <w:rPr>
          <w:rFonts w:ascii="仿宋" w:eastAsia="仿宋" w:hAnsi="仿宋" w:cs="Times New Roman" w:hint="eastAsia"/>
          <w:sz w:val="28"/>
          <w:szCs w:val="28"/>
        </w:rPr>
        <w:t>调整</w:t>
      </w:r>
      <w:r w:rsidR="00DC5084">
        <w:rPr>
          <w:rFonts w:ascii="仿宋" w:eastAsia="仿宋" w:hAnsi="仿宋" w:cs="Times New Roman" w:hint="eastAsia"/>
          <w:sz w:val="28"/>
          <w:szCs w:val="28"/>
        </w:rPr>
        <w:t>用于养老金，</w:t>
      </w:r>
      <w:r w:rsidRPr="003B2BF2">
        <w:rPr>
          <w:rFonts w:ascii="仿宋" w:eastAsia="仿宋" w:hAnsi="仿宋" w:cs="Times New Roman" w:hint="eastAsia"/>
          <w:sz w:val="28"/>
          <w:szCs w:val="28"/>
        </w:rPr>
        <w:t>是指数化扣除1.6% 预付利息。</w:t>
      </w:r>
    </w:p>
    <w:p w14:paraId="2695CF82"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资产除以负债为平衡率（balance ratio），如果这个数值低于统一比率（unity）会导致指数化结果变少。小于统一比率的平衡率会触</w:t>
      </w:r>
      <w:r w:rsidRPr="003B2BF2">
        <w:rPr>
          <w:rFonts w:ascii="仿宋" w:eastAsia="仿宋" w:hAnsi="仿宋" w:cs="Times New Roman" w:hint="eastAsia"/>
          <w:sz w:val="28"/>
          <w:szCs w:val="28"/>
        </w:rPr>
        <w:lastRenderedPageBreak/>
        <w:t>发自动平衡机制（automatic balancing mechanism），启动平衡期直到平衡指数达到收入指数的水平。在此期间，如果指数化系数大于收入指数（income index），平衡率则大于1，反之则小于1。2017年（2016年根据截止到2015年的数据进行的计算）采用了阻尼平衡率将影响降低到三分之一。</w:t>
      </w:r>
    </w:p>
    <w:p w14:paraId="5C466932"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负债方面分为经济活跃者和养老金领取者。对于经济活跃者，负债是指其年底帐户余额的总和。养老金领取者的负债被计为目前养老金的终生价值，计算方式是12</w:t>
      </w:r>
      <w:r w:rsidR="00C351EE">
        <w:rPr>
          <w:rFonts w:ascii="仿宋" w:eastAsia="仿宋" w:hAnsi="仿宋" w:cs="Times New Roman" w:hint="eastAsia"/>
          <w:sz w:val="28"/>
          <w:szCs w:val="28"/>
        </w:rPr>
        <w:t>鱼粉</w:t>
      </w:r>
      <w:r w:rsidRPr="003B2BF2">
        <w:rPr>
          <w:rFonts w:ascii="仿宋" w:eastAsia="仿宋" w:hAnsi="仿宋" w:cs="Times New Roman" w:hint="eastAsia"/>
          <w:sz w:val="28"/>
          <w:szCs w:val="28"/>
        </w:rPr>
        <w:t>的养老金支出乘以同年龄群体的经济年金除数（economic annuity divisor）和系数12（月数）。在这一年中（未知）预计赚取的养老金积分也加入到负债中。</w:t>
      </w:r>
    </w:p>
    <w:p w14:paraId="143E7B22"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资产分为累积型资产（缓冲资金）和缴费型资产。缓冲资金的价值是根据五项AP基金的市值进行确定。缴费型资产的计算方式是缴费收入乘以周转期（turnover duration）。缴费收入是指当年养老金缴费总额支付到现收现付体系中的收入。周转期反映了从养老金积分赚取到养老金提取时间的预期期限。</w:t>
      </w:r>
    </w:p>
    <w:p w14:paraId="3C068445"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（四）额外投保养老金</w:t>
      </w:r>
    </w:p>
    <w:p w14:paraId="610D1864"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额外投保养老金的分配是养老金基数18.5% 的2.5个百分点。这部分额度是用于投资到产生收益的资产中，直到最终税收结算，每个人的额度都已知。</w:t>
      </w:r>
    </w:p>
    <w:p w14:paraId="4E6D9F8D"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额外投保养老金记录第一笔养老金是在1995年，但在2000</w:t>
      </w:r>
      <w:r w:rsidR="00C351EE">
        <w:rPr>
          <w:rFonts w:ascii="仿宋" w:eastAsia="仿宋" w:hAnsi="仿宋" w:cs="Times New Roman" w:hint="eastAsia"/>
          <w:sz w:val="28"/>
          <w:szCs w:val="28"/>
        </w:rPr>
        <w:t>年秋季才投资</w:t>
      </w:r>
      <w:r w:rsidRPr="003B2BF2">
        <w:rPr>
          <w:rFonts w:ascii="仿宋" w:eastAsia="仿宋" w:hAnsi="仿宋" w:cs="Times New Roman" w:hint="eastAsia"/>
          <w:sz w:val="28"/>
          <w:szCs w:val="28"/>
        </w:rPr>
        <w:t>基金。此次投资传达的重要信息是，这种做法非常积极。因此，大约三分之二的养老金做出了类似的积极选择，约450个资金可以选择。</w:t>
      </w:r>
    </w:p>
    <w:p w14:paraId="5E8EBB4A"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额外投保养老金是资金累积式的保费储蓄计划。每个人都有自己的个人储蓄账户，每年（12月份）新的养老金额度会存入该账户。个人可以同时选</w:t>
      </w:r>
      <w:r w:rsidR="00C351EE">
        <w:rPr>
          <w:rFonts w:ascii="仿宋" w:eastAsia="仿宋" w:hAnsi="仿宋" w:cs="Times New Roman" w:hint="eastAsia"/>
          <w:sz w:val="28"/>
          <w:szCs w:val="28"/>
        </w:rPr>
        <w:t>择多达五个基金进行资本投资。替换变化对个人来说是免费的，并且可在</w:t>
      </w:r>
      <w:r w:rsidRPr="003B2BF2">
        <w:rPr>
          <w:rFonts w:ascii="仿宋" w:eastAsia="仿宋" w:hAnsi="仿宋" w:cs="Times New Roman" w:hint="eastAsia"/>
          <w:sz w:val="28"/>
          <w:szCs w:val="28"/>
        </w:rPr>
        <w:t>任何时候进行。还有一个默认的国有基金（AP7 S</w:t>
      </w:r>
      <w:r w:rsidRPr="003B2BF2">
        <w:rPr>
          <w:rFonts w:hint="eastAsia"/>
          <w:sz w:val="28"/>
          <w:szCs w:val="28"/>
        </w:rPr>
        <w:t>å</w:t>
      </w:r>
      <w:r w:rsidRPr="003B2BF2">
        <w:rPr>
          <w:rFonts w:ascii="仿宋" w:eastAsia="仿宋" w:hAnsi="仿宋" w:cs="Times New Roman" w:hint="eastAsia"/>
          <w:sz w:val="28"/>
          <w:szCs w:val="28"/>
        </w:rPr>
        <w:t>fa）可以使用。养老金机构作为基金股的拥有者，是基金的单一客户。</w:t>
      </w:r>
    </w:p>
    <w:p w14:paraId="24B3E245"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资本每年乘以继承收益因子（如收入型养老金）。继承收益因子主要用于将死亡参保者的资金分配给其他参保者，计算方式与收入养</w:t>
      </w:r>
      <w:r w:rsidR="00C351EE">
        <w:rPr>
          <w:rFonts w:ascii="仿宋" w:eastAsia="仿宋" w:hAnsi="仿宋" w:cs="Times New Roman" w:hint="eastAsia"/>
          <w:sz w:val="28"/>
          <w:szCs w:val="28"/>
        </w:rPr>
        <w:lastRenderedPageBreak/>
        <w:t>老金所采用的不同，但属于</w:t>
      </w:r>
      <w:r w:rsidRPr="003B2BF2">
        <w:rPr>
          <w:rFonts w:ascii="仿宋" w:eastAsia="仿宋" w:hAnsi="仿宋" w:cs="Times New Roman" w:hint="eastAsia"/>
          <w:sz w:val="28"/>
          <w:szCs w:val="28"/>
        </w:rPr>
        <w:t>同一概念。所有账户都会扣除管理费用。这部分费用是按比例计算的，2015年的平均费用为 0.07%，最高限额为120克朗。</w:t>
      </w:r>
    </w:p>
    <w:p w14:paraId="23FC497C"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个人还要</w:t>
      </w:r>
      <w:r w:rsidR="00C351EE">
        <w:rPr>
          <w:rFonts w:ascii="仿宋" w:eastAsia="仿宋" w:hAnsi="仿宋" w:cs="Times New Roman" w:hint="eastAsia"/>
          <w:sz w:val="28"/>
          <w:szCs w:val="28"/>
        </w:rPr>
        <w:t>间接向基金管理部门支付费用；这笔费用是从基金中获取，因此会降低</w:t>
      </w:r>
      <w:r w:rsidRPr="003B2BF2">
        <w:rPr>
          <w:rFonts w:ascii="仿宋" w:eastAsia="仿宋" w:hAnsi="仿宋" w:cs="Times New Roman" w:hint="eastAsia"/>
          <w:sz w:val="28"/>
          <w:szCs w:val="28"/>
        </w:rPr>
        <w:t>基金的回报率。养老金机构设有费用上限，资本基金为 0.89%，0.62</w:t>
      </w:r>
      <w:r w:rsidR="00C351EE" w:rsidRPr="003B2BF2">
        <w:rPr>
          <w:rFonts w:ascii="仿宋" w:eastAsia="仿宋" w:hAnsi="仿宋" w:cs="Times New Roman" w:hint="eastAsia"/>
          <w:sz w:val="28"/>
          <w:szCs w:val="28"/>
        </w:rPr>
        <w:t>%</w:t>
      </w:r>
      <w:r w:rsidRPr="003B2BF2">
        <w:rPr>
          <w:rFonts w:ascii="仿宋" w:eastAsia="仿宋" w:hAnsi="仿宋" w:cs="Times New Roman" w:hint="eastAsia"/>
          <w:sz w:val="28"/>
          <w:szCs w:val="28"/>
        </w:rPr>
        <w:t>为混合和</w:t>
      </w:r>
      <w:r w:rsidR="00C351EE">
        <w:rPr>
          <w:rFonts w:ascii="仿宋" w:eastAsia="仿宋" w:hAnsi="仿宋" w:cs="Times New Roman" w:hint="eastAsia"/>
          <w:sz w:val="28"/>
          <w:szCs w:val="28"/>
        </w:rPr>
        <w:t>代际</w:t>
      </w:r>
      <w:r w:rsidRPr="003B2BF2">
        <w:rPr>
          <w:rFonts w:ascii="仿宋" w:eastAsia="仿宋" w:hAnsi="仿宋" w:cs="Times New Roman" w:hint="eastAsia"/>
          <w:sz w:val="28"/>
          <w:szCs w:val="28"/>
        </w:rPr>
        <w:t>基金，0.42%为债券基金。如果基金费用大于上限（这并不少见），基金管理将不得不偿还养老金机构，后者又在下一年将资本分配给基金储户。截至 2016年，平均资本加权管理费为 0.72%，净额0.23%。</w:t>
      </w:r>
    </w:p>
    <w:p w14:paraId="209BDA6A" w14:textId="77777777" w:rsidR="003B2BF2" w:rsidRPr="003B2BF2" w:rsidRDefault="003B2BF2" w:rsidP="003B2BF2">
      <w:pPr>
        <w:spacing w:line="400" w:lineRule="exact"/>
        <w:ind w:firstLineChars="200" w:firstLine="560"/>
        <w:jc w:val="both"/>
        <w:rPr>
          <w:rFonts w:ascii="仿宋" w:eastAsia="仿宋" w:hAnsi="仿宋" w:cs="Times New Roman"/>
          <w:sz w:val="28"/>
          <w:szCs w:val="28"/>
        </w:rPr>
      </w:pPr>
      <w:r w:rsidRPr="003B2BF2">
        <w:rPr>
          <w:rFonts w:ascii="仿宋" w:eastAsia="仿宋" w:hAnsi="仿宋" w:cs="Times New Roman" w:hint="eastAsia"/>
          <w:sz w:val="28"/>
          <w:szCs w:val="28"/>
        </w:rPr>
        <w:t>退休时, 累计资本除以年金除数（annuity divisor）, 除数的计算方式与收入养老金不同，每年针对所有年龄组要重新计算。养老金可以作为传统的保险，带有盈利性年金或基金保险被提取。除了传统保险中的担保部分，可额外投保养老金制度没有担保费用。个人承担寿命及资本回报率方面的全部风险。</w:t>
      </w:r>
    </w:p>
    <w:p w14:paraId="1616C91C"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（五）</w:t>
      </w:r>
      <w:r w:rsidR="00740620">
        <w:rPr>
          <w:rFonts w:ascii="仿宋" w:eastAsia="仿宋" w:hAnsi="仿宋" w:cs="Times New Roman" w:hint="eastAsia"/>
          <w:b/>
          <w:sz w:val="28"/>
          <w:szCs w:val="28"/>
        </w:rPr>
        <w:t>过渡期</w:t>
      </w:r>
      <w:r w:rsidRPr="00D106B1">
        <w:rPr>
          <w:rFonts w:ascii="仿宋" w:eastAsia="仿宋" w:hAnsi="仿宋" w:cs="Times New Roman" w:hint="eastAsia"/>
          <w:b/>
          <w:sz w:val="28"/>
          <w:szCs w:val="28"/>
        </w:rPr>
        <w:t>原则</w:t>
      </w:r>
    </w:p>
    <w:p w14:paraId="032DFE48" w14:textId="77777777" w:rsidR="00740620" w:rsidRPr="00740620" w:rsidRDefault="00740620" w:rsidP="00740620">
      <w:pPr>
        <w:spacing w:line="400" w:lineRule="exact"/>
        <w:ind w:firstLineChars="200" w:firstLine="560"/>
        <w:jc w:val="both"/>
        <w:rPr>
          <w:rFonts w:ascii="仿宋" w:eastAsia="仿宋" w:hAnsi="仿宋"/>
          <w:sz w:val="28"/>
          <w:szCs w:val="28"/>
        </w:rPr>
      </w:pPr>
      <w:r w:rsidRPr="00740620">
        <w:rPr>
          <w:rFonts w:ascii="仿宋" w:eastAsia="仿宋" w:hAnsi="仿宋" w:hint="eastAsia"/>
          <w:sz w:val="28"/>
          <w:szCs w:val="28"/>
        </w:rPr>
        <w:t>采用新的制度也给补充</w:t>
      </w:r>
      <w:r w:rsidRPr="00740620">
        <w:rPr>
          <w:rFonts w:ascii="仿宋" w:eastAsia="仿宋" w:hAnsi="仿宋"/>
          <w:sz w:val="28"/>
          <w:szCs w:val="28"/>
        </w:rPr>
        <w:t>养老金</w:t>
      </w:r>
      <w:r w:rsidRPr="00740620">
        <w:rPr>
          <w:rFonts w:ascii="仿宋" w:eastAsia="仿宋" w:hAnsi="仿宋" w:hint="eastAsia"/>
          <w:sz w:val="28"/>
          <w:szCs w:val="28"/>
        </w:rPr>
        <w:t>制度（</w:t>
      </w:r>
      <w:r w:rsidRPr="00740620">
        <w:rPr>
          <w:rFonts w:ascii="仿宋" w:eastAsia="仿宋" w:hAnsi="仿宋"/>
          <w:sz w:val="28"/>
          <w:szCs w:val="28"/>
        </w:rPr>
        <w:t>ATP</w:t>
      </w:r>
      <w:r w:rsidRPr="00740620">
        <w:rPr>
          <w:rFonts w:ascii="仿宋" w:eastAsia="仿宋" w:hAnsi="仿宋" w:hint="eastAsia"/>
          <w:sz w:val="28"/>
          <w:szCs w:val="28"/>
        </w:rPr>
        <w:t>）带来了变化。养老金指数化对补充</w:t>
      </w:r>
      <w:r w:rsidRPr="00740620">
        <w:rPr>
          <w:rFonts w:ascii="仿宋" w:eastAsia="仿宋" w:hAnsi="仿宋"/>
          <w:sz w:val="28"/>
          <w:szCs w:val="28"/>
        </w:rPr>
        <w:t>养老金</w:t>
      </w:r>
      <w:r w:rsidRPr="00740620">
        <w:rPr>
          <w:rFonts w:ascii="仿宋" w:eastAsia="仿宋" w:hAnsi="仿宋" w:hint="eastAsia"/>
          <w:sz w:val="28"/>
          <w:szCs w:val="28"/>
        </w:rPr>
        <w:t>制度和收入养老金来说是一样的。调整指数化（</w:t>
      </w:r>
      <w:r w:rsidRPr="00740620">
        <w:rPr>
          <w:rFonts w:ascii="仿宋" w:eastAsia="仿宋" w:hAnsi="仿宋" w:hint="eastAsia"/>
          <w:i/>
          <w:sz w:val="28"/>
          <w:szCs w:val="28"/>
        </w:rPr>
        <w:t>adjustment</w:t>
      </w:r>
      <w:r w:rsidRPr="00740620">
        <w:rPr>
          <w:rFonts w:ascii="仿宋" w:eastAsia="仿宋" w:hAnsi="仿宋" w:hint="eastAsia"/>
          <w:sz w:val="28"/>
          <w:szCs w:val="28"/>
        </w:rPr>
        <w:t xml:space="preserve"> </w:t>
      </w:r>
      <w:r w:rsidRPr="00740620">
        <w:rPr>
          <w:rFonts w:ascii="仿宋" w:eastAsia="仿宋" w:hAnsi="仿宋" w:hint="eastAsia"/>
          <w:i/>
          <w:sz w:val="28"/>
          <w:szCs w:val="28"/>
        </w:rPr>
        <w:t>indexation</w:t>
      </w:r>
      <w:r w:rsidRPr="00740620">
        <w:rPr>
          <w:rFonts w:ascii="仿宋" w:eastAsia="仿宋" w:hAnsi="仿宋" w:hint="eastAsia"/>
          <w:sz w:val="28"/>
          <w:szCs w:val="28"/>
        </w:rPr>
        <w:t>）是用于收入型养老金的年金除数预付利息所导致的，然而这并不会影响补充</w:t>
      </w:r>
      <w:r w:rsidRPr="00740620">
        <w:rPr>
          <w:rFonts w:ascii="仿宋" w:eastAsia="仿宋" w:hAnsi="仿宋"/>
          <w:sz w:val="28"/>
          <w:szCs w:val="28"/>
        </w:rPr>
        <w:t>养老金</w:t>
      </w:r>
      <w:r w:rsidRPr="00740620">
        <w:rPr>
          <w:rFonts w:ascii="仿宋" w:eastAsia="仿宋" w:hAnsi="仿宋" w:hint="eastAsia"/>
          <w:sz w:val="28"/>
          <w:szCs w:val="28"/>
        </w:rPr>
        <w:t>制度。</w:t>
      </w:r>
    </w:p>
    <w:p w14:paraId="1680D219" w14:textId="77777777" w:rsidR="00740620" w:rsidRPr="00740620" w:rsidRDefault="00740620" w:rsidP="00740620">
      <w:pPr>
        <w:spacing w:line="400" w:lineRule="exact"/>
        <w:ind w:firstLineChars="200" w:firstLine="560"/>
        <w:jc w:val="both"/>
        <w:rPr>
          <w:rFonts w:ascii="仿宋" w:eastAsia="仿宋" w:hAnsi="仿宋"/>
          <w:sz w:val="28"/>
          <w:szCs w:val="28"/>
        </w:rPr>
      </w:pPr>
      <w:r w:rsidRPr="00740620">
        <w:rPr>
          <w:rFonts w:ascii="仿宋" w:eastAsia="仿宋" w:hAnsi="仿宋" w:hint="eastAsia"/>
          <w:sz w:val="28"/>
          <w:szCs w:val="28"/>
        </w:rPr>
        <w:t>补充</w:t>
      </w:r>
      <w:r w:rsidRPr="00740620">
        <w:rPr>
          <w:rFonts w:ascii="仿宋" w:eastAsia="仿宋" w:hAnsi="仿宋"/>
          <w:sz w:val="28"/>
          <w:szCs w:val="28"/>
        </w:rPr>
        <w:t>养老金</w:t>
      </w:r>
      <w:r w:rsidRPr="00740620">
        <w:rPr>
          <w:rFonts w:ascii="仿宋" w:eastAsia="仿宋" w:hAnsi="仿宋" w:hint="eastAsia"/>
          <w:sz w:val="28"/>
          <w:szCs w:val="28"/>
        </w:rPr>
        <w:t>制度中，获取养老金积分的上限与获取新制度的养老金补助的上限是一样的。每年养老金积分上限曾是6.5，但随着最高收入限额的指数化，这个数字也没有固定下来。</w:t>
      </w:r>
    </w:p>
    <w:p w14:paraId="6708B690" w14:textId="77777777" w:rsidR="00740620" w:rsidRPr="00740620" w:rsidRDefault="00740620" w:rsidP="00740620">
      <w:pPr>
        <w:spacing w:line="400" w:lineRule="exact"/>
        <w:ind w:firstLineChars="200" w:firstLine="560"/>
        <w:jc w:val="both"/>
        <w:rPr>
          <w:rFonts w:ascii="仿宋" w:eastAsia="仿宋" w:hAnsi="仿宋"/>
          <w:sz w:val="28"/>
          <w:szCs w:val="28"/>
        </w:rPr>
      </w:pPr>
      <w:r w:rsidRPr="00740620">
        <w:rPr>
          <w:rFonts w:ascii="仿宋" w:eastAsia="仿宋" w:hAnsi="仿宋" w:hint="eastAsia"/>
          <w:sz w:val="28"/>
          <w:szCs w:val="28"/>
        </w:rPr>
        <w:t>养老金额度可追溯到1960年，并适用于育儿年份。对强制性国家服务和受教育期间的养老金额度可追溯计算到1995年。这些转化在2000年左右完成[4]。</w:t>
      </w:r>
    </w:p>
    <w:p w14:paraId="5450ACF8" w14:textId="77777777" w:rsidR="00740620" w:rsidRPr="00740620" w:rsidRDefault="00740620" w:rsidP="00740620">
      <w:pPr>
        <w:spacing w:line="400" w:lineRule="exact"/>
        <w:ind w:firstLineChars="200" w:firstLine="560"/>
        <w:jc w:val="both"/>
        <w:rPr>
          <w:rFonts w:ascii="仿宋" w:eastAsia="仿宋" w:hAnsi="仿宋"/>
          <w:sz w:val="28"/>
          <w:szCs w:val="28"/>
        </w:rPr>
      </w:pPr>
      <w:r w:rsidRPr="00740620">
        <w:rPr>
          <w:rFonts w:ascii="仿宋" w:eastAsia="仿宋" w:hAnsi="仿宋" w:hint="eastAsia"/>
          <w:sz w:val="28"/>
          <w:szCs w:val="28"/>
        </w:rPr>
        <w:t xml:space="preserve">还应对收入指数进行追溯计算, </w:t>
      </w:r>
      <w:r w:rsidR="00C351EE">
        <w:rPr>
          <w:rFonts w:ascii="仿宋" w:eastAsia="仿宋" w:hAnsi="仿宋" w:hint="eastAsia"/>
          <w:sz w:val="28"/>
          <w:szCs w:val="28"/>
        </w:rPr>
        <w:t>以便编制可计算</w:t>
      </w:r>
      <w:r w:rsidRPr="00740620">
        <w:rPr>
          <w:rFonts w:ascii="仿宋" w:eastAsia="仿宋" w:hAnsi="仿宋" w:hint="eastAsia"/>
          <w:sz w:val="28"/>
          <w:szCs w:val="28"/>
        </w:rPr>
        <w:t>养老金收入的指数。</w:t>
      </w:r>
    </w:p>
    <w:p w14:paraId="36088D32" w14:textId="77777777" w:rsidR="00740620" w:rsidRPr="00740620" w:rsidRDefault="00740620" w:rsidP="00740620">
      <w:pPr>
        <w:spacing w:line="400" w:lineRule="exact"/>
        <w:ind w:firstLineChars="200" w:firstLine="560"/>
        <w:jc w:val="both"/>
        <w:rPr>
          <w:rFonts w:ascii="仿宋" w:eastAsia="仿宋" w:hAnsi="仿宋"/>
          <w:sz w:val="28"/>
          <w:szCs w:val="28"/>
        </w:rPr>
      </w:pPr>
      <w:r w:rsidRPr="00740620">
        <w:rPr>
          <w:rFonts w:ascii="仿宋" w:eastAsia="仿宋" w:hAnsi="仿宋" w:hint="eastAsia"/>
          <w:sz w:val="28"/>
          <w:szCs w:val="28"/>
        </w:rPr>
        <w:t>随着养老金从国家预算中剥离出来，提前退休的费用仍然通过中央预算提供资金。因此，进行了从AP基金财务到中央政府预算的转账。</w:t>
      </w:r>
    </w:p>
    <w:p w14:paraId="011D8E9C" w14:textId="77777777" w:rsidR="003B2BF2" w:rsidRDefault="00740620" w:rsidP="00740620">
      <w:pPr>
        <w:spacing w:line="400" w:lineRule="exact"/>
        <w:ind w:firstLineChars="200" w:firstLine="560"/>
        <w:jc w:val="both"/>
        <w:rPr>
          <w:rFonts w:ascii="仿宋" w:eastAsia="仿宋" w:hAnsi="仿宋"/>
          <w:sz w:val="28"/>
          <w:szCs w:val="28"/>
        </w:rPr>
      </w:pPr>
      <w:r w:rsidRPr="00740620">
        <w:rPr>
          <w:rFonts w:ascii="仿宋" w:eastAsia="仿宋" w:hAnsi="仿宋" w:hint="eastAsia"/>
          <w:sz w:val="28"/>
          <w:szCs w:val="28"/>
        </w:rPr>
        <w:lastRenderedPageBreak/>
        <w:t>对于过渡几代，有一条特别保障规则也适用，确保他们获得的养老金不会低于1994年补充养老金制度中获取的数额。过渡代是指1938-1945年的年龄群体。1938年出生的群体，按4/20为原则享受新制度，年龄组每年轻一岁增加1/20，最终1953年出生的年龄组享受按19/20为原则享受新制度，1/20享受补充养老金制度中。</w:t>
      </w:r>
    </w:p>
    <w:p w14:paraId="65F4A92C" w14:textId="77777777" w:rsidR="00C94C4F" w:rsidRPr="00740620" w:rsidRDefault="00C94C4F" w:rsidP="00740620">
      <w:pPr>
        <w:spacing w:line="400" w:lineRule="exact"/>
        <w:ind w:firstLineChars="200" w:firstLine="560"/>
        <w:jc w:val="both"/>
        <w:rPr>
          <w:rFonts w:ascii="仿宋" w:eastAsia="仿宋" w:hAnsi="仿宋"/>
          <w:sz w:val="28"/>
          <w:szCs w:val="28"/>
        </w:rPr>
      </w:pPr>
    </w:p>
    <w:p w14:paraId="760AE728"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七、具体细节</w:t>
      </w:r>
    </w:p>
    <w:p w14:paraId="1B52DD99" w14:textId="77777777" w:rsidR="00C94C4F" w:rsidRPr="00C94C4F" w:rsidRDefault="00C94C4F" w:rsidP="00C94C4F">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在自主运行的制度中，原则</w:t>
      </w:r>
      <w:r w:rsidR="00C351EE">
        <w:rPr>
          <w:rFonts w:ascii="仿宋" w:eastAsia="仿宋" w:hAnsi="仿宋" w:hint="eastAsia"/>
          <w:sz w:val="28"/>
          <w:szCs w:val="28"/>
        </w:rPr>
        <w:t>上，制度会根据数据与公式为基础的规则实现自我调节，细节非常重要（并且有趣</w:t>
      </w:r>
      <w:r w:rsidRPr="00C94C4F">
        <w:rPr>
          <w:rFonts w:ascii="仿宋" w:eastAsia="仿宋" w:hAnsi="仿宋" w:hint="eastAsia"/>
          <w:sz w:val="28"/>
          <w:szCs w:val="28"/>
        </w:rPr>
        <w:t>）。如下所列是一些可能感兴趣的细节。</w:t>
      </w:r>
    </w:p>
    <w:p w14:paraId="550BF7FE" w14:textId="77777777" w:rsidR="00C94C4F" w:rsidRPr="00C94C4F" w:rsidRDefault="00C94C4F" w:rsidP="00C94C4F">
      <w:pPr>
        <w:pStyle w:val="BodyText"/>
        <w:spacing w:line="400" w:lineRule="exact"/>
        <w:ind w:firstLineChars="200" w:firstLine="560"/>
        <w:jc w:val="both"/>
        <w:rPr>
          <w:rFonts w:ascii="仿宋" w:eastAsia="仿宋" w:hAnsi="仿宋"/>
          <w:sz w:val="28"/>
          <w:szCs w:val="28"/>
          <w:lang w:val="en-US" w:eastAsia="zh-CN"/>
        </w:rPr>
      </w:pPr>
      <w:r w:rsidRPr="00C94C4F">
        <w:rPr>
          <w:rFonts w:ascii="仿宋" w:eastAsia="仿宋" w:hAnsi="仿宋" w:hint="eastAsia"/>
          <w:sz w:val="28"/>
          <w:szCs w:val="28"/>
          <w:lang w:val="en-US" w:eastAsia="zh-CN"/>
        </w:rPr>
        <w:t>缴费和收益的指数化</w:t>
      </w:r>
      <w:r w:rsidR="00C351EE">
        <w:rPr>
          <w:rFonts w:ascii="仿宋" w:eastAsia="仿宋" w:hAnsi="仿宋" w:hint="eastAsia"/>
          <w:sz w:val="28"/>
          <w:szCs w:val="28"/>
          <w:lang w:val="en-US" w:eastAsia="zh-CN"/>
        </w:rPr>
        <w:t>调整</w:t>
      </w:r>
      <w:r w:rsidRPr="00C94C4F">
        <w:rPr>
          <w:rFonts w:ascii="仿宋" w:eastAsia="仿宋" w:hAnsi="仿宋" w:hint="eastAsia"/>
          <w:sz w:val="28"/>
          <w:szCs w:val="28"/>
          <w:lang w:val="en-US" w:eastAsia="zh-CN"/>
        </w:rPr>
        <w:t>显然就是这样一个例子，原则确定后指数化</w:t>
      </w:r>
      <w:r w:rsidR="00C351EE">
        <w:rPr>
          <w:rFonts w:ascii="仿宋" w:eastAsia="仿宋" w:hAnsi="仿宋" w:hint="eastAsia"/>
          <w:sz w:val="28"/>
          <w:szCs w:val="28"/>
          <w:lang w:val="en-US" w:eastAsia="zh-CN"/>
        </w:rPr>
        <w:t>调整</w:t>
      </w:r>
      <w:r w:rsidRPr="00C94C4F">
        <w:rPr>
          <w:rFonts w:ascii="仿宋" w:eastAsia="仿宋" w:hAnsi="仿宋" w:hint="eastAsia"/>
          <w:sz w:val="28"/>
          <w:szCs w:val="28"/>
          <w:lang w:val="en-US" w:eastAsia="zh-CN"/>
        </w:rPr>
        <w:t>就自然运行。为计算2017年指数，收入指数的计算方式发生了变化。就前一个指数的表现，特别是波动性方面进行了深入的研究，发现公式简化能改善这方面的表现 [5] (DS2015:6)。</w:t>
      </w:r>
    </w:p>
    <w:p w14:paraId="4735BB11" w14:textId="77777777" w:rsidR="00C94C4F" w:rsidRPr="00C94C4F" w:rsidRDefault="00C94C4F" w:rsidP="00C94C4F">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在额外投保养老金中，决算（资产交易和估价）是每日进行的，而收入型养老金</w:t>
      </w:r>
      <w:r w:rsidR="00C351EE">
        <w:rPr>
          <w:rFonts w:ascii="仿宋" w:eastAsia="仿宋" w:hAnsi="仿宋" w:hint="eastAsia"/>
          <w:sz w:val="28"/>
          <w:szCs w:val="28"/>
        </w:rPr>
        <w:t>体系</w:t>
      </w:r>
      <w:r w:rsidRPr="00C94C4F">
        <w:rPr>
          <w:rFonts w:ascii="仿宋" w:eastAsia="仿宋" w:hAnsi="仿宋" w:hint="eastAsia"/>
          <w:sz w:val="28"/>
          <w:szCs w:val="28"/>
        </w:rPr>
        <w:t>则是每月或每年进行决算。指数化</w:t>
      </w:r>
      <w:r w:rsidR="00C351EE">
        <w:rPr>
          <w:rFonts w:ascii="仿宋" w:eastAsia="仿宋" w:hAnsi="仿宋" w:hint="eastAsia"/>
          <w:sz w:val="28"/>
          <w:szCs w:val="28"/>
        </w:rPr>
        <w:t>调整</w:t>
      </w:r>
      <w:r w:rsidRPr="00C94C4F">
        <w:rPr>
          <w:rFonts w:ascii="仿宋" w:eastAsia="仿宋" w:hAnsi="仿宋" w:hint="eastAsia"/>
          <w:sz w:val="28"/>
          <w:szCs w:val="28"/>
        </w:rPr>
        <w:t>在收入型养老金系统中也是每年运行的。指数化的日期在某些方面是不确定的，但基本上会在年底进行。因此，负债的估值会不一样，无论是在指数化之前还是之后进行的都会在年底进行估算的。实际上，对于经济活跃群体而言，负债的估算应该是在指数化</w:t>
      </w:r>
      <w:r w:rsidR="00C351EE">
        <w:rPr>
          <w:rFonts w:ascii="仿宋" w:eastAsia="仿宋" w:hAnsi="仿宋" w:hint="eastAsia"/>
          <w:sz w:val="28"/>
          <w:szCs w:val="28"/>
        </w:rPr>
        <w:t>调整</w:t>
      </w:r>
      <w:r w:rsidRPr="00C94C4F">
        <w:rPr>
          <w:rFonts w:ascii="仿宋" w:eastAsia="仿宋" w:hAnsi="仿宋" w:hint="eastAsia"/>
          <w:sz w:val="28"/>
          <w:szCs w:val="28"/>
        </w:rPr>
        <w:t>之后，包括2014年变为指数化之前进行估算。这一变化还导致在经济活动群体和退休群体在负债指数化</w:t>
      </w:r>
      <w:r w:rsidR="00C351EE">
        <w:rPr>
          <w:rFonts w:ascii="仿宋" w:eastAsia="仿宋" w:hAnsi="仿宋" w:hint="eastAsia"/>
          <w:sz w:val="28"/>
          <w:szCs w:val="28"/>
        </w:rPr>
        <w:t>调整</w:t>
      </w:r>
      <w:r w:rsidRPr="00C94C4F">
        <w:rPr>
          <w:rFonts w:ascii="仿宋" w:eastAsia="仿宋" w:hAnsi="仿宋" w:hint="eastAsia"/>
          <w:sz w:val="28"/>
          <w:szCs w:val="28"/>
        </w:rPr>
        <w:t>方面是相互联系的。</w:t>
      </w:r>
    </w:p>
    <w:p w14:paraId="73565550" w14:textId="77777777" w:rsidR="00C94C4F" w:rsidRPr="00C94C4F" w:rsidRDefault="00C94C4F" w:rsidP="00C94C4F">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1瑞典克朗兑换1单位养老金积分的兑换率最初是一比一的，除了平衡期。在平衡期，1瑞典克朗无法得到1</w:t>
      </w:r>
      <w:r w:rsidR="00C351EE">
        <w:rPr>
          <w:rFonts w:ascii="仿宋" w:eastAsia="仿宋" w:hAnsi="仿宋" w:hint="eastAsia"/>
          <w:sz w:val="28"/>
          <w:szCs w:val="28"/>
        </w:rPr>
        <w:t>单位养老金积分，因为马上会</w:t>
      </w:r>
      <w:r w:rsidRPr="00C94C4F">
        <w:rPr>
          <w:rFonts w:ascii="仿宋" w:eastAsia="仿宋" w:hAnsi="仿宋" w:hint="eastAsia"/>
          <w:sz w:val="28"/>
          <w:szCs w:val="28"/>
        </w:rPr>
        <w:t>进行“加速”指数化</w:t>
      </w:r>
      <w:r w:rsidR="00C351EE">
        <w:rPr>
          <w:rFonts w:ascii="仿宋" w:eastAsia="仿宋" w:hAnsi="仿宋" w:hint="eastAsia"/>
          <w:sz w:val="28"/>
          <w:szCs w:val="28"/>
        </w:rPr>
        <w:t>调整</w:t>
      </w:r>
      <w:r w:rsidRPr="00C94C4F">
        <w:rPr>
          <w:rFonts w:ascii="仿宋" w:eastAsia="仿宋" w:hAnsi="仿宋" w:hint="eastAsia"/>
          <w:sz w:val="28"/>
          <w:szCs w:val="28"/>
        </w:rPr>
        <w:t>（考虑到平衡指数将达到收入指数）。这从一开始就为大家所知，但直到2015年才予以实施[6] (SFS 2014:1548)。</w:t>
      </w:r>
    </w:p>
    <w:p w14:paraId="5213CB9B" w14:textId="77777777" w:rsidR="00C94C4F" w:rsidRPr="00C94C4F" w:rsidRDefault="00C94C4F" w:rsidP="00C94C4F">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如何对缓冲基金进行估值？最初市场价值根据12月31日的情况，之后变为过去三年的平均值，主要目的是减轻2010年平衡率计算带来的平衡作用[7] (提议 2008/09:219)。这还变成了此前关于2017年平衡率的定义[5] (DS2015:6)。</w:t>
      </w:r>
    </w:p>
    <w:p w14:paraId="5C76E8BA" w14:textId="77777777" w:rsidR="00C94C4F" w:rsidRPr="00C94C4F" w:rsidRDefault="00C94C4F" w:rsidP="00C94C4F">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lastRenderedPageBreak/>
        <w:t>预期寿命可以通过多种方式进行衡量，在国家公共养老金制度中，年金除数方面有三种措施。收入型养老金和额外投保养老金采取了不同的公式，用于确定收益的年金除数的基础数据也不相同。还有一个经济年金除数用于确定收入型养老金系统中的负债。缴费型资产也会受预期寿命变化的影响。在额外投保养老金中，基础数据是基于预测数据，而收入型养老金采用的是历史数据。</w:t>
      </w:r>
    </w:p>
    <w:p w14:paraId="58CB053B" w14:textId="77777777" w:rsidR="00C94C4F" w:rsidRPr="00C94C4F" w:rsidRDefault="00C94C4F" w:rsidP="00A843B4">
      <w:pPr>
        <w:spacing w:line="400" w:lineRule="exact"/>
        <w:rPr>
          <w:rFonts w:ascii="仿宋" w:eastAsia="仿宋" w:hAnsi="仿宋" w:cs="Times New Roman"/>
          <w:b/>
          <w:sz w:val="28"/>
          <w:szCs w:val="28"/>
        </w:rPr>
      </w:pPr>
    </w:p>
    <w:p w14:paraId="7F948438"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t>八、公开讨论</w:t>
      </w:r>
    </w:p>
    <w:p w14:paraId="7FA145BC" w14:textId="77777777" w:rsidR="00C94C4F" w:rsidRP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额外投保养老金的存在和形式多年来一直是争论的话题。共同的话题和批评认为，大量的</w:t>
      </w:r>
      <w:r w:rsidR="00C351EE">
        <w:rPr>
          <w:rFonts w:ascii="仿宋" w:eastAsia="仿宋" w:hAnsi="仿宋" w:hint="eastAsia"/>
          <w:sz w:val="28"/>
          <w:szCs w:val="28"/>
        </w:rPr>
        <w:t>基</w:t>
      </w:r>
      <w:r w:rsidRPr="00C94C4F">
        <w:rPr>
          <w:rFonts w:ascii="仿宋" w:eastAsia="仿宋" w:hAnsi="仿宋" w:hint="eastAsia"/>
          <w:sz w:val="28"/>
          <w:szCs w:val="28"/>
        </w:rPr>
        <w:t>金 (</w:t>
      </w:r>
      <w:r w:rsidR="00C351EE">
        <w:rPr>
          <w:rFonts w:ascii="仿宋" w:eastAsia="仿宋" w:hAnsi="仿宋" w:hint="eastAsia"/>
          <w:sz w:val="28"/>
          <w:szCs w:val="28"/>
        </w:rPr>
        <w:t>目前超过</w:t>
      </w:r>
      <w:r w:rsidRPr="00C94C4F">
        <w:rPr>
          <w:rFonts w:ascii="仿宋" w:eastAsia="仿宋" w:hAnsi="仿宋" w:hint="eastAsia"/>
          <w:sz w:val="28"/>
          <w:szCs w:val="28"/>
        </w:rPr>
        <w:t>800)，普通人低水平的活动和利益，一些公司利用强制性储蓄系统。额外投保养老金的波动性更大，但总的来说（到目前为止）投资资本回报率较高；图2展示了投资资本的平均回报率，与资本投资到收入/平衡指数的对比的情况。</w:t>
      </w:r>
    </w:p>
    <w:p w14:paraId="68FD44FD" w14:textId="77777777" w:rsidR="00C94C4F" w:rsidRDefault="00E26849" w:rsidP="00E26849">
      <w:pPr>
        <w:spacing w:line="400" w:lineRule="exact"/>
        <w:ind w:firstLineChars="200" w:firstLine="560"/>
        <w:jc w:val="both"/>
        <w:rPr>
          <w:rFonts w:ascii="仿宋" w:eastAsia="仿宋" w:hAnsi="仿宋"/>
          <w:sz w:val="28"/>
          <w:szCs w:val="28"/>
        </w:rPr>
      </w:pPr>
      <w:r>
        <w:rPr>
          <w:rFonts w:ascii="仿宋" w:eastAsia="仿宋" w:hAnsi="仿宋" w:hint="eastAsia"/>
          <w:noProof/>
          <w:sz w:val="28"/>
          <w:szCs w:val="28"/>
          <w:lang w:eastAsia="en-US"/>
        </w:rPr>
        <w:drawing>
          <wp:anchor distT="0" distB="0" distL="114300" distR="114300" simplePos="0" relativeHeight="251659264" behindDoc="1" locked="0" layoutInCell="1" allowOverlap="1" wp14:anchorId="647118DE" wp14:editId="61D3E3E6">
            <wp:simplePos x="0" y="0"/>
            <wp:positionH relativeFrom="column">
              <wp:posOffset>510886</wp:posOffset>
            </wp:positionH>
            <wp:positionV relativeFrom="paragraph">
              <wp:posOffset>832476</wp:posOffset>
            </wp:positionV>
            <wp:extent cx="4680124" cy="2161309"/>
            <wp:effectExtent l="19050" t="0" r="6176" b="0"/>
            <wp:wrapNone/>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124" cy="2161309"/>
                    </a:xfrm>
                    <a:prstGeom prst="rect">
                      <a:avLst/>
                    </a:prstGeom>
                  </pic:spPr>
                </pic:pic>
              </a:graphicData>
            </a:graphic>
          </wp:anchor>
        </w:drawing>
      </w:r>
      <w:r w:rsidR="00C94C4F" w:rsidRPr="00C94C4F">
        <w:rPr>
          <w:rFonts w:ascii="仿宋" w:eastAsia="仿宋" w:hAnsi="仿宋" w:hint="eastAsia"/>
          <w:sz w:val="28"/>
          <w:szCs w:val="28"/>
        </w:rPr>
        <w:t>图2：2000–2016年所有额外投保养老金储户在不同时间点的平均资本加权回报率。曲线上的每个点展示的是年平均的内部回报率 (1995年以后)，直到有关时间。来源: 橙皮书报告2016。</w:t>
      </w:r>
    </w:p>
    <w:p w14:paraId="574C9C50" w14:textId="77777777" w:rsidR="00E26849" w:rsidRDefault="00E26849" w:rsidP="00E26849">
      <w:pPr>
        <w:spacing w:line="400" w:lineRule="exact"/>
        <w:ind w:firstLineChars="200" w:firstLine="560"/>
        <w:jc w:val="both"/>
        <w:rPr>
          <w:rFonts w:ascii="仿宋" w:eastAsia="仿宋" w:hAnsi="仿宋"/>
          <w:sz w:val="28"/>
          <w:szCs w:val="28"/>
        </w:rPr>
      </w:pPr>
    </w:p>
    <w:p w14:paraId="31159350" w14:textId="77777777" w:rsidR="00E26849" w:rsidRDefault="00E26849" w:rsidP="00E26849">
      <w:pPr>
        <w:spacing w:line="400" w:lineRule="exact"/>
        <w:ind w:firstLineChars="200" w:firstLine="560"/>
        <w:jc w:val="both"/>
        <w:rPr>
          <w:rFonts w:ascii="仿宋" w:eastAsia="仿宋" w:hAnsi="仿宋"/>
          <w:sz w:val="28"/>
          <w:szCs w:val="28"/>
        </w:rPr>
      </w:pPr>
    </w:p>
    <w:p w14:paraId="23C12D45" w14:textId="77777777" w:rsidR="00E26849" w:rsidRDefault="00E26849" w:rsidP="00E26849">
      <w:pPr>
        <w:spacing w:line="400" w:lineRule="exact"/>
        <w:ind w:firstLineChars="200" w:firstLine="560"/>
        <w:jc w:val="both"/>
        <w:rPr>
          <w:rFonts w:ascii="仿宋" w:eastAsia="仿宋" w:hAnsi="仿宋"/>
          <w:sz w:val="28"/>
          <w:szCs w:val="28"/>
        </w:rPr>
      </w:pPr>
    </w:p>
    <w:p w14:paraId="44F2754D" w14:textId="77777777" w:rsidR="00E26849" w:rsidRDefault="00E26849" w:rsidP="00E26849">
      <w:pPr>
        <w:spacing w:line="400" w:lineRule="exact"/>
        <w:ind w:firstLineChars="200" w:firstLine="560"/>
        <w:jc w:val="both"/>
        <w:rPr>
          <w:rFonts w:ascii="仿宋" w:eastAsia="仿宋" w:hAnsi="仿宋"/>
          <w:sz w:val="28"/>
          <w:szCs w:val="28"/>
        </w:rPr>
      </w:pPr>
    </w:p>
    <w:p w14:paraId="248ADE85" w14:textId="77777777" w:rsidR="00E26849" w:rsidRDefault="00E26849" w:rsidP="00E26849">
      <w:pPr>
        <w:spacing w:line="400" w:lineRule="exact"/>
        <w:jc w:val="both"/>
        <w:rPr>
          <w:rFonts w:ascii="仿宋" w:eastAsia="仿宋" w:hAnsi="仿宋"/>
          <w:sz w:val="28"/>
          <w:szCs w:val="28"/>
        </w:rPr>
      </w:pPr>
    </w:p>
    <w:p w14:paraId="7E875C18" w14:textId="77777777" w:rsidR="00E26849" w:rsidRPr="00C94C4F" w:rsidRDefault="00E26849" w:rsidP="00E26849">
      <w:pPr>
        <w:spacing w:line="400" w:lineRule="exact"/>
        <w:jc w:val="both"/>
        <w:rPr>
          <w:rFonts w:ascii="仿宋" w:eastAsia="仿宋" w:hAnsi="仿宋"/>
          <w:sz w:val="28"/>
          <w:szCs w:val="28"/>
        </w:rPr>
      </w:pPr>
    </w:p>
    <w:p w14:paraId="29E5055F" w14:textId="77777777" w:rsidR="00C94C4F" w:rsidRP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多年来, 一些公司专门从事额外投保养老金电话销售，经常收取高额费用。目前, 在猎鹰基金（Falcon F</w:t>
      </w:r>
      <w:r w:rsidRPr="00C94C4F">
        <w:rPr>
          <w:rFonts w:ascii="仿宋" w:eastAsia="仿宋" w:hAnsi="仿宋"/>
          <w:sz w:val="28"/>
          <w:szCs w:val="28"/>
        </w:rPr>
        <w:t>u</w:t>
      </w:r>
      <w:r w:rsidRPr="00C94C4F">
        <w:rPr>
          <w:rFonts w:ascii="仿宋" w:eastAsia="仿宋" w:hAnsi="仿宋" w:hint="eastAsia"/>
          <w:sz w:val="28"/>
          <w:szCs w:val="28"/>
        </w:rPr>
        <w:t>nds）案例中，甚至涉及刑事调查以及高达10亿克朗的资金流失。多年来，有几个关于额外投保养老金的报告，最近的报告是发布于2016年的瑞典政府官方报告[8] (</w:t>
      </w:r>
      <w:r w:rsidR="00C351EE">
        <w:rPr>
          <w:rFonts w:ascii="仿宋" w:eastAsia="仿宋" w:hAnsi="仿宋" w:hint="eastAsia"/>
          <w:sz w:val="28"/>
          <w:szCs w:val="28"/>
        </w:rPr>
        <w:t>WOU</w:t>
      </w:r>
      <w:r w:rsidRPr="00C94C4F">
        <w:rPr>
          <w:rFonts w:ascii="仿宋" w:eastAsia="仿宋" w:hAnsi="仿宋" w:hint="eastAsia"/>
          <w:sz w:val="28"/>
          <w:szCs w:val="28"/>
        </w:rPr>
        <w:t>2016:61)。报告没有涵盖最近的问题，例如猎鹰资金的案例，因此这个方面还有更多工作有待开展 [9]。</w:t>
      </w:r>
    </w:p>
    <w:p w14:paraId="520BE2B4" w14:textId="77777777" w:rsidR="00C94C4F" w:rsidRP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lastRenderedPageBreak/>
        <w:t>最近 (2017年3月1日) 瑞典首相</w:t>
      </w:r>
      <w:r w:rsidRPr="00C94C4F">
        <w:rPr>
          <w:rFonts w:ascii="仿宋" w:eastAsia="仿宋" w:hAnsi="仿宋"/>
          <w:sz w:val="28"/>
          <w:szCs w:val="28"/>
        </w:rPr>
        <w:t>Stefan L</w:t>
      </w:r>
      <w:r w:rsidRPr="00C94C4F">
        <w:rPr>
          <w:rFonts w:eastAsia="仿宋"/>
          <w:sz w:val="28"/>
          <w:szCs w:val="28"/>
        </w:rPr>
        <w:t>ö</w:t>
      </w:r>
      <w:r w:rsidRPr="00C94C4F">
        <w:rPr>
          <w:rFonts w:ascii="仿宋" w:eastAsia="仿宋" w:hAnsi="仿宋"/>
          <w:sz w:val="28"/>
          <w:szCs w:val="28"/>
        </w:rPr>
        <w:t>fven</w:t>
      </w:r>
      <w:r w:rsidR="00902626">
        <w:rPr>
          <w:rFonts w:ascii="仿宋" w:eastAsia="仿宋" w:hAnsi="仿宋" w:hint="eastAsia"/>
          <w:sz w:val="28"/>
          <w:szCs w:val="28"/>
        </w:rPr>
        <w:t>表示</w:t>
      </w:r>
      <w:r w:rsidRPr="00C94C4F">
        <w:rPr>
          <w:rFonts w:ascii="仿宋" w:eastAsia="仿宋" w:hAnsi="仿宋" w:hint="eastAsia"/>
          <w:sz w:val="28"/>
          <w:szCs w:val="28"/>
        </w:rPr>
        <w:t>，公共养老金制度中，不该存在被欺骗的风险 [10]</w:t>
      </w:r>
      <w:r w:rsidR="00902626">
        <w:rPr>
          <w:rFonts w:ascii="仿宋" w:eastAsia="仿宋" w:hAnsi="仿宋" w:hint="eastAsia"/>
          <w:sz w:val="28"/>
          <w:szCs w:val="28"/>
        </w:rPr>
        <w:t>。他建议</w:t>
      </w:r>
      <w:r w:rsidRPr="00C94C4F">
        <w:rPr>
          <w:rFonts w:ascii="仿宋" w:eastAsia="仿宋" w:hAnsi="仿宋" w:hint="eastAsia"/>
          <w:sz w:val="28"/>
          <w:szCs w:val="28"/>
        </w:rPr>
        <w:t>额外投保养老金制度需要改变。通常这些话不常见，并且讨论也只是保留在养老金小组内部。</w:t>
      </w:r>
    </w:p>
    <w:p w14:paraId="2D050163" w14:textId="77777777" w:rsidR="00C94C4F" w:rsidRP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自动平衡机制（通常所说的“刹车机制”）一直是一个被争论的话题，通常被领取养老金的利益团体所</w:t>
      </w:r>
      <w:r w:rsidR="00902626">
        <w:rPr>
          <w:rFonts w:ascii="仿宋" w:eastAsia="仿宋" w:hAnsi="仿宋" w:hint="eastAsia"/>
          <w:sz w:val="28"/>
          <w:szCs w:val="28"/>
        </w:rPr>
        <w:t>反对</w:t>
      </w:r>
      <w:r w:rsidRPr="00C94C4F">
        <w:rPr>
          <w:rFonts w:ascii="仿宋" w:eastAsia="仿宋" w:hAnsi="仿宋" w:hint="eastAsia"/>
          <w:sz w:val="28"/>
          <w:szCs w:val="28"/>
        </w:rPr>
        <w:t>。在2013年，五个主要的养老金领取利益集团公布了一份报告, 建议如何在维持金融稳定的同时废除这一机制 [11]。要达成这一目标，主要的建议就是取消额外投保养老金，并且全部缴纳的费用纳入收入型养老金。然而，也有支持这一机制的人，</w:t>
      </w:r>
      <w:r w:rsidRPr="00C94C4F">
        <w:rPr>
          <w:rFonts w:ascii="仿宋" w:eastAsia="仿宋" w:hAnsi="仿宋"/>
          <w:sz w:val="28"/>
          <w:szCs w:val="28"/>
        </w:rPr>
        <w:t>Robert Holzmann</w:t>
      </w:r>
      <w:r w:rsidRPr="00C94C4F">
        <w:rPr>
          <w:rFonts w:ascii="仿宋" w:eastAsia="仿宋" w:hAnsi="仿宋" w:hint="eastAsia"/>
          <w:sz w:val="28"/>
          <w:szCs w:val="28"/>
        </w:rPr>
        <w:t>在发言中说道：“所有的储备基金都能缓和各个年龄群体和</w:t>
      </w:r>
      <w:r w:rsidR="00902626">
        <w:rPr>
          <w:rFonts w:ascii="仿宋" w:eastAsia="仿宋" w:hAnsi="仿宋" w:hint="eastAsia"/>
          <w:sz w:val="28"/>
          <w:szCs w:val="28"/>
        </w:rPr>
        <w:t>代际</w:t>
      </w:r>
      <w:r w:rsidRPr="00C94C4F">
        <w:rPr>
          <w:rFonts w:ascii="仿宋" w:eastAsia="仿宋" w:hAnsi="仿宋" w:hint="eastAsia"/>
          <w:sz w:val="28"/>
          <w:szCs w:val="28"/>
        </w:rPr>
        <w:t>的影响，没有必要消除设计良好的通过名义利率和指数化机制起作用的平衡机制。”</w:t>
      </w:r>
      <w:r w:rsidRPr="00C94C4F">
        <w:rPr>
          <w:rFonts w:ascii="仿宋" w:eastAsia="仿宋" w:hAnsi="仿宋"/>
          <w:sz w:val="28"/>
          <w:szCs w:val="28"/>
        </w:rPr>
        <w:t xml:space="preserve"> [12]</w:t>
      </w:r>
    </w:p>
    <w:p w14:paraId="3412FF51" w14:textId="77777777" w:rsidR="00C94C4F" w:rsidRP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在</w:t>
      </w:r>
      <w:r w:rsidRPr="00C94C4F">
        <w:rPr>
          <w:rFonts w:ascii="仿宋" w:eastAsia="仿宋" w:hAnsi="仿宋"/>
          <w:sz w:val="28"/>
          <w:szCs w:val="28"/>
        </w:rPr>
        <w:t>Nicholas Barr</w:t>
      </w:r>
      <w:r w:rsidRPr="00C94C4F">
        <w:rPr>
          <w:rFonts w:ascii="仿宋" w:eastAsia="仿宋" w:hAnsi="仿宋" w:hint="eastAsia"/>
          <w:sz w:val="28"/>
          <w:szCs w:val="28"/>
        </w:rPr>
        <w:t>的《瑞典养老金制度》这份全面的报告中，从2013年开始，养老金制度的很多有趣的方面都被涵盖了。这位作者对养老金制度的看法总体很积极，但</w:t>
      </w:r>
      <w:r w:rsidR="00902626">
        <w:rPr>
          <w:rFonts w:ascii="仿宋" w:eastAsia="仿宋" w:hAnsi="仿宋" w:hint="eastAsia"/>
          <w:sz w:val="28"/>
          <w:szCs w:val="28"/>
        </w:rPr>
        <w:t>认为也有提升的可能性，作者还提出</w:t>
      </w:r>
      <w:r w:rsidRPr="00C94C4F">
        <w:rPr>
          <w:rFonts w:ascii="仿宋" w:eastAsia="仿宋" w:hAnsi="仿宋" w:hint="eastAsia"/>
          <w:sz w:val="28"/>
          <w:szCs w:val="28"/>
        </w:rPr>
        <w:t>了可供讨论的话题。报告指出，金融稳定优先于现行制度中的收益充足，这可能是改革时的一个自然选择, 但今天它可能不是的最佳解决办法。</w:t>
      </w:r>
    </w:p>
    <w:p w14:paraId="57D9A3C9" w14:textId="77777777" w:rsidR="00C94C4F" w:rsidRP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保留只领取部分养老金的选择这一点值得赞扬。考虑到可持续性，将收益与寿命（年金除数）挂钩是必要的，但作者提到了充足性的问题。国际上的经验是，许多人尽快退休，不论这是否符合他们本身的长远利益，因此，必须考虑尽早提高领取退休金的年龄。这项工作目前正在进行中, 可能会采用目标年龄，这与预期寿命的变化有关，并将逐步提高领取养老金的最低年龄（目前是61岁）、保障养老金的最低年龄 (当前 65岁) 和就业保护的年龄 (当前 67岁) [14]。在图3中, 第一次获得全额国家养老金的个人的比例在各个年龄和群组</w:t>
      </w:r>
      <w:r w:rsidR="00902626">
        <w:rPr>
          <w:rFonts w:ascii="仿宋" w:eastAsia="仿宋" w:hAnsi="仿宋" w:hint="eastAsia"/>
          <w:sz w:val="28"/>
          <w:szCs w:val="28"/>
        </w:rPr>
        <w:t>中</w:t>
      </w:r>
      <w:r w:rsidRPr="00C94C4F">
        <w:rPr>
          <w:rFonts w:ascii="仿宋" w:eastAsia="仿宋" w:hAnsi="仿宋" w:hint="eastAsia"/>
          <w:sz w:val="28"/>
          <w:szCs w:val="28"/>
        </w:rPr>
        <w:t>体现出来。如图所示，65岁仍占主导地位，但年龄范围增加了。</w:t>
      </w:r>
    </w:p>
    <w:p w14:paraId="536D3C4C" w14:textId="77777777" w:rsid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图3：在61–75岁时获得国家养老金的比例。截至 2016年12月, 新退休人员的比例与可能退休的人数有关。截至12月31日，年龄是指养老金领取者开始领取收入型养老金/保障养老金的年龄。预测最高年龄组, 以斜体表示。来源：橙皮书报告2016。</w:t>
      </w:r>
    </w:p>
    <w:p w14:paraId="20AF0721" w14:textId="77777777" w:rsidR="00E26849" w:rsidRDefault="00E26849" w:rsidP="00E26849">
      <w:pPr>
        <w:spacing w:line="400" w:lineRule="exact"/>
        <w:ind w:firstLineChars="200" w:firstLine="560"/>
        <w:jc w:val="both"/>
        <w:rPr>
          <w:rFonts w:ascii="仿宋" w:eastAsia="仿宋" w:hAnsi="仿宋"/>
          <w:sz w:val="28"/>
          <w:szCs w:val="28"/>
        </w:rPr>
      </w:pPr>
    </w:p>
    <w:p w14:paraId="75B13675" w14:textId="77777777" w:rsidR="00E26849" w:rsidRDefault="00E26849" w:rsidP="00E26849">
      <w:pPr>
        <w:spacing w:line="400" w:lineRule="exact"/>
        <w:ind w:firstLineChars="200" w:firstLine="560"/>
        <w:jc w:val="both"/>
        <w:rPr>
          <w:rFonts w:ascii="仿宋" w:eastAsia="仿宋" w:hAnsi="仿宋"/>
          <w:sz w:val="28"/>
          <w:szCs w:val="28"/>
        </w:rPr>
      </w:pPr>
      <w:r>
        <w:rPr>
          <w:rFonts w:ascii="仿宋" w:eastAsia="仿宋" w:hAnsi="仿宋" w:hint="eastAsia"/>
          <w:noProof/>
          <w:sz w:val="28"/>
          <w:szCs w:val="28"/>
          <w:lang w:eastAsia="en-US"/>
        </w:rPr>
        <w:lastRenderedPageBreak/>
        <w:drawing>
          <wp:anchor distT="0" distB="0" distL="114300" distR="114300" simplePos="0" relativeHeight="251660288" behindDoc="1" locked="0" layoutInCell="1" allowOverlap="1" wp14:anchorId="18DADF66" wp14:editId="1FB914AA">
            <wp:simplePos x="0" y="0"/>
            <wp:positionH relativeFrom="column">
              <wp:posOffset>351559</wp:posOffset>
            </wp:positionH>
            <wp:positionV relativeFrom="paragraph">
              <wp:posOffset>103908</wp:posOffset>
            </wp:positionV>
            <wp:extent cx="4699635" cy="3158837"/>
            <wp:effectExtent l="1905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99635" cy="3158837"/>
                    </a:xfrm>
                    <a:prstGeom prst="rect">
                      <a:avLst/>
                    </a:prstGeom>
                  </pic:spPr>
                </pic:pic>
              </a:graphicData>
            </a:graphic>
          </wp:anchor>
        </w:drawing>
      </w:r>
    </w:p>
    <w:p w14:paraId="2A830C8F" w14:textId="77777777" w:rsidR="00E26849" w:rsidRDefault="00E26849" w:rsidP="00E26849">
      <w:pPr>
        <w:spacing w:line="400" w:lineRule="exact"/>
        <w:ind w:firstLineChars="200" w:firstLine="560"/>
        <w:jc w:val="both"/>
        <w:rPr>
          <w:rFonts w:ascii="仿宋" w:eastAsia="仿宋" w:hAnsi="仿宋"/>
          <w:sz w:val="28"/>
          <w:szCs w:val="28"/>
        </w:rPr>
      </w:pPr>
    </w:p>
    <w:p w14:paraId="00858CB7" w14:textId="77777777" w:rsidR="00E26849" w:rsidRDefault="00E26849" w:rsidP="00E26849">
      <w:pPr>
        <w:spacing w:line="400" w:lineRule="exact"/>
        <w:ind w:firstLineChars="200" w:firstLine="560"/>
        <w:jc w:val="both"/>
        <w:rPr>
          <w:rFonts w:ascii="仿宋" w:eastAsia="仿宋" w:hAnsi="仿宋"/>
          <w:sz w:val="28"/>
          <w:szCs w:val="28"/>
        </w:rPr>
      </w:pPr>
    </w:p>
    <w:p w14:paraId="1E73F5E4" w14:textId="77777777" w:rsidR="00E26849" w:rsidRDefault="00E26849" w:rsidP="00E26849">
      <w:pPr>
        <w:spacing w:line="400" w:lineRule="exact"/>
        <w:ind w:firstLineChars="200" w:firstLine="560"/>
        <w:jc w:val="both"/>
        <w:rPr>
          <w:rFonts w:ascii="仿宋" w:eastAsia="仿宋" w:hAnsi="仿宋"/>
          <w:sz w:val="28"/>
          <w:szCs w:val="28"/>
        </w:rPr>
      </w:pPr>
    </w:p>
    <w:p w14:paraId="61ACE227" w14:textId="77777777" w:rsidR="00E26849" w:rsidRDefault="00E26849" w:rsidP="00E26849">
      <w:pPr>
        <w:spacing w:line="400" w:lineRule="exact"/>
        <w:ind w:firstLineChars="200" w:firstLine="560"/>
        <w:jc w:val="both"/>
        <w:rPr>
          <w:rFonts w:ascii="仿宋" w:eastAsia="仿宋" w:hAnsi="仿宋"/>
          <w:sz w:val="28"/>
          <w:szCs w:val="28"/>
        </w:rPr>
      </w:pPr>
    </w:p>
    <w:p w14:paraId="406CCB98" w14:textId="77777777" w:rsidR="00E26849" w:rsidRDefault="00E26849" w:rsidP="00E26849">
      <w:pPr>
        <w:spacing w:line="400" w:lineRule="exact"/>
        <w:ind w:firstLineChars="200" w:firstLine="560"/>
        <w:jc w:val="both"/>
        <w:rPr>
          <w:rFonts w:ascii="仿宋" w:eastAsia="仿宋" w:hAnsi="仿宋"/>
          <w:sz w:val="28"/>
          <w:szCs w:val="28"/>
        </w:rPr>
      </w:pPr>
    </w:p>
    <w:p w14:paraId="28CB6B13" w14:textId="77777777" w:rsidR="00E26849" w:rsidRPr="00C94C4F" w:rsidRDefault="00E26849" w:rsidP="00E26849">
      <w:pPr>
        <w:spacing w:line="400" w:lineRule="exact"/>
        <w:ind w:firstLineChars="200" w:firstLine="560"/>
        <w:jc w:val="both"/>
        <w:rPr>
          <w:rFonts w:ascii="仿宋" w:eastAsia="仿宋" w:hAnsi="仿宋"/>
          <w:sz w:val="28"/>
          <w:szCs w:val="28"/>
        </w:rPr>
      </w:pPr>
    </w:p>
    <w:p w14:paraId="1ED77E1D" w14:textId="77777777" w:rsidR="00E26849" w:rsidRDefault="00E26849" w:rsidP="00C94C4F">
      <w:pPr>
        <w:spacing w:line="400" w:lineRule="exact"/>
        <w:jc w:val="both"/>
        <w:rPr>
          <w:rFonts w:ascii="仿宋" w:eastAsia="仿宋" w:hAnsi="仿宋"/>
          <w:sz w:val="28"/>
          <w:szCs w:val="28"/>
        </w:rPr>
      </w:pPr>
    </w:p>
    <w:p w14:paraId="4C0DD994" w14:textId="77777777" w:rsidR="00E26849" w:rsidRDefault="00E26849" w:rsidP="00C94C4F">
      <w:pPr>
        <w:spacing w:line="400" w:lineRule="exact"/>
        <w:jc w:val="both"/>
        <w:rPr>
          <w:rFonts w:ascii="仿宋" w:eastAsia="仿宋" w:hAnsi="仿宋"/>
          <w:sz w:val="28"/>
          <w:szCs w:val="28"/>
        </w:rPr>
      </w:pPr>
    </w:p>
    <w:p w14:paraId="4A60E1B3" w14:textId="77777777" w:rsidR="00C94C4F" w:rsidRP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平衡机制可能过于尖锐, 平衡期可能有利于经济活跃群体。这些领域可通过采用阻尼平衡率来密闭，并减少平衡期内所赚取的养老金积分，如本节详细说明。</w:t>
      </w:r>
    </w:p>
    <w:p w14:paraId="01BF6F31" w14:textId="77777777" w:rsidR="00C94C4F" w:rsidRP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sz w:val="28"/>
          <w:szCs w:val="28"/>
        </w:rPr>
        <w:t>Barr</w:t>
      </w:r>
      <w:r w:rsidRPr="00C94C4F">
        <w:rPr>
          <w:rFonts w:ascii="仿宋" w:eastAsia="仿宋" w:hAnsi="仿宋" w:hint="eastAsia"/>
          <w:sz w:val="28"/>
          <w:szCs w:val="28"/>
        </w:rPr>
        <w:t>指出, 指数化是一个争论的话题,认为退休人员面临年度工资岁经济变化而变化，而预付的利息为1.6% 。价格和工资指数化的混合情况作为一种新的可能替代办法被提出。在图4中，价格指数化与收入和平衡指数以及调整指数一起展示出来，分别是经济活跃群体和养老金领取群体。</w:t>
      </w:r>
    </w:p>
    <w:p w14:paraId="28195224" w14:textId="77777777" w:rsidR="00C94C4F" w:rsidRDefault="00C94C4F" w:rsidP="00E26849">
      <w:pPr>
        <w:spacing w:line="400" w:lineRule="exact"/>
        <w:ind w:firstLineChars="200" w:firstLine="560"/>
        <w:jc w:val="both"/>
        <w:rPr>
          <w:rFonts w:ascii="仿宋" w:eastAsia="仿宋" w:hAnsi="仿宋"/>
          <w:sz w:val="28"/>
          <w:szCs w:val="28"/>
        </w:rPr>
      </w:pPr>
      <w:r w:rsidRPr="00C94C4F">
        <w:rPr>
          <w:rFonts w:ascii="仿宋" w:eastAsia="仿宋" w:hAnsi="仿宋" w:hint="eastAsia"/>
          <w:sz w:val="28"/>
          <w:szCs w:val="28"/>
        </w:rPr>
        <w:t>图4。年度指数化</w:t>
      </w:r>
      <w:r w:rsidR="00E26849">
        <w:rPr>
          <w:rFonts w:ascii="仿宋" w:eastAsia="仿宋" w:hAnsi="仿宋" w:hint="eastAsia"/>
          <w:sz w:val="28"/>
          <w:szCs w:val="28"/>
        </w:rPr>
        <w:t>调整</w:t>
      </w:r>
      <w:r w:rsidRPr="00C94C4F">
        <w:rPr>
          <w:rFonts w:ascii="仿宋" w:eastAsia="仿宋" w:hAnsi="仿宋" w:hint="eastAsia"/>
          <w:sz w:val="28"/>
          <w:szCs w:val="28"/>
        </w:rPr>
        <w:t>。垂直线之间的点是中间值。上垂直线的起点为第75个百分点；结束点是最大值。下垂直线的起始点为第25个百分点；结束点是最小值。来源：橙皮书报告2016。</w:t>
      </w:r>
    </w:p>
    <w:p w14:paraId="6E70F06A" w14:textId="77777777" w:rsidR="00E26849" w:rsidRDefault="00E26849" w:rsidP="00E26849">
      <w:pPr>
        <w:spacing w:line="400" w:lineRule="exact"/>
        <w:ind w:firstLineChars="200" w:firstLine="560"/>
        <w:jc w:val="both"/>
        <w:rPr>
          <w:rFonts w:ascii="仿宋" w:eastAsia="仿宋" w:hAnsi="仿宋"/>
          <w:sz w:val="28"/>
          <w:szCs w:val="28"/>
        </w:rPr>
      </w:pPr>
      <w:r>
        <w:rPr>
          <w:rFonts w:ascii="仿宋" w:eastAsia="仿宋" w:hAnsi="仿宋" w:hint="eastAsia"/>
          <w:noProof/>
          <w:sz w:val="28"/>
          <w:szCs w:val="28"/>
          <w:lang w:eastAsia="en-US"/>
        </w:rPr>
        <w:drawing>
          <wp:anchor distT="0" distB="0" distL="114300" distR="114300" simplePos="0" relativeHeight="251661312" behindDoc="0" locked="0" layoutInCell="1" allowOverlap="1" wp14:anchorId="1A5A719C" wp14:editId="1AC53BD3">
            <wp:simplePos x="0" y="0"/>
            <wp:positionH relativeFrom="column">
              <wp:posOffset>309880</wp:posOffset>
            </wp:positionH>
            <wp:positionV relativeFrom="paragraph">
              <wp:posOffset>18415</wp:posOffset>
            </wp:positionV>
            <wp:extent cx="4681855" cy="2306320"/>
            <wp:effectExtent l="19050" t="0" r="4445" b="0"/>
            <wp:wrapNone/>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1855" cy="2306320"/>
                    </a:xfrm>
                    <a:prstGeom prst="rect">
                      <a:avLst/>
                    </a:prstGeom>
                  </pic:spPr>
                </pic:pic>
              </a:graphicData>
            </a:graphic>
          </wp:anchor>
        </w:drawing>
      </w:r>
    </w:p>
    <w:p w14:paraId="7DC41255" w14:textId="77777777" w:rsidR="00E26849" w:rsidRDefault="00E26849" w:rsidP="00E26849">
      <w:pPr>
        <w:spacing w:line="400" w:lineRule="exact"/>
        <w:ind w:firstLineChars="200" w:firstLine="560"/>
        <w:jc w:val="both"/>
        <w:rPr>
          <w:rFonts w:ascii="仿宋" w:eastAsia="仿宋" w:hAnsi="仿宋"/>
          <w:sz w:val="28"/>
          <w:szCs w:val="28"/>
        </w:rPr>
      </w:pPr>
    </w:p>
    <w:p w14:paraId="66004295" w14:textId="77777777" w:rsidR="00E26849" w:rsidRDefault="00E26849" w:rsidP="00E26849">
      <w:pPr>
        <w:spacing w:line="400" w:lineRule="exact"/>
        <w:ind w:firstLineChars="200" w:firstLine="560"/>
        <w:jc w:val="both"/>
        <w:rPr>
          <w:rFonts w:ascii="仿宋" w:eastAsia="仿宋" w:hAnsi="仿宋"/>
          <w:sz w:val="28"/>
          <w:szCs w:val="28"/>
        </w:rPr>
      </w:pPr>
    </w:p>
    <w:p w14:paraId="33074A23" w14:textId="77777777" w:rsidR="00E26849" w:rsidRDefault="00E26849" w:rsidP="00E26849">
      <w:pPr>
        <w:spacing w:line="400" w:lineRule="exact"/>
        <w:ind w:firstLineChars="200" w:firstLine="560"/>
        <w:jc w:val="both"/>
        <w:rPr>
          <w:rFonts w:ascii="仿宋" w:eastAsia="仿宋" w:hAnsi="仿宋"/>
          <w:sz w:val="28"/>
          <w:szCs w:val="28"/>
        </w:rPr>
      </w:pPr>
    </w:p>
    <w:p w14:paraId="39B3EBCB" w14:textId="77777777" w:rsidR="00E26849" w:rsidRDefault="00E26849" w:rsidP="00E26849">
      <w:pPr>
        <w:spacing w:line="400" w:lineRule="exact"/>
        <w:ind w:firstLineChars="200" w:firstLine="560"/>
        <w:jc w:val="both"/>
        <w:rPr>
          <w:rFonts w:ascii="仿宋" w:eastAsia="仿宋" w:hAnsi="仿宋"/>
          <w:sz w:val="28"/>
          <w:szCs w:val="28"/>
        </w:rPr>
      </w:pPr>
    </w:p>
    <w:p w14:paraId="4669A4BC" w14:textId="77777777" w:rsidR="00E26849" w:rsidRPr="00C94C4F" w:rsidRDefault="00E26849" w:rsidP="00E26849">
      <w:pPr>
        <w:spacing w:line="400" w:lineRule="exact"/>
        <w:ind w:firstLineChars="200" w:firstLine="560"/>
        <w:jc w:val="both"/>
        <w:rPr>
          <w:rFonts w:ascii="仿宋" w:eastAsia="仿宋" w:hAnsi="仿宋"/>
          <w:sz w:val="28"/>
          <w:szCs w:val="28"/>
        </w:rPr>
      </w:pPr>
    </w:p>
    <w:p w14:paraId="5DE19FE7" w14:textId="77777777" w:rsidR="00DE25A1" w:rsidRDefault="00DE25A1" w:rsidP="00A843B4">
      <w:pPr>
        <w:spacing w:line="400" w:lineRule="exact"/>
        <w:rPr>
          <w:rFonts w:ascii="仿宋" w:eastAsia="仿宋" w:hAnsi="仿宋" w:cs="Times New Roman"/>
          <w:b/>
          <w:sz w:val="28"/>
          <w:szCs w:val="28"/>
        </w:rPr>
      </w:pPr>
      <w:r w:rsidRPr="00D106B1">
        <w:rPr>
          <w:rFonts w:ascii="仿宋" w:eastAsia="仿宋" w:hAnsi="仿宋" w:cs="Times New Roman" w:hint="eastAsia"/>
          <w:b/>
          <w:sz w:val="28"/>
          <w:szCs w:val="28"/>
        </w:rPr>
        <w:lastRenderedPageBreak/>
        <w:t>九、评价总结</w:t>
      </w:r>
    </w:p>
    <w:p w14:paraId="33C0586E" w14:textId="77777777" w:rsidR="00E26849" w:rsidRPr="00E26849" w:rsidRDefault="00E26849" w:rsidP="00E26849">
      <w:pPr>
        <w:spacing w:line="400" w:lineRule="exact"/>
        <w:ind w:firstLineChars="200" w:firstLine="560"/>
        <w:jc w:val="both"/>
        <w:rPr>
          <w:rFonts w:ascii="仿宋" w:eastAsia="仿宋" w:hAnsi="仿宋"/>
          <w:sz w:val="28"/>
          <w:szCs w:val="28"/>
        </w:rPr>
      </w:pPr>
      <w:r w:rsidRPr="00E26849">
        <w:rPr>
          <w:rFonts w:ascii="仿宋" w:eastAsia="仿宋" w:hAnsi="仿宋" w:hint="eastAsia"/>
          <w:sz w:val="28"/>
          <w:szCs w:val="28"/>
        </w:rPr>
        <w:t>自从改革以来, 已经有相当一段时间过去了, 但这项制度的基本设计仍然存在。尽管养老金的税收水平发生了变化, 可被看作是政治干预 (一个负数的指数可以通过较低的税率来补偿)，但一个自我调节</w:t>
      </w:r>
      <w:r w:rsidR="00902626">
        <w:rPr>
          <w:rFonts w:ascii="仿宋" w:eastAsia="仿宋" w:hAnsi="仿宋" w:hint="eastAsia"/>
          <w:sz w:val="28"/>
          <w:szCs w:val="28"/>
        </w:rPr>
        <w:t>体系</w:t>
      </w:r>
      <w:r w:rsidRPr="00E26849">
        <w:rPr>
          <w:rFonts w:ascii="仿宋" w:eastAsia="仿宋" w:hAnsi="仿宋" w:hint="eastAsia"/>
          <w:sz w:val="28"/>
          <w:szCs w:val="28"/>
        </w:rPr>
        <w:t>的想法在很大程度上是正确的。</w:t>
      </w:r>
    </w:p>
    <w:p w14:paraId="750D42EF" w14:textId="77777777" w:rsidR="00E26849" w:rsidRPr="00E26849" w:rsidRDefault="00E26849" w:rsidP="00E26849">
      <w:pPr>
        <w:spacing w:line="400" w:lineRule="exact"/>
        <w:ind w:firstLineChars="200" w:firstLine="560"/>
        <w:jc w:val="both"/>
        <w:rPr>
          <w:rFonts w:ascii="仿宋" w:eastAsia="仿宋" w:hAnsi="仿宋"/>
          <w:sz w:val="28"/>
          <w:szCs w:val="28"/>
        </w:rPr>
      </w:pPr>
      <w:r w:rsidRPr="00E26849">
        <w:rPr>
          <w:rFonts w:ascii="仿宋" w:eastAsia="仿宋" w:hAnsi="仿宋" w:hint="eastAsia"/>
          <w:sz w:val="28"/>
          <w:szCs w:val="28"/>
        </w:rPr>
        <w:t>收入型养老金</w:t>
      </w:r>
      <w:r w:rsidR="00902626">
        <w:rPr>
          <w:rFonts w:ascii="仿宋" w:eastAsia="仿宋" w:hAnsi="仿宋" w:hint="eastAsia"/>
          <w:sz w:val="28"/>
          <w:szCs w:val="28"/>
        </w:rPr>
        <w:t>体系</w:t>
      </w:r>
      <w:r w:rsidRPr="00E26849">
        <w:rPr>
          <w:rFonts w:ascii="仿宋" w:eastAsia="仿宋" w:hAnsi="仿宋" w:hint="eastAsia"/>
          <w:sz w:val="28"/>
          <w:szCs w:val="28"/>
        </w:rPr>
        <w:t>的负指数化</w:t>
      </w:r>
      <w:r w:rsidR="00902626">
        <w:rPr>
          <w:rFonts w:ascii="仿宋" w:eastAsia="仿宋" w:hAnsi="仿宋" w:hint="eastAsia"/>
          <w:sz w:val="28"/>
          <w:szCs w:val="28"/>
        </w:rPr>
        <w:t>调整</w:t>
      </w:r>
      <w:r w:rsidRPr="00E26849">
        <w:rPr>
          <w:rFonts w:ascii="仿宋" w:eastAsia="仿宋" w:hAnsi="仿宋" w:hint="eastAsia"/>
          <w:sz w:val="28"/>
          <w:szCs w:val="28"/>
        </w:rPr>
        <w:t>将减少负债, 从而加强自治系统的运行, 但是中央政府的预算将承担部分负担，因为保障养老金会控制低养老金人数的减少。</w:t>
      </w:r>
    </w:p>
    <w:p w14:paraId="18CDB5E6" w14:textId="77777777" w:rsidR="00E26849" w:rsidRPr="00E26849" w:rsidRDefault="00E26849" w:rsidP="00E26849">
      <w:pPr>
        <w:spacing w:line="400" w:lineRule="exact"/>
        <w:ind w:firstLineChars="200" w:firstLine="560"/>
        <w:jc w:val="both"/>
        <w:rPr>
          <w:rFonts w:ascii="仿宋" w:eastAsia="仿宋" w:hAnsi="仿宋"/>
          <w:sz w:val="28"/>
          <w:szCs w:val="28"/>
        </w:rPr>
      </w:pPr>
      <w:r w:rsidRPr="00E26849">
        <w:rPr>
          <w:rFonts w:ascii="仿宋" w:eastAsia="仿宋" w:hAnsi="仿宋" w:hint="eastAsia"/>
          <w:sz w:val="28"/>
          <w:szCs w:val="28"/>
        </w:rPr>
        <w:t>从2017年最近的报告[15]看来，过渡</w:t>
      </w:r>
      <w:r w:rsidR="00902626">
        <w:rPr>
          <w:rFonts w:ascii="仿宋" w:eastAsia="仿宋" w:hAnsi="仿宋" w:hint="eastAsia"/>
          <w:sz w:val="28"/>
          <w:szCs w:val="28"/>
        </w:rPr>
        <w:t>代际</w:t>
      </w:r>
      <w:r w:rsidRPr="00E26849">
        <w:rPr>
          <w:rFonts w:ascii="仿宋" w:eastAsia="仿宋" w:hAnsi="仿宋" w:hint="eastAsia"/>
          <w:sz w:val="28"/>
          <w:szCs w:val="28"/>
        </w:rPr>
        <w:t>在两个</w:t>
      </w:r>
      <w:r w:rsidR="00902626">
        <w:rPr>
          <w:rFonts w:ascii="仿宋" w:eastAsia="仿宋" w:hAnsi="仿宋" w:hint="eastAsia"/>
          <w:sz w:val="28"/>
          <w:szCs w:val="28"/>
        </w:rPr>
        <w:t>体系</w:t>
      </w:r>
      <w:r w:rsidRPr="00E26849">
        <w:rPr>
          <w:rFonts w:ascii="仿宋" w:eastAsia="仿宋" w:hAnsi="仿宋" w:hint="eastAsia"/>
          <w:sz w:val="28"/>
          <w:szCs w:val="28"/>
        </w:rPr>
        <w:t>的收益都被分析了。补充养老金</w:t>
      </w:r>
      <w:r w:rsidR="00902626">
        <w:rPr>
          <w:rFonts w:ascii="仿宋" w:eastAsia="仿宋" w:hAnsi="仿宋" w:hint="eastAsia"/>
          <w:sz w:val="28"/>
          <w:szCs w:val="28"/>
        </w:rPr>
        <w:t>体系</w:t>
      </w:r>
      <w:r w:rsidRPr="00E26849">
        <w:rPr>
          <w:rFonts w:ascii="仿宋" w:eastAsia="仿宋" w:hAnsi="仿宋" w:hint="eastAsia"/>
          <w:sz w:val="28"/>
          <w:szCs w:val="28"/>
        </w:rPr>
        <w:t>的收益更高，尤其对女性。预期寿命的变化是一个主要原因，因为它不影响旧制度的收益。当使用改革时的预期寿命（1930年龄组），这两种</w:t>
      </w:r>
      <w:r w:rsidR="00902626">
        <w:rPr>
          <w:rFonts w:ascii="仿宋" w:eastAsia="仿宋" w:hAnsi="仿宋" w:hint="eastAsia"/>
          <w:sz w:val="28"/>
          <w:szCs w:val="28"/>
        </w:rPr>
        <w:t>体系</w:t>
      </w:r>
      <w:r w:rsidRPr="00E26849">
        <w:rPr>
          <w:rFonts w:ascii="仿宋" w:eastAsia="仿宋" w:hAnsi="仿宋" w:hint="eastAsia"/>
          <w:sz w:val="28"/>
          <w:szCs w:val="28"/>
        </w:rPr>
        <w:t>对男性而言大致相同, 而旧制度对女性仍然更有利。预期寿命的增加并不在意料之外。</w:t>
      </w:r>
    </w:p>
    <w:p w14:paraId="26C801C3" w14:textId="77777777" w:rsidR="00E26849" w:rsidRPr="00E26849" w:rsidRDefault="00E26849" w:rsidP="00E26849">
      <w:pPr>
        <w:spacing w:line="400" w:lineRule="exact"/>
        <w:ind w:firstLineChars="200" w:firstLine="560"/>
        <w:jc w:val="both"/>
        <w:rPr>
          <w:rFonts w:ascii="仿宋" w:eastAsia="仿宋" w:hAnsi="仿宋"/>
          <w:sz w:val="28"/>
          <w:szCs w:val="28"/>
        </w:rPr>
      </w:pPr>
      <w:r w:rsidRPr="00E26849">
        <w:rPr>
          <w:rFonts w:ascii="仿宋" w:eastAsia="仿宋" w:hAnsi="仿宋" w:hint="eastAsia"/>
          <w:sz w:val="28"/>
          <w:szCs w:val="28"/>
        </w:rPr>
        <w:t>短期财务预测可以在瑞典养老金机构的网页上找到，目前有到 2021的预测。预计平衡率会率高于1，但新的平衡期的风险依然存在 [16]。长期来看，瑞典养老金制度年度报告第7章 [1] 中公布了人口发展、收入变化、收益率或回报率及其对系统财务稳定的影响的长期情况。</w:t>
      </w:r>
    </w:p>
    <w:p w14:paraId="61F85B12" w14:textId="77777777" w:rsidR="00E26849" w:rsidRDefault="00E26849" w:rsidP="00E26849">
      <w:pPr>
        <w:spacing w:line="400" w:lineRule="exact"/>
        <w:ind w:firstLineChars="200" w:firstLine="560"/>
        <w:jc w:val="both"/>
        <w:rPr>
          <w:rFonts w:ascii="仿宋" w:eastAsia="仿宋" w:hAnsi="仿宋"/>
          <w:sz w:val="28"/>
          <w:szCs w:val="28"/>
        </w:rPr>
      </w:pPr>
      <w:r w:rsidRPr="00E26849">
        <w:rPr>
          <w:rFonts w:ascii="仿宋" w:eastAsia="仿宋" w:hAnsi="仿宋" w:hint="eastAsia"/>
          <w:sz w:val="28"/>
          <w:szCs w:val="28"/>
        </w:rPr>
        <w:t>自从改革以来, 养老金制度发生了变化, 也许评估和修改将是一个持续的过程。很难预见未来可能出现的问题。</w:t>
      </w:r>
    </w:p>
    <w:p w14:paraId="0FCABB73" w14:textId="77777777" w:rsidR="00E26849" w:rsidRPr="00E26849" w:rsidRDefault="00E26849" w:rsidP="00E26849">
      <w:pPr>
        <w:spacing w:line="400" w:lineRule="exact"/>
        <w:ind w:firstLineChars="200" w:firstLine="560"/>
        <w:jc w:val="both"/>
        <w:rPr>
          <w:rFonts w:ascii="仿宋" w:eastAsia="仿宋" w:hAnsi="仿宋"/>
          <w:sz w:val="28"/>
          <w:szCs w:val="28"/>
        </w:rPr>
      </w:pPr>
    </w:p>
    <w:p w14:paraId="6F85F28E" w14:textId="77777777" w:rsidR="00E26849" w:rsidRDefault="00E26849" w:rsidP="00E26849">
      <w:pPr>
        <w:spacing w:line="400" w:lineRule="exact"/>
        <w:rPr>
          <w:rFonts w:ascii="仿宋" w:eastAsia="仿宋" w:hAnsi="仿宋" w:cs="Times New Roman"/>
          <w:b/>
          <w:sz w:val="28"/>
          <w:szCs w:val="28"/>
        </w:rPr>
      </w:pPr>
      <w:r>
        <w:rPr>
          <w:rFonts w:ascii="仿宋" w:eastAsia="仿宋" w:hAnsi="仿宋" w:cs="Times New Roman" w:hint="eastAsia"/>
          <w:b/>
          <w:sz w:val="28"/>
          <w:szCs w:val="28"/>
        </w:rPr>
        <w:t>十、参考文献</w:t>
      </w:r>
    </w:p>
    <w:p w14:paraId="00B7323E" w14:textId="77777777" w:rsidR="00E26849" w:rsidRPr="00E26849" w:rsidRDefault="00E26849" w:rsidP="00E26849">
      <w:pPr>
        <w:spacing w:line="400" w:lineRule="exact"/>
        <w:jc w:val="both"/>
        <w:rPr>
          <w:rFonts w:ascii="Times New Roman" w:hAnsi="Times New Roman" w:cs="Times New Roman"/>
          <w:i/>
          <w:sz w:val="24"/>
          <w:szCs w:val="24"/>
        </w:rPr>
      </w:pPr>
      <w:r w:rsidRPr="00E26849">
        <w:rPr>
          <w:rFonts w:ascii="Times New Roman" w:hAnsi="Times New Roman" w:cs="Times New Roman"/>
          <w:sz w:val="24"/>
          <w:szCs w:val="24"/>
        </w:rPr>
        <w:t xml:space="preserve">[1] Pensionsmyndigheten. </w:t>
      </w:r>
      <w:r w:rsidRPr="00E26849">
        <w:rPr>
          <w:rFonts w:ascii="Times New Roman" w:hAnsi="Times New Roman" w:cs="Times New Roman"/>
          <w:i/>
          <w:sz w:val="24"/>
          <w:szCs w:val="24"/>
        </w:rPr>
        <w:t>Orange Report - Annual Report of the Swedish Pension System 2015</w:t>
      </w:r>
    </w:p>
    <w:p w14:paraId="0F0F235B"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[2] Regeringen. </w:t>
      </w:r>
      <w:proofErr w:type="gramStart"/>
      <w:r w:rsidRPr="00E26849">
        <w:rPr>
          <w:rFonts w:ascii="Times New Roman" w:hAnsi="Times New Roman" w:cs="Times New Roman"/>
          <w:i/>
          <w:sz w:val="24"/>
          <w:szCs w:val="24"/>
        </w:rPr>
        <w:t>proposition</w:t>
      </w:r>
      <w:proofErr w:type="gramEnd"/>
      <w:r w:rsidRPr="00E26849">
        <w:rPr>
          <w:rFonts w:ascii="Times New Roman" w:hAnsi="Times New Roman" w:cs="Times New Roman"/>
          <w:i/>
          <w:sz w:val="24"/>
          <w:szCs w:val="24"/>
        </w:rPr>
        <w:t xml:space="preserve"> 1993/94:250</w:t>
      </w:r>
      <w:r w:rsidRPr="00E26849">
        <w:rPr>
          <w:rFonts w:ascii="Times New Roman" w:hAnsi="Times New Roman" w:cs="Times New Roman"/>
          <w:sz w:val="24"/>
          <w:szCs w:val="24"/>
        </w:rPr>
        <w:t xml:space="preserve"> </w:t>
      </w:r>
      <w:r w:rsidRPr="00E26849">
        <w:rPr>
          <w:rFonts w:ascii="Times New Roman" w:hAnsi="Times New Roman" w:cs="Times New Roman"/>
          <w:i/>
          <w:sz w:val="24"/>
          <w:szCs w:val="24"/>
        </w:rPr>
        <w:t>Reformering av det allmänna pensionssystemet</w:t>
      </w:r>
      <w:r w:rsidRPr="00E26849">
        <w:rPr>
          <w:rFonts w:ascii="Times New Roman" w:hAnsi="Times New Roman" w:cs="Times New Roman"/>
          <w:sz w:val="24"/>
          <w:szCs w:val="24"/>
        </w:rPr>
        <w:t>; 1994 </w:t>
      </w:r>
    </w:p>
    <w:p w14:paraId="52CC21B1"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[3] Könberg. </w:t>
      </w:r>
      <w:r w:rsidRPr="00E26849">
        <w:rPr>
          <w:rFonts w:ascii="Times New Roman" w:hAnsi="Times New Roman" w:cs="Times New Roman"/>
          <w:i/>
          <w:sz w:val="24"/>
          <w:szCs w:val="24"/>
        </w:rPr>
        <w:t>Först i världen med nytt pensionssystem Hur gick det till</w:t>
      </w:r>
      <w:proofErr w:type="gramStart"/>
      <w:r w:rsidRPr="00E26849">
        <w:rPr>
          <w:rFonts w:ascii="Times New Roman" w:hAnsi="Times New Roman" w:cs="Times New Roman"/>
          <w:i/>
          <w:sz w:val="24"/>
          <w:szCs w:val="24"/>
        </w:rPr>
        <w:t>?</w:t>
      </w:r>
      <w:r w:rsidRPr="00E26849">
        <w:rPr>
          <w:rFonts w:ascii="Times New Roman" w:hAnsi="Times New Roman" w:cs="Times New Roman"/>
          <w:sz w:val="24"/>
          <w:szCs w:val="24"/>
        </w:rPr>
        <w:t>.</w:t>
      </w:r>
      <w:proofErr w:type="gramEnd"/>
      <w:r w:rsidRPr="00E26849">
        <w:rPr>
          <w:rFonts w:ascii="Times New Roman" w:hAnsi="Times New Roman" w:cs="Times New Roman"/>
          <w:sz w:val="24"/>
          <w:szCs w:val="24"/>
        </w:rPr>
        <w:t xml:space="preserve"> Frisinnad Tidsskrift</w:t>
      </w:r>
    </w:p>
    <w:p w14:paraId="7C355B27" w14:textId="77777777" w:rsidR="00E26849" w:rsidRPr="00E26849" w:rsidRDefault="00E26849" w:rsidP="00E26849">
      <w:pPr>
        <w:autoSpaceDE w:val="0"/>
        <w:autoSpaceDN w:val="0"/>
        <w:spacing w:after="0" w:line="400" w:lineRule="exact"/>
        <w:jc w:val="both"/>
        <w:rPr>
          <w:rFonts w:ascii="Times New Roman" w:hAnsi="Times New Roman" w:cs="Times New Roman"/>
          <w:sz w:val="24"/>
          <w:szCs w:val="24"/>
        </w:rPr>
      </w:pPr>
      <w:r w:rsidRPr="00E26849">
        <w:rPr>
          <w:rFonts w:ascii="Times New Roman" w:hAnsi="Times New Roman" w:cs="Times New Roman"/>
          <w:sz w:val="24"/>
          <w:szCs w:val="24"/>
        </w:rPr>
        <w:lastRenderedPageBreak/>
        <w:t xml:space="preserve">[4] Socialdepartementet. </w:t>
      </w:r>
      <w:r w:rsidRPr="00E26849">
        <w:rPr>
          <w:rFonts w:ascii="Times New Roman" w:hAnsi="Times New Roman" w:cs="Times New Roman"/>
          <w:i/>
          <w:sz w:val="24"/>
          <w:szCs w:val="24"/>
        </w:rPr>
        <w:t>The Swedish Pension Agreement and Pension Reform: Translation of Ds 2009:53</w:t>
      </w:r>
      <w:r w:rsidRPr="00E26849">
        <w:rPr>
          <w:rFonts w:ascii="Times New Roman" w:hAnsi="Times New Roman" w:cs="Times New Roman"/>
          <w:sz w:val="24"/>
          <w:szCs w:val="24"/>
        </w:rPr>
        <w:t>; 2010</w:t>
      </w:r>
    </w:p>
    <w:p w14:paraId="25F6D337"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[5] Socialdepartementet. </w:t>
      </w:r>
      <w:r w:rsidRPr="00E26849">
        <w:rPr>
          <w:rFonts w:ascii="Times New Roman" w:hAnsi="Times New Roman" w:cs="Times New Roman"/>
          <w:i/>
          <w:sz w:val="24"/>
          <w:szCs w:val="24"/>
        </w:rPr>
        <w:t>DS 2015:6 En jämnare och mer aktuell utveckling av inkomstpensionerna</w:t>
      </w:r>
      <w:r w:rsidRPr="00E26849">
        <w:rPr>
          <w:rFonts w:ascii="Times New Roman" w:hAnsi="Times New Roman" w:cs="Times New Roman"/>
          <w:sz w:val="24"/>
          <w:szCs w:val="24"/>
        </w:rPr>
        <w:t>; 2015</w:t>
      </w:r>
    </w:p>
    <w:p w14:paraId="0911BC20"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[6] Socialdepartementet. </w:t>
      </w:r>
      <w:r w:rsidRPr="00E26849">
        <w:rPr>
          <w:rFonts w:ascii="Times New Roman" w:hAnsi="Times New Roman" w:cs="Times New Roman"/>
          <w:i/>
          <w:sz w:val="24"/>
          <w:szCs w:val="24"/>
        </w:rPr>
        <w:t>SFS 2014:1548</w:t>
      </w:r>
      <w:r w:rsidRPr="00E26849">
        <w:rPr>
          <w:rFonts w:ascii="Times New Roman" w:hAnsi="Times New Roman" w:cs="Times New Roman"/>
          <w:sz w:val="24"/>
          <w:szCs w:val="24"/>
        </w:rPr>
        <w:t>; 2014</w:t>
      </w:r>
    </w:p>
    <w:p w14:paraId="086AD49F"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[7] Socialdepartementet. </w:t>
      </w:r>
      <w:r w:rsidRPr="00E26849">
        <w:rPr>
          <w:rFonts w:ascii="Times New Roman" w:hAnsi="Times New Roman" w:cs="Times New Roman"/>
          <w:i/>
          <w:sz w:val="24"/>
          <w:szCs w:val="24"/>
        </w:rPr>
        <w:t>Prop.2008/09:219 Utjämnat värde för buffertfonden vid beräkning av balanstalet</w:t>
      </w:r>
      <w:r w:rsidRPr="00E26849">
        <w:rPr>
          <w:rFonts w:ascii="Times New Roman" w:hAnsi="Times New Roman" w:cs="Times New Roman"/>
          <w:sz w:val="24"/>
          <w:szCs w:val="24"/>
        </w:rPr>
        <w:t>; 2009</w:t>
      </w:r>
    </w:p>
    <w:p w14:paraId="056B85B2"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[8] Thomsson, Billberg. </w:t>
      </w:r>
      <w:r w:rsidRPr="00E26849">
        <w:rPr>
          <w:rFonts w:ascii="Times New Roman" w:hAnsi="Times New Roman" w:cs="Times New Roman"/>
          <w:i/>
          <w:sz w:val="24"/>
          <w:szCs w:val="24"/>
        </w:rPr>
        <w:t>SOU 2016:61 Fokus premiepension</w:t>
      </w:r>
      <w:r w:rsidRPr="00E26849">
        <w:rPr>
          <w:rFonts w:ascii="Times New Roman" w:hAnsi="Times New Roman" w:cs="Times New Roman"/>
          <w:sz w:val="24"/>
          <w:szCs w:val="24"/>
        </w:rPr>
        <w:t>; 2016</w:t>
      </w:r>
    </w:p>
    <w:p w14:paraId="08F4BE68"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[9] Pensionsmyndigheten. </w:t>
      </w:r>
      <w:r w:rsidRPr="00E26849">
        <w:rPr>
          <w:rFonts w:ascii="Times New Roman" w:hAnsi="Times New Roman" w:cs="Times New Roman"/>
          <w:i/>
          <w:sz w:val="24"/>
          <w:szCs w:val="24"/>
        </w:rPr>
        <w:t>Remissvar på betänkandet Fokus premiepension (SOU 2016:61)</w:t>
      </w:r>
      <w:r w:rsidRPr="00E26849">
        <w:rPr>
          <w:rFonts w:ascii="Times New Roman" w:hAnsi="Times New Roman" w:cs="Times New Roman"/>
          <w:sz w:val="24"/>
          <w:szCs w:val="24"/>
        </w:rPr>
        <w:t>; 2017</w:t>
      </w:r>
    </w:p>
    <w:p w14:paraId="30394CDC"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[10] Svenska Dagbladet. </w:t>
      </w:r>
      <w:r w:rsidRPr="00E26849">
        <w:rPr>
          <w:rFonts w:ascii="Times New Roman" w:hAnsi="Times New Roman" w:cs="Times New Roman"/>
          <w:i/>
          <w:sz w:val="24"/>
          <w:szCs w:val="24"/>
        </w:rPr>
        <w:t>Efter skandalerna:</w:t>
      </w:r>
      <w:r w:rsidRPr="00E26849">
        <w:rPr>
          <w:rFonts w:ascii="Times New Roman" w:hAnsi="Times New Roman" w:cs="Times New Roman"/>
          <w:sz w:val="24"/>
          <w:szCs w:val="24"/>
        </w:rPr>
        <w:t xml:space="preserve"> </w:t>
      </w:r>
      <w:r w:rsidRPr="00E26849">
        <w:rPr>
          <w:rFonts w:ascii="Times New Roman" w:hAnsi="Times New Roman" w:cs="Times New Roman"/>
          <w:i/>
          <w:sz w:val="24"/>
          <w:szCs w:val="24"/>
        </w:rPr>
        <w:t xml:space="preserve">S </w:t>
      </w:r>
      <w:proofErr w:type="gramStart"/>
      <w:r w:rsidRPr="00E26849">
        <w:rPr>
          <w:rFonts w:ascii="Times New Roman" w:hAnsi="Times New Roman" w:cs="Times New Roman"/>
          <w:i/>
          <w:sz w:val="24"/>
          <w:szCs w:val="24"/>
        </w:rPr>
        <w:t>redo</w:t>
      </w:r>
      <w:proofErr w:type="gramEnd"/>
      <w:r w:rsidRPr="00E26849">
        <w:rPr>
          <w:rFonts w:ascii="Times New Roman" w:hAnsi="Times New Roman" w:cs="Times New Roman"/>
          <w:i/>
          <w:sz w:val="24"/>
          <w:szCs w:val="24"/>
        </w:rPr>
        <w:t xml:space="preserve"> överge premiepensionen.</w:t>
      </w:r>
      <w:r w:rsidRPr="00E26849">
        <w:rPr>
          <w:rFonts w:ascii="Times New Roman" w:hAnsi="Times New Roman" w:cs="Times New Roman"/>
          <w:sz w:val="24"/>
          <w:szCs w:val="24"/>
        </w:rPr>
        <w:t xml:space="preserve"> </w:t>
      </w:r>
      <w:hyperlink r:id="rId11" w:history="1">
        <w:r w:rsidRPr="00E26849">
          <w:rPr>
            <w:rStyle w:val="Hyperlink"/>
            <w:rFonts w:ascii="Times New Roman" w:hAnsi="Times New Roman" w:cs="Times New Roman"/>
            <w:sz w:val="24"/>
            <w:szCs w:val="24"/>
          </w:rPr>
          <w:t>https://www.svd.se/s-redo-overge-premiepensionen</w:t>
        </w:r>
      </w:hyperlink>
      <w:r w:rsidRPr="00E26849">
        <w:rPr>
          <w:rFonts w:ascii="Times New Roman" w:hAnsi="Times New Roman" w:cs="Times New Roman"/>
          <w:i/>
          <w:sz w:val="24"/>
          <w:szCs w:val="24"/>
        </w:rPr>
        <w:t>;</w:t>
      </w:r>
      <w:r w:rsidRPr="00E26849">
        <w:rPr>
          <w:rFonts w:ascii="Times New Roman" w:hAnsi="Times New Roman" w:cs="Times New Roman"/>
          <w:sz w:val="24"/>
          <w:szCs w:val="24"/>
        </w:rPr>
        <w:t xml:space="preserve"> 2017</w:t>
      </w:r>
    </w:p>
    <w:p w14:paraId="21466CCA"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[11] Sibbmark et al. </w:t>
      </w:r>
      <w:r w:rsidRPr="00E26849">
        <w:rPr>
          <w:rFonts w:ascii="Times New Roman" w:hAnsi="Times New Roman" w:cs="Times New Roman"/>
          <w:i/>
          <w:sz w:val="24"/>
          <w:szCs w:val="24"/>
        </w:rPr>
        <w:t>En modell för finansiering av pensionssystemet utan automatisk balansering</w:t>
      </w:r>
      <w:r w:rsidRPr="00E26849">
        <w:rPr>
          <w:rFonts w:ascii="Times New Roman" w:hAnsi="Times New Roman" w:cs="Times New Roman"/>
          <w:sz w:val="24"/>
          <w:szCs w:val="24"/>
        </w:rPr>
        <w:t>; 2013</w:t>
      </w:r>
    </w:p>
    <w:p w14:paraId="25C84532"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[12] Holzmann</w:t>
      </w:r>
      <w:r w:rsidRPr="00E26849">
        <w:rPr>
          <w:rFonts w:ascii="Times New Roman" w:hAnsi="Times New Roman" w:cs="Times New Roman"/>
          <w:i/>
          <w:sz w:val="24"/>
          <w:szCs w:val="24"/>
        </w:rPr>
        <w:t>. Toward a Pan-European Pension Reform Approach: The promises and perspectives of unfunded individual account systems</w:t>
      </w:r>
      <w:r w:rsidRPr="00E26849">
        <w:rPr>
          <w:rFonts w:ascii="Times New Roman" w:hAnsi="Times New Roman" w:cs="Times New Roman"/>
          <w:sz w:val="24"/>
          <w:szCs w:val="24"/>
        </w:rPr>
        <w:t>; 2007</w:t>
      </w:r>
    </w:p>
    <w:p w14:paraId="0F135167"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[13] Barr. </w:t>
      </w:r>
      <w:proofErr w:type="gramStart"/>
      <w:r w:rsidRPr="00E26849">
        <w:rPr>
          <w:rFonts w:ascii="Times New Roman" w:hAnsi="Times New Roman" w:cs="Times New Roman"/>
          <w:i/>
          <w:sz w:val="24"/>
          <w:szCs w:val="24"/>
        </w:rPr>
        <w:t>The pension system in Sweden.</w:t>
      </w:r>
      <w:proofErr w:type="gramEnd"/>
      <w:r w:rsidRPr="00E26849">
        <w:rPr>
          <w:rFonts w:ascii="Times New Roman" w:hAnsi="Times New Roman" w:cs="Times New Roman"/>
          <w:i/>
          <w:sz w:val="24"/>
          <w:szCs w:val="24"/>
        </w:rPr>
        <w:t xml:space="preserve"> Report to the Expert Group on Public Economics</w:t>
      </w:r>
      <w:r w:rsidRPr="00E26849">
        <w:rPr>
          <w:rFonts w:ascii="Times New Roman" w:hAnsi="Times New Roman" w:cs="Times New Roman"/>
          <w:sz w:val="24"/>
          <w:szCs w:val="24"/>
        </w:rPr>
        <w:t>; 2013</w:t>
      </w:r>
    </w:p>
    <w:p w14:paraId="7326A5C5"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[14] Socialdepartementet. </w:t>
      </w:r>
      <w:r w:rsidRPr="00E26849">
        <w:rPr>
          <w:rFonts w:ascii="Times New Roman" w:hAnsi="Times New Roman" w:cs="Times New Roman"/>
          <w:i/>
          <w:sz w:val="24"/>
          <w:szCs w:val="24"/>
        </w:rPr>
        <w:t>Ekonomiska effekter av ett längre arbetsliv Långsiktiga ekonomiska effekter av Pensionsåldersutredningens förslag</w:t>
      </w:r>
      <w:r w:rsidRPr="00E26849">
        <w:rPr>
          <w:rFonts w:ascii="Times New Roman" w:hAnsi="Times New Roman" w:cs="Times New Roman"/>
          <w:sz w:val="24"/>
          <w:szCs w:val="24"/>
        </w:rPr>
        <w:t>; 2014</w:t>
      </w:r>
    </w:p>
    <w:p w14:paraId="2CB2701A"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[15] Granbom, Pensionsmyndigheten. </w:t>
      </w:r>
      <w:r w:rsidRPr="00E26849">
        <w:rPr>
          <w:rFonts w:ascii="Times New Roman" w:hAnsi="Times New Roman" w:cs="Times New Roman"/>
          <w:i/>
          <w:sz w:val="24"/>
          <w:szCs w:val="24"/>
        </w:rPr>
        <w:t>Jämförelse i utfall av inkomstgrundad allmän pension i det nya och gamla pensionssystemet för födda 1938-1945</w:t>
      </w:r>
      <w:r w:rsidRPr="00E26849">
        <w:rPr>
          <w:rFonts w:ascii="Times New Roman" w:hAnsi="Times New Roman" w:cs="Times New Roman"/>
          <w:sz w:val="24"/>
          <w:szCs w:val="24"/>
        </w:rPr>
        <w:t>; 2017</w:t>
      </w:r>
    </w:p>
    <w:p w14:paraId="548360E6" w14:textId="77777777" w:rsidR="00E26849" w:rsidRPr="00E26849" w:rsidRDefault="00E26849" w:rsidP="00E26849">
      <w:pPr>
        <w:spacing w:line="400" w:lineRule="exact"/>
        <w:jc w:val="both"/>
        <w:rPr>
          <w:rFonts w:ascii="Times New Roman" w:hAnsi="Times New Roman" w:cs="Times New Roman"/>
          <w:sz w:val="24"/>
          <w:szCs w:val="24"/>
        </w:rPr>
      </w:pPr>
      <w:r w:rsidRPr="00E26849">
        <w:rPr>
          <w:rFonts w:ascii="Times New Roman" w:hAnsi="Times New Roman" w:cs="Times New Roman"/>
          <w:sz w:val="24"/>
          <w:szCs w:val="24"/>
        </w:rPr>
        <w:t xml:space="preserve">[16] Pensionsmyndigheten. </w:t>
      </w:r>
      <w:r w:rsidRPr="00E26849">
        <w:rPr>
          <w:rFonts w:ascii="Times New Roman" w:hAnsi="Times New Roman" w:cs="Times New Roman"/>
          <w:i/>
          <w:sz w:val="24"/>
          <w:szCs w:val="24"/>
        </w:rPr>
        <w:t>Anslagsbelastning och prognos för anslag inom Pensionsmyndighetens ansvarsområde budgetåren 2016–2021</w:t>
      </w:r>
      <w:r w:rsidRPr="00E26849">
        <w:rPr>
          <w:rFonts w:ascii="Times New Roman" w:hAnsi="Times New Roman" w:cs="Times New Roman"/>
          <w:sz w:val="24"/>
          <w:szCs w:val="24"/>
        </w:rPr>
        <w:t>; 2017</w:t>
      </w:r>
    </w:p>
    <w:sectPr w:rsidR="00E26849" w:rsidRPr="00E26849" w:rsidSect="004F0F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微软雅黑">
    <w:altName w:val="Arial Unicode MS"/>
    <w:charset w:val="86"/>
    <w:family w:val="swiss"/>
    <w:pitch w:val="variable"/>
    <w:sig w:usb0="80000287" w:usb1="280F3C52" w:usb2="00000016" w:usb3="00000000" w:csb0="0004001F" w:csb1="00000000"/>
  </w:font>
  <w:font w:name="Optane">
    <w:altName w:val="Cambria Math"/>
    <w:panose1 w:val="02000500000000000000"/>
    <w:charset w:val="00"/>
    <w:family w:val="auto"/>
    <w:pitch w:val="variable"/>
    <w:sig w:usb0="00000001" w:usb1="00000000" w:usb2="00000000" w:usb3="00000000" w:csb0="00000009" w:csb1="00000000"/>
  </w:font>
  <w:font w:name="黑体">
    <w:charset w:val="50"/>
    <w:family w:val="auto"/>
    <w:pitch w:val="variable"/>
    <w:sig w:usb0="800002BF" w:usb1="38CF7CFA" w:usb2="00000016" w:usb3="00000000" w:csb0="00040001" w:csb1="00000000"/>
  </w:font>
  <w:font w:name="MS Gothic">
    <w:altName w:val="ＭＳ ゴシック"/>
    <w:charset w:val="80"/>
    <w:family w:val="modern"/>
    <w:pitch w:val="fixed"/>
    <w:sig w:usb0="E00002FF" w:usb1="6AC7FDFB" w:usb2="08000012" w:usb3="00000000" w:csb0="0002009F" w:csb1="00000000"/>
  </w:font>
  <w:font w:name="仿宋">
    <w:altName w:val="Arial Unicode MS"/>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25A1"/>
    <w:rsid w:val="001C35B0"/>
    <w:rsid w:val="001F68FF"/>
    <w:rsid w:val="00323408"/>
    <w:rsid w:val="003B2BF2"/>
    <w:rsid w:val="004F0FC0"/>
    <w:rsid w:val="00740620"/>
    <w:rsid w:val="008605F3"/>
    <w:rsid w:val="00902626"/>
    <w:rsid w:val="00A01678"/>
    <w:rsid w:val="00A843B4"/>
    <w:rsid w:val="00C23451"/>
    <w:rsid w:val="00C351EE"/>
    <w:rsid w:val="00C94C4F"/>
    <w:rsid w:val="00CE3994"/>
    <w:rsid w:val="00D106B1"/>
    <w:rsid w:val="00DC5084"/>
    <w:rsid w:val="00DE25A1"/>
    <w:rsid w:val="00E26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C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A1"/>
    <w:pPr>
      <w:adjustRightInd w:val="0"/>
      <w:snapToGrid w:val="0"/>
      <w:spacing w:after="200"/>
    </w:pPr>
    <w:rPr>
      <w:rFonts w:ascii="Tahoma" w:eastAsia="微软雅黑" w:hAnsi="Tahoma"/>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lt+B"/>
    <w:basedOn w:val="Normal"/>
    <w:link w:val="BodyTextChar"/>
    <w:rsid w:val="00D106B1"/>
    <w:pPr>
      <w:tabs>
        <w:tab w:val="left" w:pos="170"/>
      </w:tabs>
      <w:adjustRightInd/>
      <w:snapToGrid/>
      <w:spacing w:after="120" w:line="280" w:lineRule="atLeast"/>
    </w:pPr>
    <w:rPr>
      <w:rFonts w:asciiTheme="minorHAnsi" w:eastAsia="宋体" w:hAnsiTheme="minorHAnsi"/>
      <w:sz w:val="24"/>
      <w:lang w:val="sv-SE" w:eastAsia="en-US"/>
    </w:rPr>
  </w:style>
  <w:style w:type="character" w:customStyle="1" w:styleId="BodyTextChar">
    <w:name w:val="Body Text Char"/>
    <w:aliases w:val="Alt+B Char"/>
    <w:basedOn w:val="DefaultParagraphFont"/>
    <w:link w:val="BodyText"/>
    <w:uiPriority w:val="99"/>
    <w:rsid w:val="00D106B1"/>
    <w:rPr>
      <w:rFonts w:eastAsia="宋体"/>
      <w:kern w:val="0"/>
      <w:sz w:val="24"/>
      <w:lang w:val="sv-SE" w:eastAsia="en-US"/>
    </w:rPr>
  </w:style>
  <w:style w:type="paragraph" w:styleId="BalloonText">
    <w:name w:val="Balloon Text"/>
    <w:basedOn w:val="Normal"/>
    <w:link w:val="BalloonTextChar"/>
    <w:uiPriority w:val="99"/>
    <w:semiHidden/>
    <w:unhideWhenUsed/>
    <w:rsid w:val="003B2BF2"/>
    <w:pPr>
      <w:spacing w:after="0"/>
    </w:pPr>
    <w:rPr>
      <w:sz w:val="18"/>
      <w:szCs w:val="18"/>
    </w:rPr>
  </w:style>
  <w:style w:type="character" w:customStyle="1" w:styleId="BalloonTextChar">
    <w:name w:val="Balloon Text Char"/>
    <w:basedOn w:val="DefaultParagraphFont"/>
    <w:link w:val="BalloonText"/>
    <w:uiPriority w:val="99"/>
    <w:semiHidden/>
    <w:rsid w:val="003B2BF2"/>
    <w:rPr>
      <w:rFonts w:ascii="Tahoma" w:eastAsia="微软雅黑" w:hAnsi="Tahoma"/>
      <w:kern w:val="0"/>
      <w:sz w:val="18"/>
      <w:szCs w:val="18"/>
    </w:rPr>
  </w:style>
  <w:style w:type="character" w:styleId="Hyperlink">
    <w:name w:val="Hyperlink"/>
    <w:basedOn w:val="DefaultParagraphFont"/>
    <w:uiPriority w:val="99"/>
    <w:rsid w:val="00E26849"/>
    <w:rPr>
      <w:i/>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vd.se/s-redo-overge-premiepension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AC84-753F-D44C-967C-5972DC5A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1756</Words>
  <Characters>10012</Characters>
  <Application>Microsoft Macintosh Word</Application>
  <DocSecurity>0</DocSecurity>
  <Lines>83</Lines>
  <Paragraphs>23</Paragraphs>
  <ScaleCrop>false</ScaleCrop>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dc:creator>
  <cp:keywords/>
  <dc:description/>
  <cp:lastModifiedBy>JVG</cp:lastModifiedBy>
  <cp:revision>3</cp:revision>
  <cp:lastPrinted>2017-10-26T09:13:00Z</cp:lastPrinted>
  <dcterms:created xsi:type="dcterms:W3CDTF">2017-10-26T09:13:00Z</dcterms:created>
  <dcterms:modified xsi:type="dcterms:W3CDTF">2017-10-26T09:13:00Z</dcterms:modified>
</cp:coreProperties>
</file>