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13" w:rsidRPr="006A178D" w:rsidRDefault="001F1B13" w:rsidP="001F1B13">
      <w:pPr>
        <w:jc w:val="both"/>
        <w:rPr>
          <w:rFonts w:ascii="Optane" w:hAnsi="Optane" w:cs="Times New Roman"/>
          <w:b/>
          <w:sz w:val="36"/>
          <w:szCs w:val="36"/>
          <w:lang w:val="en-US"/>
        </w:rPr>
      </w:pPr>
      <w:bookmarkStart w:id="0" w:name="_GoBack"/>
      <w:bookmarkEnd w:id="0"/>
    </w:p>
    <w:p w:rsidR="001F1B13" w:rsidRPr="006A178D" w:rsidRDefault="001F1B13" w:rsidP="001F1B13">
      <w:pPr>
        <w:jc w:val="both"/>
        <w:rPr>
          <w:rFonts w:ascii="Optane" w:eastAsia="MingLiU" w:hAnsi="Optane" w:cs="Times New Roman"/>
          <w:sz w:val="40"/>
          <w:szCs w:val="36"/>
          <w:lang w:val="en-US"/>
        </w:rPr>
      </w:pPr>
    </w:p>
    <w:p w:rsidR="001F1B13" w:rsidRPr="00643A61" w:rsidRDefault="001F1B13" w:rsidP="001F1B13">
      <w:pPr>
        <w:jc w:val="center"/>
        <w:rPr>
          <w:rFonts w:ascii="Optane" w:hAnsi="Optane" w:cs="Times New Roman"/>
          <w:b/>
          <w:sz w:val="56"/>
          <w:szCs w:val="56"/>
          <w:lang w:val="en-US"/>
        </w:rPr>
      </w:pPr>
      <w:r w:rsidRPr="00643A61">
        <w:rPr>
          <w:rFonts w:ascii="Optane" w:hAnsi="Optane" w:cs="Times New Roman"/>
          <w:b/>
          <w:sz w:val="56"/>
          <w:szCs w:val="56"/>
          <w:lang w:val="en-US"/>
        </w:rPr>
        <w:t>Parametric Pension Reform in European Member States</w:t>
      </w:r>
    </w:p>
    <w:p w:rsidR="001F1B13" w:rsidRPr="00643A61" w:rsidRDefault="001F1B13" w:rsidP="001F1B13">
      <w:pPr>
        <w:spacing w:before="240"/>
        <w:jc w:val="both"/>
        <w:rPr>
          <w:rFonts w:ascii="Optane" w:hAnsi="Optane" w:cs="Times New Roman"/>
          <w:b/>
          <w:sz w:val="56"/>
          <w:szCs w:val="56"/>
          <w:lang w:val="en-US"/>
        </w:rPr>
      </w:pPr>
    </w:p>
    <w:p w:rsidR="001F1B13" w:rsidRPr="00845F01" w:rsidRDefault="001F1B13" w:rsidP="001F1B13">
      <w:pPr>
        <w:jc w:val="center"/>
        <w:rPr>
          <w:rFonts w:ascii="Optane" w:hAnsi="Optane" w:cs="Times New Roman"/>
          <w:b/>
          <w:sz w:val="56"/>
          <w:szCs w:val="56"/>
          <w:lang w:val="en-US"/>
        </w:rPr>
      </w:pPr>
      <w:r w:rsidRPr="00845F01">
        <w:rPr>
          <w:rFonts w:ascii="Optane" w:hAnsi="Optane" w:cs="Times New Roman"/>
          <w:b/>
          <w:sz w:val="56"/>
          <w:szCs w:val="56"/>
          <w:lang w:val="en-US"/>
        </w:rPr>
        <w:t>Country Report</w:t>
      </w:r>
    </w:p>
    <w:p w:rsidR="001F1B13" w:rsidRPr="00643A61" w:rsidRDefault="001F1B13" w:rsidP="001F1B13">
      <w:pPr>
        <w:jc w:val="center"/>
        <w:rPr>
          <w:rFonts w:ascii="Optane" w:hAnsi="Optane" w:cs="Times New Roman"/>
          <w:b/>
          <w:sz w:val="56"/>
          <w:szCs w:val="56"/>
          <w:lang w:val="en-US"/>
        </w:rPr>
      </w:pPr>
      <w:r>
        <w:rPr>
          <w:rFonts w:ascii="Optane" w:hAnsi="Optane" w:cs="Times New Roman"/>
          <w:b/>
          <w:sz w:val="56"/>
          <w:szCs w:val="56"/>
          <w:lang w:val="en-US"/>
        </w:rPr>
        <w:t>Sweden</w:t>
      </w:r>
    </w:p>
    <w:p w:rsidR="001F1B13" w:rsidRPr="006A178D" w:rsidRDefault="001F1B13" w:rsidP="001F1B13">
      <w:pPr>
        <w:jc w:val="center"/>
        <w:rPr>
          <w:rFonts w:ascii="Optane" w:hAnsi="Optane" w:cs="Times New Roman"/>
          <w:lang w:val="en-US"/>
        </w:rPr>
      </w:pPr>
    </w:p>
    <w:p w:rsidR="001F1B13" w:rsidRPr="006A178D" w:rsidRDefault="001F1B13" w:rsidP="001F1B13">
      <w:pPr>
        <w:jc w:val="center"/>
        <w:rPr>
          <w:rFonts w:ascii="Optane" w:hAnsi="Optane" w:cs="Times New Roman"/>
          <w:lang w:val="en-US"/>
        </w:rPr>
      </w:pPr>
      <w:r w:rsidRPr="00643A61">
        <w:rPr>
          <w:rFonts w:ascii="Optane" w:hAnsi="Optane" w:cs="Times New Roman"/>
          <w:noProof/>
          <w:lang w:val="fr-FR" w:eastAsia="zh-CN"/>
        </w:rPr>
        <w:drawing>
          <wp:inline distT="0" distB="0" distL="0" distR="0" wp14:anchorId="796B09F5" wp14:editId="1A69FD1C">
            <wp:extent cx="2182188" cy="2176092"/>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rsidR="001F1B13" w:rsidRPr="006A178D" w:rsidRDefault="001F1B13" w:rsidP="001F1B13">
      <w:pPr>
        <w:tabs>
          <w:tab w:val="center" w:pos="4819"/>
          <w:tab w:val="left" w:pos="8706"/>
        </w:tabs>
        <w:jc w:val="center"/>
        <w:rPr>
          <w:rFonts w:ascii="Optane" w:hAnsi="Optane" w:cs="Times New Roman"/>
          <w:lang w:val="en-US" w:eastAsia="zh-CN"/>
        </w:rPr>
      </w:pPr>
      <w:r w:rsidRPr="00643A61">
        <w:rPr>
          <w:rFonts w:ascii="Optane" w:eastAsia="MS Gothic" w:hAnsi="Optane" w:cs="MS Gothic"/>
          <w:b/>
          <w:noProof/>
          <w:sz w:val="20"/>
          <w:lang w:val="fr-FR" w:eastAsia="zh-CN"/>
        </w:rPr>
        <mc:AlternateContent>
          <mc:Choice Requires="wps">
            <w:drawing>
              <wp:anchor distT="0" distB="0" distL="114300" distR="114300" simplePos="0" relativeHeight="251659264" behindDoc="0" locked="0" layoutInCell="1" allowOverlap="1" wp14:anchorId="6F1FCD72" wp14:editId="32198A0C">
                <wp:simplePos x="0" y="0"/>
                <wp:positionH relativeFrom="margin">
                  <wp:align>center</wp:align>
                </wp:positionH>
                <wp:positionV relativeFrom="paragraph">
                  <wp:posOffset>37465</wp:posOffset>
                </wp:positionV>
                <wp:extent cx="12573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1B13" w:rsidRPr="003142B1" w:rsidRDefault="001F1B13" w:rsidP="001F1B13">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FCD72"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F7k8cipAgAAowUAAA4AAAAAAAAAAAAAAAAALgIA&#10;AGRycy9lMm9Eb2MueG1sUEsBAi0AFAAGAAgAAAAhAO9F6wHXAAAABQEAAA8AAAAAAAAAAAAAAAAA&#10;AwUAAGRycy9kb3ducmV2LnhtbFBLBQYAAAAABAAEAPMAAAAHBgAAAAA=&#10;" filled="f" stroked="f">
                <v:textbox>
                  <w:txbxContent>
                    <w:p w:rsidR="001F1B13" w:rsidRPr="003142B1" w:rsidRDefault="001F1B13" w:rsidP="001F1B13">
                      <w:pPr>
                        <w:rPr>
                          <w:b/>
                          <w:sz w:val="28"/>
                          <w:szCs w:val="28"/>
                        </w:rPr>
                      </w:pPr>
                      <w:r w:rsidRPr="003142B1">
                        <w:rPr>
                          <w:b/>
                          <w:sz w:val="28"/>
                          <w:szCs w:val="28"/>
                        </w:rPr>
                        <w:t>Component 1</w:t>
                      </w:r>
                    </w:p>
                  </w:txbxContent>
                </v:textbox>
                <w10:wrap type="square" anchorx="margin"/>
              </v:shape>
            </w:pict>
          </mc:Fallback>
        </mc:AlternateContent>
      </w:r>
    </w:p>
    <w:p w:rsidR="001F1B13" w:rsidRDefault="001F1B13" w:rsidP="001F1B13">
      <w:pPr>
        <w:jc w:val="center"/>
        <w:rPr>
          <w:rFonts w:ascii="Optane" w:eastAsia="MS Gothic" w:hAnsi="Optane" w:cs="Times New Roman"/>
          <w:lang w:val="en-US" w:eastAsia="zh-CN"/>
        </w:rPr>
      </w:pPr>
    </w:p>
    <w:p w:rsidR="001F1B13" w:rsidRPr="00643A61" w:rsidRDefault="001F1B13" w:rsidP="001F1B13">
      <w:pPr>
        <w:jc w:val="right"/>
        <w:rPr>
          <w:rFonts w:ascii="Optane" w:eastAsia="MS Gothic" w:hAnsi="Optane" w:cs="Times New Roman"/>
          <w:b/>
          <w:lang w:val="fr-FR" w:eastAsia="zh-CN"/>
        </w:rPr>
      </w:pPr>
      <w:r w:rsidRPr="00643A61">
        <w:rPr>
          <w:rFonts w:ascii="Optane" w:eastAsia="MS Gothic" w:hAnsi="Optane" w:cs="Times New Roman"/>
          <w:b/>
          <w:lang w:val="fr-FR" w:eastAsia="zh-CN"/>
        </w:rPr>
        <w:t>June 2017, v.</w:t>
      </w:r>
      <w:r w:rsidR="00081122">
        <w:rPr>
          <w:rFonts w:ascii="Optane" w:eastAsia="MS Gothic" w:hAnsi="Optane" w:cs="Times New Roman"/>
          <w:b/>
          <w:lang w:val="fr-FR" w:eastAsia="zh-CN"/>
        </w:rPr>
        <w:t>2</w:t>
      </w:r>
    </w:p>
    <w:tbl>
      <w:tblPr>
        <w:tblStyle w:val="Grilledetableauclaire1"/>
        <w:tblpPr w:vertAnchor="page" w:tblpXSpec="center" w:tblpY="6408"/>
        <w:tblOverlap w:val="never"/>
        <w:tblW w:w="46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41"/>
      </w:tblGrid>
      <w:tr w:rsidR="0082048D" w:rsidRPr="00520B14" w:rsidTr="001F1B13">
        <w:trPr>
          <w:trHeight w:val="1701"/>
        </w:trPr>
        <w:tc>
          <w:tcPr>
            <w:tcW w:w="8441" w:type="dxa"/>
            <w:shd w:val="clear" w:color="auto" w:fill="auto"/>
            <w:vAlign w:val="bottom"/>
          </w:tcPr>
          <w:p w:rsidR="00520B14" w:rsidRDefault="001F1B13" w:rsidP="00520B14">
            <w:pPr>
              <w:pStyle w:val="Titre"/>
            </w:pPr>
            <w:r>
              <w:lastRenderedPageBreak/>
              <w:t>Th</w:t>
            </w:r>
            <w:r w:rsidR="003320DF">
              <w:t>e Swedish Pension Reform</w:t>
            </w:r>
          </w:p>
          <w:p w:rsidR="00055486" w:rsidRDefault="00055486" w:rsidP="00055486"/>
          <w:p w:rsidR="001F1B13" w:rsidRPr="00055486" w:rsidRDefault="001F1B13" w:rsidP="001F1B13">
            <w:pPr>
              <w:pStyle w:val="Titre1"/>
              <w:outlineLvl w:val="0"/>
            </w:pPr>
            <w:r>
              <w:t>Karl Birkholz</w:t>
            </w:r>
          </w:p>
        </w:tc>
      </w:tr>
      <w:tr w:rsidR="0082048D" w:rsidRPr="00520B14" w:rsidTr="001F1B13">
        <w:trPr>
          <w:trHeight w:val="1077"/>
        </w:trPr>
        <w:tc>
          <w:tcPr>
            <w:tcW w:w="8441" w:type="dxa"/>
            <w:shd w:val="clear" w:color="auto" w:fill="auto"/>
          </w:tcPr>
          <w:p w:rsidR="00055486" w:rsidRDefault="00055486" w:rsidP="00055486">
            <w:pPr>
              <w:pStyle w:val="Titre2"/>
              <w:outlineLvl w:val="1"/>
            </w:pPr>
            <w:r>
              <w:t>Swedish Pension Agency</w:t>
            </w:r>
          </w:p>
          <w:p w:rsidR="00055486" w:rsidRPr="00055486" w:rsidRDefault="00055486" w:rsidP="00055486">
            <w:pPr>
              <w:pStyle w:val="Titre2"/>
              <w:outlineLvl w:val="1"/>
            </w:pPr>
            <w:r>
              <w:t>Research Department</w:t>
            </w:r>
          </w:p>
        </w:tc>
      </w:tr>
    </w:tbl>
    <w:sdt>
      <w:sdtPr>
        <w:rPr>
          <w:i/>
          <w:vanish/>
          <w:color w:val="FF0000"/>
        </w:rPr>
        <w:id w:val="1207608675"/>
        <w:lock w:val="sdtContentLocked"/>
        <w:placeholder>
          <w:docPart w:val="8239B8221EB34D3482DE1320FD2289F1"/>
        </w:placeholder>
      </w:sdtPr>
      <w:sdtEndPr/>
      <w:sdtContent>
        <w:p w:rsidR="00AA57CC" w:rsidRDefault="00AA57CC" w:rsidP="00AA57CC">
          <w:pPr>
            <w:rPr>
              <w:i/>
              <w:vanish/>
              <w:color w:val="FF0000"/>
            </w:rPr>
          </w:pPr>
          <w:r w:rsidRPr="00245AF3">
            <w:rPr>
              <w:i/>
              <w:vanish/>
              <w:color w:val="FF0000"/>
            </w:rPr>
            <w:t xml:space="preserve">Ta ej bort </w:t>
          </w:r>
          <w:r>
            <w:rPr>
              <w:i/>
              <w:vanish/>
              <w:color w:val="FF0000"/>
            </w:rPr>
            <w:t>nedanstående avsnittsbrytning</w:t>
          </w:r>
          <w:r w:rsidRPr="00245AF3">
            <w:rPr>
              <w:i/>
              <w:vanish/>
              <w:color w:val="FF0000"/>
            </w:rPr>
            <w:t>!!</w:t>
          </w:r>
        </w:p>
      </w:sdtContent>
    </w:sdt>
    <w:sdt>
      <w:sdtPr>
        <w:alias w:val="Avsnittsbrytning"/>
        <w:tag w:val="Avsnittsbrytning"/>
        <w:id w:val="-906694717"/>
        <w:lock w:val="sdtContentLocked"/>
        <w:placeholder>
          <w:docPart w:val="8239B8221EB34D3482DE1320FD2289F1"/>
        </w:placeholder>
      </w:sdtPr>
      <w:sdtEndPr/>
      <w:sdtContent>
        <w:p w:rsidR="00992C00" w:rsidRPr="00992C00" w:rsidRDefault="00992C00" w:rsidP="004A0C9E">
          <w:pPr>
            <w:pStyle w:val="Avsnittsbrytning"/>
            <w:sectPr w:rsidR="00992C00" w:rsidRPr="00992C00" w:rsidSect="00C47371">
              <w:headerReference w:type="even" r:id="rId9"/>
              <w:footerReference w:type="default" r:id="rId10"/>
              <w:headerReference w:type="first" r:id="rId11"/>
              <w:footerReference w:type="first" r:id="rId12"/>
              <w:pgSz w:w="11906" w:h="16838" w:code="9"/>
              <w:pgMar w:top="1418" w:right="1418" w:bottom="1701" w:left="1418" w:header="550" w:footer="567" w:gutter="0"/>
              <w:cols w:space="708"/>
              <w:docGrid w:linePitch="360"/>
            </w:sectPr>
          </w:pPr>
          <w:r>
            <w:t xml:space="preserve">   </w:t>
          </w:r>
          <w:r w:rsidR="004A0C9E">
            <w:t xml:space="preserve"> </w:t>
          </w:r>
        </w:p>
      </w:sdtContent>
    </w:sdt>
    <w:sdt>
      <w:sdtPr>
        <w:rPr>
          <w:rFonts w:asciiTheme="minorHAnsi" w:eastAsiaTheme="minorHAnsi" w:hAnsiTheme="minorHAnsi" w:cstheme="minorBidi"/>
          <w:color w:val="000000" w:themeColor="text1"/>
          <w:sz w:val="24"/>
          <w:szCs w:val="22"/>
          <w:lang w:eastAsia="sv-SE"/>
        </w:rPr>
        <w:id w:val="-901439208"/>
        <w:docPartObj>
          <w:docPartGallery w:val="Table of Contents"/>
          <w:docPartUnique/>
        </w:docPartObj>
      </w:sdtPr>
      <w:sdtEndPr>
        <w:rPr>
          <w:color w:val="auto"/>
          <w:lang w:eastAsia="en-US"/>
        </w:rPr>
      </w:sdtEndPr>
      <w:sdtContent>
        <w:p w:rsidR="00795904" w:rsidRDefault="004210D5">
          <w:pPr>
            <w:pStyle w:val="En-ttedetabledesmatires"/>
          </w:pPr>
          <w:r>
            <w:t>Contents</w:t>
          </w:r>
        </w:p>
        <w:p w:rsidR="004210D5" w:rsidRDefault="00795904">
          <w:pPr>
            <w:pStyle w:val="TM1"/>
            <w:rPr>
              <w:rFonts w:asciiTheme="minorHAnsi" w:hAnsiTheme="minorHAnsi"/>
              <w:noProof/>
              <w:color w:val="auto"/>
            </w:rPr>
          </w:pPr>
          <w:r>
            <w:fldChar w:fldCharType="begin"/>
          </w:r>
          <w:r>
            <w:instrText xml:space="preserve"> TOC \h \z \t "Rubrik 1;1;Rubrik 2;2;Rubrik 3;3;Kapitelrubrik;1" </w:instrText>
          </w:r>
          <w:r>
            <w:fldChar w:fldCharType="separate"/>
          </w:r>
          <w:hyperlink w:anchor="_Toc479064198" w:history="1">
            <w:r w:rsidR="004210D5" w:rsidRPr="006F432A">
              <w:rPr>
                <w:rStyle w:val="Lienhypertexte"/>
                <w:noProof/>
                <w:lang w:val="en-AU"/>
              </w:rPr>
              <w:t>Introduction</w:t>
            </w:r>
            <w:r w:rsidR="004210D5">
              <w:rPr>
                <w:noProof/>
                <w:webHidden/>
              </w:rPr>
              <w:tab/>
            </w:r>
            <w:r w:rsidR="004210D5">
              <w:rPr>
                <w:noProof/>
                <w:webHidden/>
              </w:rPr>
              <w:fldChar w:fldCharType="begin"/>
            </w:r>
            <w:r w:rsidR="004210D5">
              <w:rPr>
                <w:noProof/>
                <w:webHidden/>
              </w:rPr>
              <w:instrText xml:space="preserve"> PAGEREF _Toc479064198 \h </w:instrText>
            </w:r>
            <w:r w:rsidR="004210D5">
              <w:rPr>
                <w:noProof/>
                <w:webHidden/>
              </w:rPr>
            </w:r>
            <w:r w:rsidR="004210D5">
              <w:rPr>
                <w:noProof/>
                <w:webHidden/>
              </w:rPr>
              <w:fldChar w:fldCharType="separate"/>
            </w:r>
            <w:r w:rsidR="001F1B13">
              <w:rPr>
                <w:noProof/>
                <w:webHidden/>
              </w:rPr>
              <w:t>1</w:t>
            </w:r>
            <w:r w:rsidR="004210D5">
              <w:rPr>
                <w:noProof/>
                <w:webHidden/>
              </w:rPr>
              <w:fldChar w:fldCharType="end"/>
            </w:r>
          </w:hyperlink>
        </w:p>
        <w:p w:rsidR="004210D5" w:rsidRDefault="00781D87">
          <w:pPr>
            <w:pStyle w:val="TM1"/>
            <w:rPr>
              <w:rFonts w:asciiTheme="minorHAnsi" w:hAnsiTheme="minorHAnsi"/>
              <w:noProof/>
              <w:color w:val="auto"/>
            </w:rPr>
          </w:pPr>
          <w:hyperlink w:anchor="_Toc479064199" w:history="1">
            <w:r w:rsidR="004210D5" w:rsidRPr="006F432A">
              <w:rPr>
                <w:rStyle w:val="Lienhypertexte"/>
                <w:noProof/>
                <w:lang w:val="en-US"/>
              </w:rPr>
              <w:t>Background</w:t>
            </w:r>
            <w:r w:rsidR="004210D5">
              <w:rPr>
                <w:noProof/>
                <w:webHidden/>
              </w:rPr>
              <w:tab/>
            </w:r>
            <w:r w:rsidR="004210D5">
              <w:rPr>
                <w:noProof/>
                <w:webHidden/>
              </w:rPr>
              <w:fldChar w:fldCharType="begin"/>
            </w:r>
            <w:r w:rsidR="004210D5">
              <w:rPr>
                <w:noProof/>
                <w:webHidden/>
              </w:rPr>
              <w:instrText xml:space="preserve"> PAGEREF _Toc479064199 \h </w:instrText>
            </w:r>
            <w:r w:rsidR="004210D5">
              <w:rPr>
                <w:noProof/>
                <w:webHidden/>
              </w:rPr>
            </w:r>
            <w:r w:rsidR="004210D5">
              <w:rPr>
                <w:noProof/>
                <w:webHidden/>
              </w:rPr>
              <w:fldChar w:fldCharType="separate"/>
            </w:r>
            <w:r w:rsidR="001F1B13">
              <w:rPr>
                <w:noProof/>
                <w:webHidden/>
              </w:rPr>
              <w:t>2</w:t>
            </w:r>
            <w:r w:rsidR="004210D5">
              <w:rPr>
                <w:noProof/>
                <w:webHidden/>
              </w:rPr>
              <w:fldChar w:fldCharType="end"/>
            </w:r>
          </w:hyperlink>
        </w:p>
        <w:p w:rsidR="004210D5" w:rsidRDefault="00781D87">
          <w:pPr>
            <w:pStyle w:val="TM1"/>
            <w:rPr>
              <w:rFonts w:asciiTheme="minorHAnsi" w:hAnsiTheme="minorHAnsi"/>
              <w:noProof/>
              <w:color w:val="auto"/>
            </w:rPr>
          </w:pPr>
          <w:hyperlink w:anchor="_Toc479064200" w:history="1">
            <w:r w:rsidR="004210D5" w:rsidRPr="006F432A">
              <w:rPr>
                <w:rStyle w:val="Lienhypertexte"/>
                <w:noProof/>
                <w:lang w:val="en-US"/>
              </w:rPr>
              <w:t>Principles of the Reform</w:t>
            </w:r>
            <w:r w:rsidR="004210D5">
              <w:rPr>
                <w:noProof/>
                <w:webHidden/>
              </w:rPr>
              <w:tab/>
            </w:r>
            <w:r w:rsidR="004210D5">
              <w:rPr>
                <w:noProof/>
                <w:webHidden/>
              </w:rPr>
              <w:fldChar w:fldCharType="begin"/>
            </w:r>
            <w:r w:rsidR="004210D5">
              <w:rPr>
                <w:noProof/>
                <w:webHidden/>
              </w:rPr>
              <w:instrText xml:space="preserve"> PAGEREF _Toc479064200 \h </w:instrText>
            </w:r>
            <w:r w:rsidR="004210D5">
              <w:rPr>
                <w:noProof/>
                <w:webHidden/>
              </w:rPr>
            </w:r>
            <w:r w:rsidR="004210D5">
              <w:rPr>
                <w:noProof/>
                <w:webHidden/>
              </w:rPr>
              <w:fldChar w:fldCharType="separate"/>
            </w:r>
            <w:r w:rsidR="001F1B13">
              <w:rPr>
                <w:noProof/>
                <w:webHidden/>
              </w:rPr>
              <w:t>3</w:t>
            </w:r>
            <w:r w:rsidR="004210D5">
              <w:rPr>
                <w:noProof/>
                <w:webHidden/>
              </w:rPr>
              <w:fldChar w:fldCharType="end"/>
            </w:r>
          </w:hyperlink>
        </w:p>
        <w:p w:rsidR="004210D5" w:rsidRDefault="00781D87">
          <w:pPr>
            <w:pStyle w:val="TM1"/>
            <w:rPr>
              <w:rFonts w:asciiTheme="minorHAnsi" w:hAnsiTheme="minorHAnsi"/>
              <w:noProof/>
              <w:color w:val="auto"/>
            </w:rPr>
          </w:pPr>
          <w:hyperlink w:anchor="_Toc479064201" w:history="1">
            <w:r w:rsidR="004210D5" w:rsidRPr="006F432A">
              <w:rPr>
                <w:rStyle w:val="Lienhypertexte"/>
                <w:noProof/>
                <w:lang w:val="en-US"/>
              </w:rPr>
              <w:t>The Political Process</w:t>
            </w:r>
            <w:r w:rsidR="004210D5">
              <w:rPr>
                <w:noProof/>
                <w:webHidden/>
              </w:rPr>
              <w:tab/>
            </w:r>
            <w:r w:rsidR="004210D5">
              <w:rPr>
                <w:noProof/>
                <w:webHidden/>
              </w:rPr>
              <w:fldChar w:fldCharType="begin"/>
            </w:r>
            <w:r w:rsidR="004210D5">
              <w:rPr>
                <w:noProof/>
                <w:webHidden/>
              </w:rPr>
              <w:instrText xml:space="preserve"> PAGEREF _Toc479064201 \h </w:instrText>
            </w:r>
            <w:r w:rsidR="004210D5">
              <w:rPr>
                <w:noProof/>
                <w:webHidden/>
              </w:rPr>
            </w:r>
            <w:r w:rsidR="004210D5">
              <w:rPr>
                <w:noProof/>
                <w:webHidden/>
              </w:rPr>
              <w:fldChar w:fldCharType="separate"/>
            </w:r>
            <w:r w:rsidR="001F1B13">
              <w:rPr>
                <w:noProof/>
                <w:webHidden/>
              </w:rPr>
              <w:t>5</w:t>
            </w:r>
            <w:r w:rsidR="004210D5">
              <w:rPr>
                <w:noProof/>
                <w:webHidden/>
              </w:rPr>
              <w:fldChar w:fldCharType="end"/>
            </w:r>
          </w:hyperlink>
        </w:p>
        <w:p w:rsidR="004210D5" w:rsidRDefault="00781D87">
          <w:pPr>
            <w:pStyle w:val="TM1"/>
            <w:rPr>
              <w:rFonts w:asciiTheme="minorHAnsi" w:hAnsiTheme="minorHAnsi"/>
              <w:noProof/>
              <w:color w:val="auto"/>
            </w:rPr>
          </w:pPr>
          <w:hyperlink w:anchor="_Toc479064202" w:history="1">
            <w:r w:rsidR="004210D5" w:rsidRPr="006F432A">
              <w:rPr>
                <w:rStyle w:val="Lienhypertexte"/>
                <w:noProof/>
                <w:lang w:val="en-US"/>
              </w:rPr>
              <w:t>The Old System</w:t>
            </w:r>
            <w:r w:rsidR="004210D5">
              <w:rPr>
                <w:noProof/>
                <w:webHidden/>
              </w:rPr>
              <w:tab/>
            </w:r>
            <w:r w:rsidR="004210D5">
              <w:rPr>
                <w:noProof/>
                <w:webHidden/>
              </w:rPr>
              <w:fldChar w:fldCharType="begin"/>
            </w:r>
            <w:r w:rsidR="004210D5">
              <w:rPr>
                <w:noProof/>
                <w:webHidden/>
              </w:rPr>
              <w:instrText xml:space="preserve"> PAGEREF _Toc479064202 \h </w:instrText>
            </w:r>
            <w:r w:rsidR="004210D5">
              <w:rPr>
                <w:noProof/>
                <w:webHidden/>
              </w:rPr>
            </w:r>
            <w:r w:rsidR="004210D5">
              <w:rPr>
                <w:noProof/>
                <w:webHidden/>
              </w:rPr>
              <w:fldChar w:fldCharType="separate"/>
            </w:r>
            <w:r w:rsidR="001F1B13">
              <w:rPr>
                <w:noProof/>
                <w:webHidden/>
              </w:rPr>
              <w:t>6</w:t>
            </w:r>
            <w:r w:rsidR="004210D5">
              <w:rPr>
                <w:noProof/>
                <w:webHidden/>
              </w:rPr>
              <w:fldChar w:fldCharType="end"/>
            </w:r>
          </w:hyperlink>
        </w:p>
        <w:p w:rsidR="004210D5" w:rsidRDefault="00781D87">
          <w:pPr>
            <w:pStyle w:val="TM1"/>
            <w:rPr>
              <w:rFonts w:asciiTheme="minorHAnsi" w:hAnsiTheme="minorHAnsi"/>
              <w:noProof/>
              <w:color w:val="auto"/>
            </w:rPr>
          </w:pPr>
          <w:hyperlink w:anchor="_Toc479064203" w:history="1">
            <w:r w:rsidR="004210D5" w:rsidRPr="006F432A">
              <w:rPr>
                <w:rStyle w:val="Lienhypertexte"/>
                <w:noProof/>
                <w:lang w:val="en-US"/>
              </w:rPr>
              <w:t>The New System</w:t>
            </w:r>
            <w:r w:rsidR="004210D5">
              <w:rPr>
                <w:noProof/>
                <w:webHidden/>
              </w:rPr>
              <w:tab/>
            </w:r>
            <w:r w:rsidR="004210D5">
              <w:rPr>
                <w:noProof/>
                <w:webHidden/>
              </w:rPr>
              <w:fldChar w:fldCharType="begin"/>
            </w:r>
            <w:r w:rsidR="004210D5">
              <w:rPr>
                <w:noProof/>
                <w:webHidden/>
              </w:rPr>
              <w:instrText xml:space="preserve"> PAGEREF _Toc479064203 \h </w:instrText>
            </w:r>
            <w:r w:rsidR="004210D5">
              <w:rPr>
                <w:noProof/>
                <w:webHidden/>
              </w:rPr>
            </w:r>
            <w:r w:rsidR="004210D5">
              <w:rPr>
                <w:noProof/>
                <w:webHidden/>
              </w:rPr>
              <w:fldChar w:fldCharType="separate"/>
            </w:r>
            <w:r w:rsidR="001F1B13">
              <w:rPr>
                <w:noProof/>
                <w:webHidden/>
              </w:rPr>
              <w:t>7</w:t>
            </w:r>
            <w:r w:rsidR="004210D5">
              <w:rPr>
                <w:noProof/>
                <w:webHidden/>
              </w:rPr>
              <w:fldChar w:fldCharType="end"/>
            </w:r>
          </w:hyperlink>
        </w:p>
        <w:p w:rsidR="004210D5" w:rsidRDefault="00781D87">
          <w:pPr>
            <w:pStyle w:val="TM2"/>
            <w:rPr>
              <w:rFonts w:asciiTheme="minorHAnsi" w:hAnsiTheme="minorHAnsi"/>
              <w:noProof/>
              <w:szCs w:val="22"/>
            </w:rPr>
          </w:pPr>
          <w:hyperlink w:anchor="_Toc479064204" w:history="1">
            <w:r w:rsidR="004210D5" w:rsidRPr="006F432A">
              <w:rPr>
                <w:rStyle w:val="Lienhypertexte"/>
                <w:noProof/>
                <w:lang w:val="en-US"/>
              </w:rPr>
              <w:t>Contribution Rates</w:t>
            </w:r>
            <w:r w:rsidR="004210D5">
              <w:rPr>
                <w:noProof/>
                <w:webHidden/>
              </w:rPr>
              <w:tab/>
            </w:r>
            <w:r w:rsidR="004210D5">
              <w:rPr>
                <w:noProof/>
                <w:webHidden/>
              </w:rPr>
              <w:fldChar w:fldCharType="begin"/>
            </w:r>
            <w:r w:rsidR="004210D5">
              <w:rPr>
                <w:noProof/>
                <w:webHidden/>
              </w:rPr>
              <w:instrText xml:space="preserve"> PAGEREF _Toc479064204 \h </w:instrText>
            </w:r>
            <w:r w:rsidR="004210D5">
              <w:rPr>
                <w:noProof/>
                <w:webHidden/>
              </w:rPr>
            </w:r>
            <w:r w:rsidR="004210D5">
              <w:rPr>
                <w:noProof/>
                <w:webHidden/>
              </w:rPr>
              <w:fldChar w:fldCharType="separate"/>
            </w:r>
            <w:r w:rsidR="001F1B13">
              <w:rPr>
                <w:noProof/>
                <w:webHidden/>
              </w:rPr>
              <w:t>8</w:t>
            </w:r>
            <w:r w:rsidR="004210D5">
              <w:rPr>
                <w:noProof/>
                <w:webHidden/>
              </w:rPr>
              <w:fldChar w:fldCharType="end"/>
            </w:r>
          </w:hyperlink>
        </w:p>
        <w:p w:rsidR="004210D5" w:rsidRDefault="00781D87">
          <w:pPr>
            <w:pStyle w:val="TM2"/>
            <w:rPr>
              <w:rFonts w:asciiTheme="minorHAnsi" w:hAnsiTheme="minorHAnsi"/>
              <w:noProof/>
              <w:szCs w:val="22"/>
            </w:rPr>
          </w:pPr>
          <w:hyperlink w:anchor="_Toc479064205" w:history="1">
            <w:r w:rsidR="004210D5" w:rsidRPr="006F432A">
              <w:rPr>
                <w:rStyle w:val="Lienhypertexte"/>
                <w:noProof/>
                <w:lang w:val="en-US"/>
              </w:rPr>
              <w:t>Guaranteed Pension</w:t>
            </w:r>
            <w:r w:rsidR="004210D5">
              <w:rPr>
                <w:noProof/>
                <w:webHidden/>
              </w:rPr>
              <w:tab/>
            </w:r>
            <w:r w:rsidR="004210D5">
              <w:rPr>
                <w:noProof/>
                <w:webHidden/>
              </w:rPr>
              <w:fldChar w:fldCharType="begin"/>
            </w:r>
            <w:r w:rsidR="004210D5">
              <w:rPr>
                <w:noProof/>
                <w:webHidden/>
              </w:rPr>
              <w:instrText xml:space="preserve"> PAGEREF _Toc479064205 \h </w:instrText>
            </w:r>
            <w:r w:rsidR="004210D5">
              <w:rPr>
                <w:noProof/>
                <w:webHidden/>
              </w:rPr>
            </w:r>
            <w:r w:rsidR="004210D5">
              <w:rPr>
                <w:noProof/>
                <w:webHidden/>
              </w:rPr>
              <w:fldChar w:fldCharType="separate"/>
            </w:r>
            <w:r w:rsidR="001F1B13">
              <w:rPr>
                <w:noProof/>
                <w:webHidden/>
              </w:rPr>
              <w:t>9</w:t>
            </w:r>
            <w:r w:rsidR="004210D5">
              <w:rPr>
                <w:noProof/>
                <w:webHidden/>
              </w:rPr>
              <w:fldChar w:fldCharType="end"/>
            </w:r>
          </w:hyperlink>
        </w:p>
        <w:p w:rsidR="004210D5" w:rsidRDefault="00781D87">
          <w:pPr>
            <w:pStyle w:val="TM2"/>
            <w:rPr>
              <w:rFonts w:asciiTheme="minorHAnsi" w:hAnsiTheme="minorHAnsi"/>
              <w:noProof/>
              <w:szCs w:val="22"/>
            </w:rPr>
          </w:pPr>
          <w:hyperlink w:anchor="_Toc479064206" w:history="1">
            <w:r w:rsidR="004210D5" w:rsidRPr="006F432A">
              <w:rPr>
                <w:rStyle w:val="Lienhypertexte"/>
                <w:noProof/>
                <w:lang w:val="en-US"/>
              </w:rPr>
              <w:t>Inkomstpension</w:t>
            </w:r>
            <w:r w:rsidR="004210D5">
              <w:rPr>
                <w:noProof/>
                <w:webHidden/>
              </w:rPr>
              <w:tab/>
            </w:r>
            <w:r w:rsidR="004210D5">
              <w:rPr>
                <w:noProof/>
                <w:webHidden/>
              </w:rPr>
              <w:fldChar w:fldCharType="begin"/>
            </w:r>
            <w:r w:rsidR="004210D5">
              <w:rPr>
                <w:noProof/>
                <w:webHidden/>
              </w:rPr>
              <w:instrText xml:space="preserve"> PAGEREF _Toc479064206 \h </w:instrText>
            </w:r>
            <w:r w:rsidR="004210D5">
              <w:rPr>
                <w:noProof/>
                <w:webHidden/>
              </w:rPr>
            </w:r>
            <w:r w:rsidR="004210D5">
              <w:rPr>
                <w:noProof/>
                <w:webHidden/>
              </w:rPr>
              <w:fldChar w:fldCharType="separate"/>
            </w:r>
            <w:r w:rsidR="001F1B13">
              <w:rPr>
                <w:noProof/>
                <w:webHidden/>
              </w:rPr>
              <w:t>10</w:t>
            </w:r>
            <w:r w:rsidR="004210D5">
              <w:rPr>
                <w:noProof/>
                <w:webHidden/>
              </w:rPr>
              <w:fldChar w:fldCharType="end"/>
            </w:r>
          </w:hyperlink>
        </w:p>
        <w:p w:rsidR="004210D5" w:rsidRDefault="00781D87">
          <w:pPr>
            <w:pStyle w:val="TM2"/>
            <w:rPr>
              <w:rFonts w:asciiTheme="minorHAnsi" w:hAnsiTheme="minorHAnsi"/>
              <w:noProof/>
              <w:szCs w:val="22"/>
            </w:rPr>
          </w:pPr>
          <w:hyperlink w:anchor="_Toc479064207" w:history="1">
            <w:r w:rsidR="004210D5" w:rsidRPr="006F432A">
              <w:rPr>
                <w:rStyle w:val="Lienhypertexte"/>
                <w:noProof/>
                <w:lang w:val="en-US"/>
              </w:rPr>
              <w:t>Premium Pension</w:t>
            </w:r>
            <w:r w:rsidR="004210D5">
              <w:rPr>
                <w:noProof/>
                <w:webHidden/>
              </w:rPr>
              <w:tab/>
            </w:r>
            <w:r w:rsidR="004210D5">
              <w:rPr>
                <w:noProof/>
                <w:webHidden/>
              </w:rPr>
              <w:fldChar w:fldCharType="begin"/>
            </w:r>
            <w:r w:rsidR="004210D5">
              <w:rPr>
                <w:noProof/>
                <w:webHidden/>
              </w:rPr>
              <w:instrText xml:space="preserve"> PAGEREF _Toc479064207 \h </w:instrText>
            </w:r>
            <w:r w:rsidR="004210D5">
              <w:rPr>
                <w:noProof/>
                <w:webHidden/>
              </w:rPr>
            </w:r>
            <w:r w:rsidR="004210D5">
              <w:rPr>
                <w:noProof/>
                <w:webHidden/>
              </w:rPr>
              <w:fldChar w:fldCharType="separate"/>
            </w:r>
            <w:r w:rsidR="001F1B13">
              <w:rPr>
                <w:noProof/>
                <w:webHidden/>
              </w:rPr>
              <w:t>12</w:t>
            </w:r>
            <w:r w:rsidR="004210D5">
              <w:rPr>
                <w:noProof/>
                <w:webHidden/>
              </w:rPr>
              <w:fldChar w:fldCharType="end"/>
            </w:r>
          </w:hyperlink>
        </w:p>
        <w:p w:rsidR="004210D5" w:rsidRDefault="00781D87">
          <w:pPr>
            <w:pStyle w:val="TM2"/>
            <w:rPr>
              <w:rFonts w:asciiTheme="minorHAnsi" w:hAnsiTheme="minorHAnsi"/>
              <w:noProof/>
              <w:szCs w:val="22"/>
            </w:rPr>
          </w:pPr>
          <w:hyperlink w:anchor="_Toc479064208" w:history="1">
            <w:r w:rsidR="004210D5" w:rsidRPr="006F432A">
              <w:rPr>
                <w:rStyle w:val="Lienhypertexte"/>
                <w:noProof/>
                <w:lang w:val="en-US"/>
              </w:rPr>
              <w:t>Transition Rules</w:t>
            </w:r>
            <w:r w:rsidR="004210D5">
              <w:rPr>
                <w:noProof/>
                <w:webHidden/>
              </w:rPr>
              <w:tab/>
            </w:r>
            <w:r w:rsidR="004210D5">
              <w:rPr>
                <w:noProof/>
                <w:webHidden/>
              </w:rPr>
              <w:fldChar w:fldCharType="begin"/>
            </w:r>
            <w:r w:rsidR="004210D5">
              <w:rPr>
                <w:noProof/>
                <w:webHidden/>
              </w:rPr>
              <w:instrText xml:space="preserve"> PAGEREF _Toc479064208 \h </w:instrText>
            </w:r>
            <w:r w:rsidR="004210D5">
              <w:rPr>
                <w:noProof/>
                <w:webHidden/>
              </w:rPr>
            </w:r>
            <w:r w:rsidR="004210D5">
              <w:rPr>
                <w:noProof/>
                <w:webHidden/>
              </w:rPr>
              <w:fldChar w:fldCharType="separate"/>
            </w:r>
            <w:r w:rsidR="001F1B13">
              <w:rPr>
                <w:noProof/>
                <w:webHidden/>
              </w:rPr>
              <w:t>13</w:t>
            </w:r>
            <w:r w:rsidR="004210D5">
              <w:rPr>
                <w:noProof/>
                <w:webHidden/>
              </w:rPr>
              <w:fldChar w:fldCharType="end"/>
            </w:r>
          </w:hyperlink>
        </w:p>
        <w:p w:rsidR="004210D5" w:rsidRDefault="00781D87">
          <w:pPr>
            <w:pStyle w:val="TM1"/>
            <w:rPr>
              <w:rFonts w:asciiTheme="minorHAnsi" w:hAnsiTheme="minorHAnsi"/>
              <w:noProof/>
              <w:color w:val="auto"/>
            </w:rPr>
          </w:pPr>
          <w:hyperlink w:anchor="_Toc479064209" w:history="1">
            <w:r w:rsidR="004210D5" w:rsidRPr="006F432A">
              <w:rPr>
                <w:rStyle w:val="Lienhypertexte"/>
                <w:noProof/>
                <w:lang w:val="en-US"/>
              </w:rPr>
              <w:t>Details</w:t>
            </w:r>
            <w:r w:rsidR="004210D5">
              <w:rPr>
                <w:noProof/>
                <w:webHidden/>
              </w:rPr>
              <w:tab/>
            </w:r>
            <w:r w:rsidR="004210D5">
              <w:rPr>
                <w:noProof/>
                <w:webHidden/>
              </w:rPr>
              <w:fldChar w:fldCharType="begin"/>
            </w:r>
            <w:r w:rsidR="004210D5">
              <w:rPr>
                <w:noProof/>
                <w:webHidden/>
              </w:rPr>
              <w:instrText xml:space="preserve"> PAGEREF _Toc479064209 \h </w:instrText>
            </w:r>
            <w:r w:rsidR="004210D5">
              <w:rPr>
                <w:noProof/>
                <w:webHidden/>
              </w:rPr>
            </w:r>
            <w:r w:rsidR="004210D5">
              <w:rPr>
                <w:noProof/>
                <w:webHidden/>
              </w:rPr>
              <w:fldChar w:fldCharType="separate"/>
            </w:r>
            <w:r w:rsidR="001F1B13">
              <w:rPr>
                <w:noProof/>
                <w:webHidden/>
              </w:rPr>
              <w:t>14</w:t>
            </w:r>
            <w:r w:rsidR="004210D5">
              <w:rPr>
                <w:noProof/>
                <w:webHidden/>
              </w:rPr>
              <w:fldChar w:fldCharType="end"/>
            </w:r>
          </w:hyperlink>
        </w:p>
        <w:p w:rsidR="004210D5" w:rsidRDefault="00781D87">
          <w:pPr>
            <w:pStyle w:val="TM1"/>
            <w:rPr>
              <w:rFonts w:asciiTheme="minorHAnsi" w:hAnsiTheme="minorHAnsi"/>
              <w:noProof/>
              <w:color w:val="auto"/>
            </w:rPr>
          </w:pPr>
          <w:hyperlink w:anchor="_Toc479064210" w:history="1">
            <w:r w:rsidR="004210D5" w:rsidRPr="006F432A">
              <w:rPr>
                <w:rStyle w:val="Lienhypertexte"/>
                <w:noProof/>
                <w:lang w:val="en-US"/>
              </w:rPr>
              <w:t>Public Debate</w:t>
            </w:r>
            <w:r w:rsidR="004210D5">
              <w:rPr>
                <w:noProof/>
                <w:webHidden/>
              </w:rPr>
              <w:tab/>
            </w:r>
            <w:r w:rsidR="004210D5">
              <w:rPr>
                <w:noProof/>
                <w:webHidden/>
              </w:rPr>
              <w:fldChar w:fldCharType="begin"/>
            </w:r>
            <w:r w:rsidR="004210D5">
              <w:rPr>
                <w:noProof/>
                <w:webHidden/>
              </w:rPr>
              <w:instrText xml:space="preserve"> PAGEREF _Toc479064210 \h </w:instrText>
            </w:r>
            <w:r w:rsidR="004210D5">
              <w:rPr>
                <w:noProof/>
                <w:webHidden/>
              </w:rPr>
            </w:r>
            <w:r w:rsidR="004210D5">
              <w:rPr>
                <w:noProof/>
                <w:webHidden/>
              </w:rPr>
              <w:fldChar w:fldCharType="separate"/>
            </w:r>
            <w:r w:rsidR="001F1B13">
              <w:rPr>
                <w:noProof/>
                <w:webHidden/>
              </w:rPr>
              <w:t>16</w:t>
            </w:r>
            <w:r w:rsidR="004210D5">
              <w:rPr>
                <w:noProof/>
                <w:webHidden/>
              </w:rPr>
              <w:fldChar w:fldCharType="end"/>
            </w:r>
          </w:hyperlink>
        </w:p>
        <w:p w:rsidR="004210D5" w:rsidRDefault="00781D87">
          <w:pPr>
            <w:pStyle w:val="TM1"/>
            <w:rPr>
              <w:rFonts w:asciiTheme="minorHAnsi" w:hAnsiTheme="minorHAnsi"/>
              <w:noProof/>
              <w:color w:val="auto"/>
            </w:rPr>
          </w:pPr>
          <w:hyperlink w:anchor="_Toc479064211" w:history="1">
            <w:r w:rsidR="004210D5" w:rsidRPr="006F432A">
              <w:rPr>
                <w:rStyle w:val="Lienhypertexte"/>
                <w:noProof/>
                <w:lang w:val="en-US"/>
              </w:rPr>
              <w:t>Evaluation</w:t>
            </w:r>
            <w:r w:rsidR="004210D5">
              <w:rPr>
                <w:noProof/>
                <w:webHidden/>
              </w:rPr>
              <w:tab/>
            </w:r>
            <w:r w:rsidR="004210D5">
              <w:rPr>
                <w:noProof/>
                <w:webHidden/>
              </w:rPr>
              <w:fldChar w:fldCharType="begin"/>
            </w:r>
            <w:r w:rsidR="004210D5">
              <w:rPr>
                <w:noProof/>
                <w:webHidden/>
              </w:rPr>
              <w:instrText xml:space="preserve"> PAGEREF _Toc479064211 \h </w:instrText>
            </w:r>
            <w:r w:rsidR="004210D5">
              <w:rPr>
                <w:noProof/>
                <w:webHidden/>
              </w:rPr>
            </w:r>
            <w:r w:rsidR="004210D5">
              <w:rPr>
                <w:noProof/>
                <w:webHidden/>
              </w:rPr>
              <w:fldChar w:fldCharType="separate"/>
            </w:r>
            <w:r w:rsidR="001F1B13">
              <w:rPr>
                <w:noProof/>
                <w:webHidden/>
              </w:rPr>
              <w:t>19</w:t>
            </w:r>
            <w:r w:rsidR="004210D5">
              <w:rPr>
                <w:noProof/>
                <w:webHidden/>
              </w:rPr>
              <w:fldChar w:fldCharType="end"/>
            </w:r>
          </w:hyperlink>
        </w:p>
        <w:p w:rsidR="004210D5" w:rsidRDefault="00781D87">
          <w:pPr>
            <w:pStyle w:val="TM1"/>
            <w:rPr>
              <w:rFonts w:asciiTheme="minorHAnsi" w:hAnsiTheme="minorHAnsi"/>
              <w:noProof/>
              <w:color w:val="auto"/>
            </w:rPr>
          </w:pPr>
          <w:hyperlink w:anchor="_Toc479064212" w:history="1">
            <w:r w:rsidR="004210D5" w:rsidRPr="006F432A">
              <w:rPr>
                <w:rStyle w:val="Lienhypertexte"/>
                <w:noProof/>
                <w:lang w:val="en-US"/>
              </w:rPr>
              <w:t>References</w:t>
            </w:r>
            <w:r w:rsidR="004210D5">
              <w:rPr>
                <w:noProof/>
                <w:webHidden/>
              </w:rPr>
              <w:tab/>
            </w:r>
            <w:r w:rsidR="004210D5">
              <w:rPr>
                <w:noProof/>
                <w:webHidden/>
              </w:rPr>
              <w:fldChar w:fldCharType="begin"/>
            </w:r>
            <w:r w:rsidR="004210D5">
              <w:rPr>
                <w:noProof/>
                <w:webHidden/>
              </w:rPr>
              <w:instrText xml:space="preserve"> PAGEREF _Toc479064212 \h </w:instrText>
            </w:r>
            <w:r w:rsidR="004210D5">
              <w:rPr>
                <w:noProof/>
                <w:webHidden/>
              </w:rPr>
            </w:r>
            <w:r w:rsidR="004210D5">
              <w:rPr>
                <w:noProof/>
                <w:webHidden/>
              </w:rPr>
              <w:fldChar w:fldCharType="separate"/>
            </w:r>
            <w:r w:rsidR="001F1B13">
              <w:rPr>
                <w:noProof/>
                <w:webHidden/>
              </w:rPr>
              <w:t>20</w:t>
            </w:r>
            <w:r w:rsidR="004210D5">
              <w:rPr>
                <w:noProof/>
                <w:webHidden/>
              </w:rPr>
              <w:fldChar w:fldCharType="end"/>
            </w:r>
          </w:hyperlink>
        </w:p>
        <w:p w:rsidR="00795904" w:rsidRDefault="00795904" w:rsidP="00C23798">
          <w:r>
            <w:rPr>
              <w:rFonts w:asciiTheme="majorHAnsi" w:hAnsiTheme="majorHAnsi"/>
              <w:color w:val="DC4912" w:themeColor="accent1"/>
              <w:sz w:val="22"/>
            </w:rPr>
            <w:fldChar w:fldCharType="end"/>
          </w:r>
        </w:p>
      </w:sdtContent>
    </w:sdt>
    <w:p w:rsidR="00D513FB" w:rsidRDefault="00D513FB" w:rsidP="00C23798"/>
    <w:sdt>
      <w:sdtPr>
        <w:rPr>
          <w:i/>
          <w:vanish/>
          <w:color w:val="FF0000"/>
        </w:rPr>
        <w:id w:val="-463353620"/>
        <w:lock w:val="sdtContentLocked"/>
        <w:placeholder>
          <w:docPart w:val="AA39AFD43ADC4799A03021343123D7CE"/>
        </w:placeholder>
      </w:sdtPr>
      <w:sdtEndPr/>
      <w:sdtContent>
        <w:p w:rsidR="00AE5871" w:rsidRDefault="00AE5871" w:rsidP="00A67EF0">
          <w:pPr>
            <w:rPr>
              <w:i/>
              <w:vanish/>
              <w:color w:val="FF0000"/>
            </w:rPr>
          </w:pPr>
          <w:r w:rsidRPr="00245AF3">
            <w:rPr>
              <w:i/>
              <w:vanish/>
              <w:color w:val="FF0000"/>
            </w:rPr>
            <w:t xml:space="preserve">Ta ej bort </w:t>
          </w:r>
          <w:r>
            <w:rPr>
              <w:i/>
              <w:vanish/>
              <w:color w:val="FF0000"/>
            </w:rPr>
            <w:t>nedanstående avsnittsbrytning</w:t>
          </w:r>
          <w:r w:rsidRPr="00245AF3">
            <w:rPr>
              <w:i/>
              <w:vanish/>
              <w:color w:val="FF0000"/>
            </w:rPr>
            <w:t>!!</w:t>
          </w:r>
        </w:p>
      </w:sdtContent>
    </w:sdt>
    <w:sdt>
      <w:sdtPr>
        <w:alias w:val="Avsnittsbrytning"/>
        <w:tag w:val="Avsnittsbrytning"/>
        <w:id w:val="-158548437"/>
        <w:lock w:val="sdtLocked"/>
        <w:placeholder>
          <w:docPart w:val="59F7042D3A2241F0BAD533FF9F6D4C83"/>
        </w:placeholder>
        <w:showingPlcHdr/>
      </w:sdtPr>
      <w:sdtEndPr/>
      <w:sdtContent>
        <w:p w:rsidR="00C30CFD" w:rsidRPr="00245AF3" w:rsidRDefault="000760DA" w:rsidP="00AA57CC">
          <w:pPr>
            <w:pStyle w:val="Avsnittsbrytning"/>
            <w:sectPr w:rsidR="00C30CFD" w:rsidRPr="00245AF3" w:rsidSect="0082048D">
              <w:footerReference w:type="default" r:id="rId13"/>
              <w:pgSz w:w="11906" w:h="16838" w:code="9"/>
              <w:pgMar w:top="1418" w:right="2268" w:bottom="1134" w:left="2268" w:header="550" w:footer="567" w:gutter="0"/>
              <w:cols w:space="708"/>
              <w:docGrid w:linePitch="360"/>
            </w:sectPr>
          </w:pPr>
          <w:r>
            <w:t xml:space="preserve">    </w:t>
          </w:r>
        </w:p>
      </w:sdtContent>
    </w:sdt>
    <w:sdt>
      <w:sdtPr>
        <w:rPr>
          <w:i/>
          <w:vanish/>
          <w:color w:val="FF0000"/>
        </w:rPr>
        <w:id w:val="-1208108100"/>
        <w:lock w:val="sdtContentLocked"/>
        <w:placeholder>
          <w:docPart w:val="0C2B62634C104A03860F4153DF84AFAD"/>
        </w:placeholder>
      </w:sdtPr>
      <w:sdtEndPr/>
      <w:sdtContent>
        <w:p w:rsidR="00AE5871" w:rsidRDefault="00AE5871" w:rsidP="00A67EF0">
          <w:pPr>
            <w:rPr>
              <w:i/>
              <w:vanish/>
              <w:color w:val="FF0000"/>
            </w:rPr>
          </w:pPr>
          <w:r w:rsidRPr="00245AF3">
            <w:rPr>
              <w:i/>
              <w:vanish/>
              <w:color w:val="FF0000"/>
            </w:rPr>
            <w:t xml:space="preserve">Ta ej bort </w:t>
          </w:r>
          <w:r>
            <w:rPr>
              <w:i/>
              <w:vanish/>
              <w:color w:val="FF0000"/>
            </w:rPr>
            <w:t>nedanstående avsnittsbrytning</w:t>
          </w:r>
          <w:r w:rsidRPr="00245AF3">
            <w:rPr>
              <w:i/>
              <w:vanish/>
              <w:color w:val="FF0000"/>
            </w:rPr>
            <w:t>!!</w:t>
          </w:r>
        </w:p>
      </w:sdtContent>
    </w:sdt>
    <w:p w:rsidR="00055486" w:rsidRDefault="00AE5871" w:rsidP="002A23CE">
      <w:pPr>
        <w:pStyle w:val="Avsnittsbrytning"/>
      </w:pPr>
      <w:r>
        <w:t xml:space="preserve"> </w:t>
      </w:r>
      <w:sdt>
        <w:sdtPr>
          <w:alias w:val="Avsnittsbrytning"/>
          <w:tag w:val="Avsnittsbrytning"/>
          <w:id w:val="81889044"/>
          <w:lock w:val="sdtContentLocked"/>
          <w:placeholder>
            <w:docPart w:val="A77A8AC4534E48F4841DB64FB0391DF5"/>
          </w:placeholder>
          <w:showingPlcHdr/>
        </w:sdtPr>
        <w:sdtEndPr/>
        <w:sdtContent>
          <w:r w:rsidR="002A23CE">
            <w:t xml:space="preserve">    </w:t>
          </w:r>
        </w:sdtContent>
      </w:sdt>
    </w:p>
    <w:p w:rsidR="00055486" w:rsidRPr="00055486" w:rsidRDefault="00055486" w:rsidP="00055486"/>
    <w:p w:rsidR="00055486" w:rsidRDefault="00055486" w:rsidP="00055486"/>
    <w:p w:rsidR="004B3EF2" w:rsidRPr="003320DF" w:rsidRDefault="003320DF" w:rsidP="004B3EF2">
      <w:pPr>
        <w:pStyle w:val="Titre1"/>
        <w:rPr>
          <w:lang w:val="en-US"/>
        </w:rPr>
      </w:pPr>
      <w:r>
        <w:rPr>
          <w:lang w:val="en-AU"/>
        </w:rPr>
        <w:fldChar w:fldCharType="begin">
          <w:ffData>
            <w:name w:val=""/>
            <w:enabled/>
            <w:calcOnExit w:val="0"/>
            <w:textInput>
              <w:default w:val="Introduction"/>
            </w:textInput>
          </w:ffData>
        </w:fldChar>
      </w:r>
      <w:r>
        <w:rPr>
          <w:lang w:val="en-AU"/>
        </w:rPr>
        <w:instrText xml:space="preserve"> FORMTEXT </w:instrText>
      </w:r>
      <w:r>
        <w:rPr>
          <w:lang w:val="en-AU"/>
        </w:rPr>
      </w:r>
      <w:r>
        <w:rPr>
          <w:lang w:val="en-AU"/>
        </w:rPr>
        <w:fldChar w:fldCharType="separate"/>
      </w:r>
      <w:bookmarkStart w:id="1" w:name="_Toc479064198"/>
      <w:r>
        <w:rPr>
          <w:noProof/>
          <w:lang w:val="en-AU"/>
        </w:rPr>
        <w:t>Introduction</w:t>
      </w:r>
      <w:bookmarkEnd w:id="1"/>
      <w:r>
        <w:rPr>
          <w:lang w:val="en-AU"/>
        </w:rPr>
        <w:fldChar w:fldCharType="end"/>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This report aims at in short describe the systemic Swedish national public pension reform that took place </w:t>
      </w:r>
      <w:r w:rsidR="00055486" w:rsidRPr="00055486">
        <w:rPr>
          <w:rFonts w:ascii="Calibri" w:hAnsi="Calibri" w:cs="Calibri"/>
          <w:lang w:val="en-US"/>
        </w:rPr>
        <w:t xml:space="preserve">in Sweden </w:t>
      </w:r>
      <w:r w:rsidRPr="00055486">
        <w:rPr>
          <w:rFonts w:ascii="Calibri" w:hAnsi="Calibri" w:cs="Calibri"/>
          <w:lang w:val="en-US"/>
        </w:rPr>
        <w:t xml:space="preserve">roughly from 1991 to 1998 and the focus is on the earnings related pension. The background and the principles are outlined and then an overview of the previous and the current system is given. Some technical details and a few topics of public debate are also presented. For an extensive description please see the </w:t>
      </w:r>
      <w:r w:rsidRPr="00055486">
        <w:rPr>
          <w:rFonts w:ascii="Calibri" w:hAnsi="Calibri" w:cs="Calibri"/>
          <w:i/>
          <w:lang w:val="en-US"/>
        </w:rPr>
        <w:t>Annual Report of the Swedish Pension System</w:t>
      </w:r>
      <w:r w:rsidR="00142EEF" w:rsidRPr="00055486">
        <w:rPr>
          <w:rFonts w:ascii="Calibri" w:hAnsi="Calibri" w:cs="Calibri"/>
          <w:i/>
          <w:lang w:val="en-US"/>
        </w:rPr>
        <w:t xml:space="preserve"> </w:t>
      </w:r>
      <w:r w:rsidR="00142EEF" w:rsidRPr="00055486">
        <w:rPr>
          <w:rFonts w:ascii="Calibri" w:hAnsi="Calibri" w:cs="Calibri"/>
          <w:lang w:val="en-US"/>
        </w:rPr>
        <w:t>[1]</w:t>
      </w:r>
      <w:r w:rsidRPr="00055486">
        <w:rPr>
          <w:rFonts w:ascii="Calibri" w:hAnsi="Calibri" w:cs="Calibri"/>
          <w:lang w:val="en-US"/>
        </w:rPr>
        <w:t xml:space="preserve"> where th</w:t>
      </w:r>
      <w:r w:rsidR="001844FA" w:rsidRPr="00055486">
        <w:rPr>
          <w:rFonts w:ascii="Calibri" w:hAnsi="Calibri" w:cs="Calibri"/>
          <w:lang w:val="en-US"/>
        </w:rPr>
        <w:t xml:space="preserve">e technical details are given. </w:t>
      </w:r>
    </w:p>
    <w:p w:rsidR="003320DF" w:rsidRPr="00055486" w:rsidRDefault="003320DF" w:rsidP="00055486">
      <w:pPr>
        <w:jc w:val="both"/>
        <w:rPr>
          <w:rFonts w:ascii="Calibri" w:hAnsi="Calibri" w:cs="Calibri"/>
          <w:lang w:val="en-US"/>
        </w:rPr>
      </w:pPr>
      <w:r w:rsidRPr="00055486">
        <w:rPr>
          <w:rFonts w:ascii="Calibri" w:hAnsi="Calibri" w:cs="Calibri"/>
          <w:lang w:val="en-US"/>
        </w:rPr>
        <w:t>Tax levels and occupational pension schemes obviously affect the individual’s pension, this is however separated from the national public pension system and will not be covered in this report. The tax levels has been changed several times since the introduction of the new pension system. Before the reform</w:t>
      </w:r>
      <w:r w:rsidR="00343649" w:rsidRPr="00055486">
        <w:rPr>
          <w:rFonts w:ascii="Calibri" w:hAnsi="Calibri" w:cs="Calibri"/>
          <w:lang w:val="en-US"/>
        </w:rPr>
        <w:t xml:space="preserve"> pension was taxed at a lower rate than wage earnings</w:t>
      </w:r>
      <w:r w:rsidRPr="00055486">
        <w:rPr>
          <w:rFonts w:ascii="Calibri" w:hAnsi="Calibri" w:cs="Calibri"/>
          <w:lang w:val="en-US"/>
        </w:rPr>
        <w:t xml:space="preserve">, the reform aimed at and achieved for a short period to have the same tax scale for wage earnings as pensions. Now the situation is somewhat complex </w:t>
      </w:r>
      <w:r w:rsidR="002B4BB6" w:rsidRPr="00055486">
        <w:rPr>
          <w:rFonts w:ascii="Calibri" w:hAnsi="Calibri" w:cs="Calibri"/>
          <w:lang w:val="en-US"/>
        </w:rPr>
        <w:t>–</w:t>
      </w:r>
      <w:r w:rsidRPr="00055486">
        <w:rPr>
          <w:rFonts w:ascii="Calibri" w:hAnsi="Calibri" w:cs="Calibri"/>
          <w:lang w:val="en-US"/>
        </w:rPr>
        <w:t xml:space="preserve"> </w:t>
      </w:r>
      <w:r w:rsidR="002B4BB6" w:rsidRPr="00055486">
        <w:rPr>
          <w:rFonts w:ascii="Calibri" w:hAnsi="Calibri" w:cs="Calibri"/>
          <w:lang w:val="en-US"/>
        </w:rPr>
        <w:t>low pensions are less taxed than equally low wage earnings. Normal and higher pensions are taxed at a higher rate than equally high wage earnings.</w:t>
      </w:r>
      <w:r w:rsidRPr="00055486">
        <w:rPr>
          <w:rFonts w:ascii="Calibri" w:hAnsi="Calibri" w:cs="Calibri"/>
          <w:lang w:val="en-US"/>
        </w:rPr>
        <w:t> Occupational schemes are adapted</w:t>
      </w:r>
      <w:r w:rsidR="00AB399E" w:rsidRPr="00055486">
        <w:rPr>
          <w:rFonts w:ascii="Calibri" w:hAnsi="Calibri" w:cs="Calibri"/>
          <w:lang w:val="en-US"/>
        </w:rPr>
        <w:t>, by the social partner,</w:t>
      </w:r>
      <w:r w:rsidRPr="00055486">
        <w:rPr>
          <w:rFonts w:ascii="Calibri" w:hAnsi="Calibri" w:cs="Calibri"/>
          <w:lang w:val="en-US"/>
        </w:rPr>
        <w:t xml:space="preserve"> to the national pension system in that the contribution rate is set in relation to the contribution ceiling where in general a larger contribution is paid for incomes above the ceiling. For high income earners the occupational pension can be the larger part of the total pension.   </w:t>
      </w:r>
    </w:p>
    <w:p w:rsidR="003320DF" w:rsidRPr="00055486" w:rsidRDefault="003320DF" w:rsidP="00055486">
      <w:pPr>
        <w:jc w:val="both"/>
        <w:rPr>
          <w:rFonts w:ascii="Calibri" w:hAnsi="Calibri" w:cs="Calibri"/>
          <w:lang w:val="en-US"/>
        </w:rPr>
      </w:pPr>
      <w:r w:rsidRPr="00055486">
        <w:rPr>
          <w:rFonts w:ascii="Calibri" w:hAnsi="Calibri" w:cs="Calibri"/>
          <w:lang w:val="en-US"/>
        </w:rPr>
        <w:br w:type="page"/>
      </w:r>
    </w:p>
    <w:p w:rsidR="003320DF" w:rsidRDefault="003320DF" w:rsidP="003320DF">
      <w:pPr>
        <w:pStyle w:val="Titre1"/>
        <w:rPr>
          <w:lang w:val="en-US"/>
        </w:rPr>
      </w:pPr>
      <w:bookmarkStart w:id="2" w:name="_Toc477454857"/>
      <w:bookmarkStart w:id="3" w:name="_Toc479064199"/>
      <w:r w:rsidRPr="000E40B7">
        <w:rPr>
          <w:lang w:val="en-US"/>
        </w:rPr>
        <w:t>Background</w:t>
      </w:r>
      <w:bookmarkEnd w:id="2"/>
      <w:bookmarkEnd w:id="3"/>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 1960 the </w:t>
      </w:r>
      <w:r w:rsidRPr="00055486">
        <w:rPr>
          <w:rFonts w:ascii="Calibri" w:hAnsi="Calibri" w:cs="Calibri"/>
          <w:i/>
          <w:lang w:val="en-US"/>
        </w:rPr>
        <w:t xml:space="preserve">ATP system, </w:t>
      </w:r>
      <w:r w:rsidRPr="00055486">
        <w:rPr>
          <w:rFonts w:ascii="Calibri" w:hAnsi="Calibri" w:cs="Calibri"/>
          <w:lang w:val="en-US"/>
        </w:rPr>
        <w:t>a</w:t>
      </w:r>
      <w:r w:rsidRPr="00055486">
        <w:rPr>
          <w:rFonts w:ascii="Calibri" w:hAnsi="Calibri" w:cs="Calibri"/>
          <w:i/>
          <w:lang w:val="en-US"/>
        </w:rPr>
        <w:t xml:space="preserve"> defined benefit pay-as-you-go</w:t>
      </w:r>
      <w:r w:rsidRPr="00055486">
        <w:rPr>
          <w:rFonts w:ascii="Calibri" w:hAnsi="Calibri" w:cs="Calibri"/>
          <w:lang w:val="en-US"/>
        </w:rPr>
        <w:t xml:space="preserve"> supplementary pension system, was implemented. In the early 1990s the deep recession resulted in that the savings rate fell to its lowest level since post World War II.  Short-term variations between pension disbursements and contribution was however not considered as the threat of the long-term financial stability of the pension system. Temporary deficits between contributions and pension disbursements could be financed through the pension buffer fund. The instability of the pension system arose from the weak link between benefits to long-term changes in the growth rate of the economy.</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The pension expenses</w:t>
      </w:r>
      <w:r w:rsidR="00382357" w:rsidRPr="00055486">
        <w:rPr>
          <w:rFonts w:ascii="Calibri" w:hAnsi="Calibri" w:cs="Calibri"/>
          <w:lang w:val="en-US"/>
        </w:rPr>
        <w:t xml:space="preserve"> were</w:t>
      </w:r>
      <w:r w:rsidRPr="00055486">
        <w:rPr>
          <w:rFonts w:ascii="Calibri" w:hAnsi="Calibri" w:cs="Calibri"/>
          <w:lang w:val="en-US"/>
        </w:rPr>
        <w:t xml:space="preserve"> expected to rise by 2 percent per year in real terms under the coming decades and largely independently by the growth rate of the contribution base. Consequently, the savings rate in the national pension system would be highly dependent on the growth rate of the contributions. </w:t>
      </w:r>
      <w:r w:rsidR="00382357" w:rsidRPr="00055486">
        <w:rPr>
          <w:rFonts w:ascii="Calibri" w:hAnsi="Calibri" w:cs="Calibri"/>
          <w:lang w:val="en-US"/>
        </w:rPr>
        <w:t>Projections</w:t>
      </w:r>
      <w:r w:rsidRPr="00055486">
        <w:rPr>
          <w:rFonts w:ascii="Calibri" w:hAnsi="Calibri" w:cs="Calibri"/>
          <w:lang w:val="en-US"/>
        </w:rPr>
        <w:t xml:space="preserve"> at that time (in 1993) showed that with unaltered contribution rate the savings rate would soon be negative, the pension buffer fund would shrink and eventually deplete</w:t>
      </w:r>
      <w:r w:rsidR="00142EEF" w:rsidRPr="00055486">
        <w:rPr>
          <w:rFonts w:ascii="Calibri" w:hAnsi="Calibri" w:cs="Calibri"/>
          <w:lang w:val="en-US"/>
        </w:rPr>
        <w:t xml:space="preserve"> [2]</w:t>
      </w:r>
      <w:r w:rsidRPr="00055486">
        <w:rPr>
          <w:rFonts w:ascii="Calibri" w:hAnsi="Calibri" w:cs="Calibri"/>
          <w:lang w:val="en-US"/>
        </w:rPr>
        <w:t>.</w:t>
      </w:r>
      <w:r w:rsidR="00142EEF" w:rsidRPr="00055486">
        <w:rPr>
          <w:rFonts w:ascii="Calibri" w:hAnsi="Calibri" w:cs="Calibri"/>
          <w:lang w:val="en-US"/>
        </w:rPr>
        <w:t xml:space="preserve">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The government’s proposal was to conduct an in-depth reform of the national pension system. The aim of which to make it more adaptable to changes in economic growth rate as well as demographics. Another goal was to achieve a closer link between contributions paid and benefits received from an individual’s perspective.</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It was considered that a preservation of the current pension scheme would in the future result in drastic changes with retroactive effects. Limiting the reform to minor changes would mean that the problems to a great extent would remain. The </w:t>
      </w:r>
      <w:r w:rsidR="00382357" w:rsidRPr="00055486">
        <w:rPr>
          <w:rFonts w:ascii="Calibri" w:hAnsi="Calibri" w:cs="Calibri"/>
          <w:lang w:val="en-US"/>
        </w:rPr>
        <w:t xml:space="preserve">new </w:t>
      </w:r>
      <w:r w:rsidRPr="00055486">
        <w:rPr>
          <w:rFonts w:ascii="Calibri" w:hAnsi="Calibri" w:cs="Calibri"/>
          <w:lang w:val="en-US"/>
        </w:rPr>
        <w:t>rules of the system was</w:t>
      </w:r>
      <w:r w:rsidR="00382357" w:rsidRPr="00055486">
        <w:rPr>
          <w:rFonts w:ascii="Calibri" w:hAnsi="Calibri" w:cs="Calibri"/>
          <w:lang w:val="en-US"/>
        </w:rPr>
        <w:t xml:space="preserve"> intended</w:t>
      </w:r>
      <w:r w:rsidRPr="00055486">
        <w:rPr>
          <w:rFonts w:ascii="Calibri" w:hAnsi="Calibri" w:cs="Calibri"/>
          <w:lang w:val="en-US"/>
        </w:rPr>
        <w:t xml:space="preserve"> to be as stable as possible.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 1991 a Commission was set up and in 1992 a draft of a new pension plan was presented. In 1994, the </w:t>
      </w:r>
      <w:r w:rsidRPr="00055486">
        <w:rPr>
          <w:rFonts w:ascii="Calibri" w:hAnsi="Calibri" w:cs="Calibri"/>
          <w:i/>
          <w:lang w:val="en-US"/>
        </w:rPr>
        <w:t>Riksdag</w:t>
      </w:r>
      <w:r w:rsidRPr="00055486">
        <w:rPr>
          <w:rFonts w:ascii="Calibri" w:hAnsi="Calibri" w:cs="Calibri"/>
          <w:lang w:val="en-US"/>
        </w:rPr>
        <w:t xml:space="preserve"> (Parliament) adopted the fundamental principles of the new pension plan. The main legislation of the system passed </w:t>
      </w:r>
      <w:r w:rsidRPr="00055486">
        <w:rPr>
          <w:rFonts w:ascii="Calibri" w:hAnsi="Calibri" w:cs="Calibri"/>
          <w:i/>
          <w:lang w:val="en-US"/>
        </w:rPr>
        <w:t>Riksdag</w:t>
      </w:r>
      <w:r w:rsidRPr="00055486">
        <w:rPr>
          <w:rFonts w:ascii="Calibri" w:hAnsi="Calibri" w:cs="Calibri"/>
          <w:lang w:val="en-US"/>
        </w:rPr>
        <w:t xml:space="preserve"> in 1998 and in the 21</w:t>
      </w:r>
      <w:r w:rsidRPr="00055486">
        <w:rPr>
          <w:rFonts w:ascii="Calibri" w:hAnsi="Calibri" w:cs="Calibri"/>
          <w:vertAlign w:val="superscript"/>
          <w:lang w:val="en-US"/>
        </w:rPr>
        <w:t>st</w:t>
      </w:r>
      <w:r w:rsidRPr="00055486">
        <w:rPr>
          <w:rFonts w:ascii="Calibri" w:hAnsi="Calibri" w:cs="Calibri"/>
          <w:lang w:val="en-US"/>
        </w:rPr>
        <w:t xml:space="preserve"> century the first pension disbursements from the new system were made. </w:t>
      </w:r>
    </w:p>
    <w:p w:rsidR="003320DF" w:rsidRDefault="003320DF" w:rsidP="003320DF">
      <w:pPr>
        <w:rPr>
          <w:lang w:val="en-US"/>
        </w:rPr>
      </w:pPr>
    </w:p>
    <w:p w:rsidR="003320DF" w:rsidRPr="00F3147E" w:rsidRDefault="003320DF" w:rsidP="003320DF">
      <w:pPr>
        <w:rPr>
          <w:rFonts w:ascii="Verdana" w:hAnsi="Verdana"/>
          <w:szCs w:val="24"/>
          <w:lang w:val="en-US"/>
        </w:rPr>
      </w:pPr>
      <w:r w:rsidRPr="00F3147E">
        <w:rPr>
          <w:lang w:val="en-US"/>
        </w:rPr>
        <w:br w:type="page"/>
      </w:r>
    </w:p>
    <w:p w:rsidR="003320DF" w:rsidRDefault="003320DF" w:rsidP="003320DF">
      <w:pPr>
        <w:pStyle w:val="Titre1"/>
        <w:rPr>
          <w:lang w:val="en-US"/>
        </w:rPr>
      </w:pPr>
      <w:bookmarkStart w:id="4" w:name="_Toc477454858"/>
      <w:bookmarkStart w:id="5" w:name="_Toc479064200"/>
      <w:r>
        <w:rPr>
          <w:lang w:val="en-US"/>
        </w:rPr>
        <w:t>Principles of the Reform</w:t>
      </w:r>
      <w:bookmarkEnd w:id="4"/>
      <w:bookmarkEnd w:id="5"/>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This section and the opinions stated are those of the bill decided on by the </w:t>
      </w:r>
      <w:r w:rsidRPr="00055486">
        <w:rPr>
          <w:rFonts w:ascii="Calibri" w:hAnsi="Calibri" w:cs="Calibri"/>
          <w:i/>
          <w:lang w:val="en-US"/>
        </w:rPr>
        <w:t>Riksdag</w:t>
      </w:r>
      <w:r w:rsidRPr="00055486">
        <w:rPr>
          <w:rFonts w:ascii="Calibri" w:hAnsi="Calibri" w:cs="Calibri"/>
          <w:lang w:val="en-US"/>
        </w:rPr>
        <w:t xml:space="preserve"> in 1994. The bill </w:t>
      </w:r>
      <w:proofErr w:type="gramStart"/>
      <w:r w:rsidRPr="00055486">
        <w:rPr>
          <w:rFonts w:ascii="Calibri" w:hAnsi="Calibri" w:cs="Calibri"/>
          <w:i/>
          <w:lang w:val="en-US"/>
        </w:rPr>
        <w:t>Reforming</w:t>
      </w:r>
      <w:proofErr w:type="gramEnd"/>
      <w:r w:rsidRPr="00055486">
        <w:rPr>
          <w:rFonts w:ascii="Calibri" w:hAnsi="Calibri" w:cs="Calibri"/>
          <w:i/>
          <w:lang w:val="en-US"/>
        </w:rPr>
        <w:t xml:space="preserve"> the National Pension System</w:t>
      </w:r>
      <w:r w:rsidRPr="00055486">
        <w:rPr>
          <w:rFonts w:ascii="Calibri" w:hAnsi="Calibri" w:cs="Calibri"/>
          <w:lang w:val="en-US"/>
        </w:rPr>
        <w:t xml:space="preserve"> (Proposition 1993/94:250)</w:t>
      </w:r>
      <w:r w:rsidR="00142EEF" w:rsidRPr="00055486">
        <w:rPr>
          <w:rFonts w:ascii="Calibri" w:hAnsi="Calibri" w:cs="Calibri"/>
          <w:lang w:val="en-US"/>
        </w:rPr>
        <w:t xml:space="preserve"> [2]</w:t>
      </w:r>
      <w:r w:rsidRPr="00055486">
        <w:rPr>
          <w:rFonts w:ascii="Calibri" w:hAnsi="Calibri" w:cs="Calibri"/>
          <w:lang w:val="en-US"/>
        </w:rPr>
        <w:t xml:space="preserve"> contains the essential features of the new national public pension system and the year 1994 became a milestone of the reform.</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The government proposed that a national mandatory pension system would continue to be the foundation of the individual</w:t>
      </w:r>
      <w:r w:rsidR="004E503B" w:rsidRPr="00055486">
        <w:rPr>
          <w:rFonts w:ascii="Calibri" w:hAnsi="Calibri" w:cs="Calibri"/>
          <w:lang w:val="en-US"/>
        </w:rPr>
        <w:t>’</w:t>
      </w:r>
      <w:r w:rsidRPr="00055486">
        <w:rPr>
          <w:rFonts w:ascii="Calibri" w:hAnsi="Calibri" w:cs="Calibri"/>
          <w:lang w:val="en-US"/>
        </w:rPr>
        <w:t>s pension. By reasons of effectivity and the inability of some to properly save for themselves, a mandatory system would be the best option. The national public pension should continue to contain an economic protection for those who have had low or no incomes.</w:t>
      </w:r>
    </w:p>
    <w:p w:rsidR="003320DF" w:rsidRPr="00055486" w:rsidRDefault="003320DF" w:rsidP="00055486">
      <w:pPr>
        <w:pStyle w:val="Corpsdetexte"/>
        <w:jc w:val="both"/>
        <w:rPr>
          <w:rFonts w:ascii="Calibri" w:hAnsi="Calibri" w:cs="Calibri"/>
          <w:color w:val="FF0000"/>
          <w:lang w:val="en-US"/>
        </w:rPr>
      </w:pPr>
      <w:r w:rsidRPr="00055486">
        <w:rPr>
          <w:rFonts w:ascii="Calibri" w:hAnsi="Calibri" w:cs="Calibri"/>
          <w:lang w:val="en-US"/>
        </w:rPr>
        <w:t>The reform should focus on the younger generations, retired and soon to be retired should not be affected. For the in-between generations the transition should be smooth. The youth should know the conditions that will be applicable for them.</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Insurance risk of old age pension namely longevity is of a different sort than that of early retirement. Administration and control necessary for early retirement was also considered greater. The old age pension would therefore be more suitable for actuarial principles and the reform should strive for the creation of an independent old age pension system of which recurring decisions would not be necessary.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The old age pension should be a separate branch financed in full by a specially designed contribution rate. Elements of redistribution should be explicit and financed continually</w:t>
      </w:r>
      <w:r w:rsidR="006310EA" w:rsidRPr="00055486">
        <w:rPr>
          <w:rFonts w:ascii="Calibri" w:hAnsi="Calibri" w:cs="Calibri"/>
          <w:lang w:val="en-US"/>
        </w:rPr>
        <w:t xml:space="preserve">, as </w:t>
      </w:r>
      <w:r w:rsidR="006310EA" w:rsidRPr="00055486">
        <w:rPr>
          <w:rFonts w:ascii="Calibri" w:hAnsi="Calibri" w:cs="Calibri"/>
          <w:i/>
          <w:lang w:val="en-US"/>
        </w:rPr>
        <w:t>pension credit</w:t>
      </w:r>
      <w:r w:rsidR="006310EA" w:rsidRPr="00055486">
        <w:rPr>
          <w:rFonts w:ascii="Calibri" w:hAnsi="Calibri" w:cs="Calibri"/>
          <w:lang w:val="en-US"/>
        </w:rPr>
        <w:t xml:space="preserve"> accrued,</w:t>
      </w:r>
      <w:r w:rsidRPr="00055486">
        <w:rPr>
          <w:rFonts w:ascii="Calibri" w:hAnsi="Calibri" w:cs="Calibri"/>
          <w:lang w:val="en-US"/>
        </w:rPr>
        <w:t> by contributions from the central government budget.</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government found it neither possible nor desired to reform the pension system to a fully funded scheme. Advantages with a funded system in the sense of an increased savings rate on an individual basis rather than a further growth of the pension buffer fund were put forward. The reformed pension system should largely be </w:t>
      </w:r>
      <w:r w:rsidRPr="00055486">
        <w:rPr>
          <w:rFonts w:ascii="Calibri" w:hAnsi="Calibri" w:cs="Calibri"/>
          <w:i/>
          <w:lang w:val="en-US"/>
        </w:rPr>
        <w:t>a pay as you go</w:t>
      </w:r>
      <w:r w:rsidRPr="00055486">
        <w:rPr>
          <w:rFonts w:ascii="Calibri" w:hAnsi="Calibri" w:cs="Calibri"/>
          <w:lang w:val="en-US"/>
        </w:rPr>
        <w:t xml:space="preserve"> system with a complement of individual premium reserves.</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Another argument was the spreading of risks; the new system would be affected of the economic growth rate as well as the development of the financial market.</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According to the </w:t>
      </w:r>
      <w:r w:rsidRPr="00055486">
        <w:rPr>
          <w:rFonts w:ascii="Calibri" w:hAnsi="Calibri" w:cs="Calibri"/>
          <w:i/>
          <w:lang w:val="en-US"/>
        </w:rPr>
        <w:t>life income principle</w:t>
      </w:r>
      <w:r w:rsidRPr="00055486">
        <w:rPr>
          <w:rFonts w:ascii="Calibri" w:hAnsi="Calibri" w:cs="Calibri"/>
          <w:lang w:val="en-US"/>
        </w:rPr>
        <w:t xml:space="preserve"> of the reformed pension system all incomes below a certain ceiling should carry the same weight no matter when it was earned. For administrative reasons however it is unavoidable to have a certain income threshold for earning </w:t>
      </w:r>
      <w:r w:rsidRPr="00055486">
        <w:rPr>
          <w:rFonts w:ascii="Calibri" w:hAnsi="Calibri" w:cs="Calibri"/>
          <w:i/>
          <w:lang w:val="en-US"/>
        </w:rPr>
        <w:t>pension credit</w:t>
      </w:r>
      <w:r w:rsidRPr="00055486">
        <w:rPr>
          <w:rFonts w:ascii="Calibri" w:hAnsi="Calibri" w:cs="Calibri"/>
          <w:lang w:val="en-US"/>
        </w:rPr>
        <w:t xml:space="preserve">. There should not be an upper age bound for earning </w:t>
      </w:r>
      <w:r w:rsidRPr="00055486">
        <w:rPr>
          <w:rFonts w:ascii="Calibri" w:hAnsi="Calibri" w:cs="Calibri"/>
          <w:i/>
          <w:lang w:val="en-US"/>
        </w:rPr>
        <w:t>pension credit</w:t>
      </w:r>
      <w:r w:rsidRPr="00055486">
        <w:rPr>
          <w:rFonts w:ascii="Calibri" w:hAnsi="Calibri" w:cs="Calibri"/>
          <w:lang w:val="en-US"/>
        </w:rPr>
        <w:t>.</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 the </w:t>
      </w:r>
      <w:r w:rsidRPr="00055486">
        <w:rPr>
          <w:rFonts w:ascii="Calibri" w:hAnsi="Calibri" w:cs="Calibri"/>
          <w:i/>
          <w:lang w:val="en-US"/>
        </w:rPr>
        <w:t>life income principle</w:t>
      </w:r>
      <w:r w:rsidRPr="00055486">
        <w:rPr>
          <w:rFonts w:ascii="Calibri" w:hAnsi="Calibri" w:cs="Calibri"/>
          <w:lang w:val="en-US"/>
        </w:rPr>
        <w:t xml:space="preserve"> proposed </w:t>
      </w:r>
      <w:r w:rsidRPr="00055486">
        <w:rPr>
          <w:rFonts w:ascii="Calibri" w:hAnsi="Calibri" w:cs="Calibri"/>
          <w:i/>
          <w:lang w:val="en-US"/>
        </w:rPr>
        <w:t>pension credit</w:t>
      </w:r>
      <w:r w:rsidRPr="00055486">
        <w:rPr>
          <w:rFonts w:ascii="Calibri" w:hAnsi="Calibri" w:cs="Calibri"/>
          <w:lang w:val="en-US"/>
        </w:rPr>
        <w:t xml:space="preserve"> can be earned not only by gainful employment but also at times of sickness and parental leave as well as times of unemployment. It was however not considered a task for the pension system to compensate for the </w:t>
      </w:r>
      <w:r w:rsidR="00054010" w:rsidRPr="00055486">
        <w:rPr>
          <w:rFonts w:ascii="Calibri" w:hAnsi="Calibri" w:cs="Calibri"/>
          <w:lang w:val="en-US"/>
        </w:rPr>
        <w:t>income differences</w:t>
      </w:r>
      <w:r w:rsidRPr="00055486">
        <w:rPr>
          <w:rFonts w:ascii="Calibri" w:hAnsi="Calibri" w:cs="Calibri"/>
          <w:lang w:val="en-US"/>
        </w:rPr>
        <w:t xml:space="preserve"> in society.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accrued </w:t>
      </w:r>
      <w:r w:rsidRPr="00055486">
        <w:rPr>
          <w:rFonts w:ascii="Calibri" w:hAnsi="Calibri" w:cs="Calibri"/>
          <w:i/>
          <w:lang w:val="en-US"/>
        </w:rPr>
        <w:t>pension credit</w:t>
      </w:r>
      <w:r w:rsidRPr="00055486">
        <w:rPr>
          <w:rFonts w:ascii="Calibri" w:hAnsi="Calibri" w:cs="Calibri"/>
          <w:lang w:val="en-US"/>
        </w:rPr>
        <w:t xml:space="preserve"> should be indexed by the growth of the pensionable incomes. A pension system where benefits follow the general income development and not to a great extent be dependent of the rate of return of the financial market must be organized as a collective and mandatory scheme. </w:t>
      </w:r>
    </w:p>
    <w:p w:rsidR="003320DF" w:rsidRPr="00055486" w:rsidRDefault="003320DF" w:rsidP="00055486">
      <w:pPr>
        <w:jc w:val="both"/>
        <w:rPr>
          <w:rFonts w:ascii="Calibri" w:hAnsi="Calibri" w:cs="Calibri"/>
          <w:lang w:val="en-US"/>
        </w:rPr>
      </w:pPr>
      <w:r w:rsidRPr="00055486">
        <w:rPr>
          <w:rFonts w:ascii="Calibri" w:hAnsi="Calibri" w:cs="Calibri"/>
          <w:lang w:val="en-US"/>
        </w:rPr>
        <w:br w:type="page"/>
      </w:r>
    </w:p>
    <w:p w:rsidR="003320DF" w:rsidRDefault="003320DF" w:rsidP="003320DF">
      <w:pPr>
        <w:pStyle w:val="Titre1"/>
        <w:rPr>
          <w:lang w:val="en-US"/>
        </w:rPr>
      </w:pPr>
      <w:bookmarkStart w:id="6" w:name="_Toc477454859"/>
      <w:bookmarkStart w:id="7" w:name="_Toc479064201"/>
      <w:r>
        <w:rPr>
          <w:lang w:val="en-US"/>
        </w:rPr>
        <w:t>The Political Process</w:t>
      </w:r>
      <w:bookmarkEnd w:id="6"/>
      <w:bookmarkEnd w:id="7"/>
    </w:p>
    <w:p w:rsidR="003320DF" w:rsidRPr="00055486" w:rsidRDefault="003320DF" w:rsidP="00055486">
      <w:pPr>
        <w:jc w:val="both"/>
        <w:rPr>
          <w:rFonts w:ascii="Calibri" w:hAnsi="Calibri" w:cs="Calibri"/>
          <w:color w:val="FF0000"/>
          <w:lang w:val="en-US"/>
        </w:rPr>
      </w:pPr>
      <w:r w:rsidRPr="00055486">
        <w:rPr>
          <w:rFonts w:ascii="Calibri" w:hAnsi="Calibri" w:cs="Calibri"/>
          <w:lang w:val="en-US"/>
        </w:rPr>
        <w:t>The following is based on the experience of Bo Könberg who was Chairman of the parliament</w:t>
      </w:r>
      <w:r w:rsidR="00142EEF" w:rsidRPr="00055486">
        <w:rPr>
          <w:rFonts w:ascii="Calibri" w:hAnsi="Calibri" w:cs="Calibri"/>
          <w:lang w:val="en-US"/>
        </w:rPr>
        <w:t>ary Working Group on Pensions [3</w:t>
      </w:r>
      <w:r w:rsidRPr="00055486">
        <w:rPr>
          <w:rFonts w:ascii="Calibri" w:hAnsi="Calibri" w:cs="Calibri"/>
          <w:lang w:val="en-US"/>
        </w:rPr>
        <w:t xml:space="preserve">]. Könberg strived not to invite social partners and pensioner interest groups into the Pensions Working Group. Könberg had previous experience with tough negotiations where participants in the room were not actively engaged in the discussion but rather watching over different special interests. Another important element was to have few members from the political parties and have them appoint high profile politicians within their respective parties. </w:t>
      </w:r>
      <w:r w:rsidR="00D44425" w:rsidRPr="00055486">
        <w:rPr>
          <w:rFonts w:ascii="Calibri" w:hAnsi="Calibri" w:cs="Calibri"/>
          <w:lang w:val="en-US"/>
        </w:rPr>
        <w:t>Within the group Könberg strived to achieve an open discussion.</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actual people involved in the process was according to Könberg very important for the success of the reform. An important external factor was the financial crisis of the 90s in Sweden, which probably led to the </w:t>
      </w:r>
      <w:r w:rsidR="002B0A37" w:rsidRPr="00055486">
        <w:rPr>
          <w:rFonts w:ascii="Calibri" w:hAnsi="Calibri" w:cs="Calibri"/>
          <w:lang w:val="en-US"/>
        </w:rPr>
        <w:t xml:space="preserve">political </w:t>
      </w:r>
      <w:r w:rsidRPr="00055486">
        <w:rPr>
          <w:rFonts w:ascii="Calibri" w:hAnsi="Calibri" w:cs="Calibri"/>
          <w:lang w:val="en-US"/>
        </w:rPr>
        <w:t xml:space="preserve">ability of making tough decisions.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hardest issues in the process was the </w:t>
      </w:r>
      <w:r w:rsidR="002B0A37" w:rsidRPr="00055486">
        <w:rPr>
          <w:rFonts w:ascii="Calibri" w:hAnsi="Calibri" w:cs="Calibri"/>
          <w:lang w:val="en-US"/>
        </w:rPr>
        <w:t>issue of introducing a</w:t>
      </w:r>
      <w:r w:rsidRPr="00055486">
        <w:rPr>
          <w:rFonts w:ascii="Calibri" w:hAnsi="Calibri" w:cs="Calibri"/>
          <w:lang w:val="en-US"/>
        </w:rPr>
        <w:t xml:space="preserve"> funded part (</w:t>
      </w:r>
      <w:r w:rsidRPr="00055486">
        <w:rPr>
          <w:rFonts w:ascii="Calibri" w:hAnsi="Calibri" w:cs="Calibri"/>
          <w:i/>
          <w:lang w:val="en-US"/>
        </w:rPr>
        <w:t>premium pension</w:t>
      </w:r>
      <w:r w:rsidRPr="00055486">
        <w:rPr>
          <w:rFonts w:ascii="Calibri" w:hAnsi="Calibri" w:cs="Calibri"/>
          <w:lang w:val="en-US"/>
        </w:rPr>
        <w:t xml:space="preserve">) and the contributions above the contribution ceiling. </w:t>
      </w:r>
    </w:p>
    <w:p w:rsidR="003320DF" w:rsidRPr="00055486" w:rsidRDefault="003320DF" w:rsidP="00055486">
      <w:pPr>
        <w:jc w:val="both"/>
        <w:rPr>
          <w:rFonts w:ascii="Calibri" w:hAnsi="Calibri" w:cs="Calibri"/>
          <w:lang w:val="en-US"/>
        </w:rPr>
      </w:pPr>
    </w:p>
    <w:p w:rsidR="003320DF" w:rsidRPr="0056466B" w:rsidRDefault="003320DF" w:rsidP="003320DF">
      <w:pPr>
        <w:rPr>
          <w:lang w:val="en-US"/>
        </w:rPr>
      </w:pPr>
    </w:p>
    <w:p w:rsidR="003320DF" w:rsidRPr="00E44549" w:rsidRDefault="003320DF" w:rsidP="003320DF">
      <w:pPr>
        <w:rPr>
          <w:rFonts w:ascii="Verdana" w:hAnsi="Verdana"/>
          <w:szCs w:val="24"/>
          <w:lang w:val="en-US"/>
        </w:rPr>
      </w:pPr>
      <w:r w:rsidRPr="0056466B">
        <w:rPr>
          <w:lang w:val="en-US"/>
        </w:rPr>
        <w:br w:type="page"/>
      </w:r>
    </w:p>
    <w:p w:rsidR="003320DF" w:rsidRDefault="003320DF" w:rsidP="003320DF">
      <w:pPr>
        <w:pStyle w:val="Titre1"/>
        <w:rPr>
          <w:lang w:val="en-US"/>
        </w:rPr>
      </w:pPr>
      <w:bookmarkStart w:id="8" w:name="_Toc477454860"/>
      <w:bookmarkStart w:id="9" w:name="_Toc479064202"/>
      <w:r>
        <w:rPr>
          <w:lang w:val="en-US"/>
        </w:rPr>
        <w:t>The Old System</w:t>
      </w:r>
      <w:bookmarkEnd w:id="8"/>
      <w:bookmarkEnd w:id="9"/>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pension system </w:t>
      </w:r>
      <w:r w:rsidR="00FD2D99" w:rsidRPr="00055486">
        <w:rPr>
          <w:rFonts w:ascii="Calibri" w:hAnsi="Calibri" w:cs="Calibri"/>
          <w:lang w:val="en-US"/>
        </w:rPr>
        <w:t xml:space="preserve">now </w:t>
      </w:r>
      <w:r w:rsidRPr="00055486">
        <w:rPr>
          <w:rFonts w:ascii="Calibri" w:hAnsi="Calibri" w:cs="Calibri"/>
          <w:lang w:val="en-US"/>
        </w:rPr>
        <w:t>phased out consisted of two main parts; a universal minimum pension (</w:t>
      </w:r>
      <w:r w:rsidRPr="00055486">
        <w:rPr>
          <w:rFonts w:ascii="Calibri" w:hAnsi="Calibri" w:cs="Calibri"/>
          <w:i/>
          <w:lang w:val="en-US"/>
        </w:rPr>
        <w:t>folkpension</w:t>
      </w:r>
      <w:r w:rsidRPr="00055486">
        <w:rPr>
          <w:rFonts w:ascii="Calibri" w:hAnsi="Calibri" w:cs="Calibri"/>
          <w:lang w:val="en-US"/>
        </w:rPr>
        <w:t xml:space="preserve">) and a </w:t>
      </w:r>
      <w:r w:rsidRPr="00055486">
        <w:rPr>
          <w:rFonts w:ascii="Calibri" w:hAnsi="Calibri" w:cs="Calibri"/>
          <w:i/>
          <w:lang w:val="en-US"/>
        </w:rPr>
        <w:t>general supplementary pension</w:t>
      </w:r>
      <w:r w:rsidRPr="00055486">
        <w:rPr>
          <w:rFonts w:ascii="Calibri" w:hAnsi="Calibri" w:cs="Calibri"/>
          <w:lang w:val="en-US"/>
        </w:rPr>
        <w:t xml:space="preserve"> (</w:t>
      </w:r>
      <w:r w:rsidRPr="00055486">
        <w:rPr>
          <w:rFonts w:ascii="Calibri" w:hAnsi="Calibri" w:cs="Calibri"/>
          <w:i/>
          <w:lang w:val="en-US"/>
        </w:rPr>
        <w:t>ATP</w:t>
      </w:r>
      <w:r w:rsidRPr="00055486">
        <w:rPr>
          <w:rFonts w:ascii="Calibri" w:hAnsi="Calibri" w:cs="Calibri"/>
          <w:lang w:val="en-US"/>
        </w:rPr>
        <w:t xml:space="preserve">). The two systems combined are also referred to as the </w:t>
      </w:r>
      <w:r w:rsidRPr="00055486">
        <w:rPr>
          <w:rFonts w:ascii="Calibri" w:hAnsi="Calibri" w:cs="Calibri"/>
          <w:i/>
          <w:lang w:val="en-US"/>
        </w:rPr>
        <w:t>ATP system</w:t>
      </w:r>
      <w:r w:rsidRPr="00055486">
        <w:rPr>
          <w:rFonts w:ascii="Calibri" w:hAnsi="Calibri" w:cs="Calibri"/>
          <w:lang w:val="en-US"/>
        </w:rPr>
        <w:t xml:space="preserve"> (or </w:t>
      </w:r>
      <w:r w:rsidRPr="00055486">
        <w:rPr>
          <w:rFonts w:ascii="Calibri" w:hAnsi="Calibri" w:cs="Calibri"/>
          <w:i/>
          <w:lang w:val="en-US"/>
        </w:rPr>
        <w:t>supplementary pension</w:t>
      </w:r>
      <w:r w:rsidRPr="00055486">
        <w:rPr>
          <w:rFonts w:ascii="Calibri" w:hAnsi="Calibri" w:cs="Calibri"/>
          <w:lang w:val="en-US"/>
        </w:rPr>
        <w:t xml:space="preserve">), which </w:t>
      </w:r>
      <w:r w:rsidR="00FD2D99" w:rsidRPr="00055486">
        <w:rPr>
          <w:rFonts w:ascii="Calibri" w:hAnsi="Calibri" w:cs="Calibri"/>
          <w:lang w:val="en-US"/>
        </w:rPr>
        <w:t>was</w:t>
      </w:r>
      <w:r w:rsidRPr="00055486">
        <w:rPr>
          <w:rFonts w:ascii="Calibri" w:hAnsi="Calibri" w:cs="Calibri"/>
          <w:lang w:val="en-US"/>
        </w:rPr>
        <w:t xml:space="preserve"> a </w:t>
      </w:r>
      <w:r w:rsidRPr="00055486">
        <w:rPr>
          <w:rFonts w:ascii="Calibri" w:hAnsi="Calibri" w:cs="Calibri"/>
          <w:i/>
          <w:lang w:val="en-US"/>
        </w:rPr>
        <w:t>DB</w:t>
      </w:r>
      <w:r w:rsidRPr="00055486">
        <w:rPr>
          <w:rFonts w:ascii="Calibri" w:hAnsi="Calibri" w:cs="Calibri"/>
          <w:lang w:val="en-US"/>
        </w:rPr>
        <w:t xml:space="preserve"> (</w:t>
      </w:r>
      <w:r w:rsidRPr="00055486">
        <w:rPr>
          <w:rFonts w:ascii="Calibri" w:hAnsi="Calibri" w:cs="Calibri"/>
          <w:i/>
          <w:lang w:val="en-US"/>
        </w:rPr>
        <w:t>defined benefit</w:t>
      </w:r>
      <w:r w:rsidRPr="00055486">
        <w:rPr>
          <w:rFonts w:ascii="Calibri" w:hAnsi="Calibri" w:cs="Calibri"/>
          <w:lang w:val="en-US"/>
        </w:rPr>
        <w:t xml:space="preserve">) scheme.  </w:t>
      </w:r>
      <w:r w:rsidRPr="00055486">
        <w:rPr>
          <w:rFonts w:ascii="Calibri" w:hAnsi="Calibri" w:cs="Calibri"/>
          <w:i/>
          <w:lang w:val="en-US"/>
        </w:rPr>
        <w:t>ATP pension</w:t>
      </w:r>
      <w:r w:rsidRPr="00055486">
        <w:rPr>
          <w:rFonts w:ascii="Calibri" w:hAnsi="Calibri" w:cs="Calibri"/>
          <w:lang w:val="en-US"/>
        </w:rPr>
        <w:t xml:space="preserve"> also included early retirement pension as well as survivor’s pension.</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foundation of benefits paid are </w:t>
      </w:r>
      <w:r w:rsidRPr="00055486">
        <w:rPr>
          <w:rFonts w:ascii="Calibri" w:hAnsi="Calibri" w:cs="Calibri"/>
          <w:i/>
          <w:lang w:val="en-US"/>
        </w:rPr>
        <w:t>pension points</w:t>
      </w:r>
      <w:r w:rsidRPr="00055486">
        <w:rPr>
          <w:rFonts w:ascii="Calibri" w:hAnsi="Calibri" w:cs="Calibri"/>
          <w:lang w:val="en-US"/>
        </w:rPr>
        <w:t xml:space="preserve">, which are determined annually as the </w:t>
      </w:r>
      <w:r w:rsidRPr="00055486">
        <w:rPr>
          <w:rFonts w:ascii="Calibri" w:hAnsi="Calibri" w:cs="Calibri"/>
          <w:i/>
          <w:lang w:val="en-US"/>
        </w:rPr>
        <w:t>pensionable income</w:t>
      </w:r>
      <w:r w:rsidRPr="00055486">
        <w:rPr>
          <w:rFonts w:ascii="Calibri" w:hAnsi="Calibri" w:cs="Calibri"/>
          <w:lang w:val="en-US"/>
        </w:rPr>
        <w:t xml:space="preserve"> reduced with the</w:t>
      </w:r>
      <w:r w:rsidRPr="00055486">
        <w:rPr>
          <w:rFonts w:ascii="Calibri" w:hAnsi="Calibri" w:cs="Calibri"/>
          <w:i/>
          <w:lang w:val="en-US"/>
        </w:rPr>
        <w:t xml:space="preserve"> higher price-related base amount</w:t>
      </w:r>
      <w:r w:rsidRPr="00055486">
        <w:rPr>
          <w:rFonts w:ascii="Calibri" w:hAnsi="Calibri" w:cs="Calibri"/>
          <w:lang w:val="en-US"/>
        </w:rPr>
        <w:t xml:space="preserve"> that is then divided by the </w:t>
      </w:r>
      <w:r w:rsidRPr="00055486">
        <w:rPr>
          <w:rFonts w:ascii="Calibri" w:hAnsi="Calibri" w:cs="Calibri"/>
          <w:i/>
          <w:lang w:val="en-US"/>
        </w:rPr>
        <w:t>higher price-related base amount.</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At the year the cohort reaches the age of 65 years, pension points can no longer be credited. In order to be credited a </w:t>
      </w:r>
      <w:r w:rsidRPr="00055486">
        <w:rPr>
          <w:rFonts w:ascii="Calibri" w:hAnsi="Calibri" w:cs="Calibri"/>
          <w:i/>
          <w:lang w:val="en-US"/>
        </w:rPr>
        <w:t>pension point</w:t>
      </w:r>
      <w:r w:rsidRPr="00055486">
        <w:rPr>
          <w:rFonts w:ascii="Calibri" w:hAnsi="Calibri" w:cs="Calibri"/>
          <w:lang w:val="en-US"/>
        </w:rPr>
        <w:t xml:space="preserve"> the </w:t>
      </w:r>
      <w:r w:rsidRPr="00055486">
        <w:rPr>
          <w:rFonts w:ascii="Calibri" w:hAnsi="Calibri" w:cs="Calibri"/>
          <w:i/>
          <w:lang w:val="en-US"/>
        </w:rPr>
        <w:t>pensionable income</w:t>
      </w:r>
      <w:r w:rsidRPr="00055486">
        <w:rPr>
          <w:rFonts w:ascii="Calibri" w:hAnsi="Calibri" w:cs="Calibri"/>
          <w:lang w:val="en-US"/>
        </w:rPr>
        <w:t xml:space="preserve"> must be greater than the </w:t>
      </w:r>
      <w:r w:rsidRPr="00055486">
        <w:rPr>
          <w:rFonts w:ascii="Calibri" w:hAnsi="Calibri" w:cs="Calibri"/>
          <w:i/>
          <w:lang w:val="en-US"/>
        </w:rPr>
        <w:t>higher price-related base amount</w:t>
      </w:r>
      <w:r w:rsidRPr="00055486">
        <w:rPr>
          <w:rFonts w:ascii="Calibri" w:hAnsi="Calibri" w:cs="Calibri"/>
          <w:lang w:val="en-US"/>
        </w:rPr>
        <w:t xml:space="preserve">. A full pension requires a record of 30 years of </w:t>
      </w:r>
      <w:r w:rsidRPr="00055486">
        <w:rPr>
          <w:rFonts w:ascii="Calibri" w:hAnsi="Calibri" w:cs="Calibri"/>
          <w:i/>
          <w:lang w:val="en-US"/>
        </w:rPr>
        <w:t>pension points</w:t>
      </w:r>
      <w:r w:rsidRPr="00055486">
        <w:rPr>
          <w:rFonts w:ascii="Calibri" w:hAnsi="Calibri" w:cs="Calibri"/>
          <w:lang w:val="en-US"/>
        </w:rPr>
        <w:t xml:space="preserve">. If a person has 28 years of </w:t>
      </w:r>
      <w:r w:rsidRPr="00055486">
        <w:rPr>
          <w:rFonts w:ascii="Calibri" w:hAnsi="Calibri" w:cs="Calibri"/>
          <w:i/>
          <w:lang w:val="en-US"/>
        </w:rPr>
        <w:t>pension points</w:t>
      </w:r>
      <w:r w:rsidRPr="00055486">
        <w:rPr>
          <w:rFonts w:ascii="Calibri" w:hAnsi="Calibri" w:cs="Calibri"/>
          <w:lang w:val="en-US"/>
        </w:rPr>
        <w:t xml:space="preserve"> the pension will be 28/30 of what it would have been if the person would have had 30 or more years.</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At the time of retirement which is (and was) flexible with the anticipated age of 65 years, earned </w:t>
      </w:r>
      <w:r w:rsidRPr="00055486">
        <w:rPr>
          <w:rFonts w:ascii="Calibri" w:hAnsi="Calibri" w:cs="Calibri"/>
          <w:i/>
          <w:lang w:val="en-US"/>
        </w:rPr>
        <w:t>pension points</w:t>
      </w:r>
      <w:r w:rsidRPr="00055486">
        <w:rPr>
          <w:rFonts w:ascii="Calibri" w:hAnsi="Calibri" w:cs="Calibri"/>
          <w:lang w:val="en-US"/>
        </w:rPr>
        <w:t xml:space="preserve"> are converted into a pension. The pension is determined as the average of </w:t>
      </w:r>
      <w:r w:rsidRPr="00055486">
        <w:rPr>
          <w:rFonts w:ascii="Calibri" w:hAnsi="Calibri" w:cs="Calibri"/>
          <w:i/>
          <w:lang w:val="en-US"/>
        </w:rPr>
        <w:t>pension points</w:t>
      </w:r>
      <w:r w:rsidRPr="00055486">
        <w:rPr>
          <w:rFonts w:ascii="Calibri" w:hAnsi="Calibri" w:cs="Calibri"/>
          <w:lang w:val="en-US"/>
        </w:rPr>
        <w:t xml:space="preserve"> for the best 15 years multiplied by 0.6 and the </w:t>
      </w:r>
      <w:r w:rsidRPr="00055486">
        <w:rPr>
          <w:rFonts w:ascii="Calibri" w:hAnsi="Calibri" w:cs="Calibri"/>
          <w:i/>
          <w:lang w:val="en-US"/>
        </w:rPr>
        <w:t>price-related base amount</w:t>
      </w:r>
      <w:r w:rsidRPr="00055486">
        <w:rPr>
          <w:rFonts w:ascii="Calibri" w:hAnsi="Calibri" w:cs="Calibri"/>
          <w:lang w:val="en-US"/>
        </w:rPr>
        <w:t xml:space="preserve"> of the current year. The </w:t>
      </w:r>
      <w:r w:rsidRPr="00055486">
        <w:rPr>
          <w:rFonts w:ascii="Calibri" w:hAnsi="Calibri" w:cs="Calibri"/>
          <w:i/>
          <w:lang w:val="en-US"/>
        </w:rPr>
        <w:t>folkpension</w:t>
      </w:r>
      <w:r w:rsidRPr="00055486">
        <w:rPr>
          <w:rFonts w:ascii="Calibri" w:hAnsi="Calibri" w:cs="Calibri"/>
          <w:lang w:val="en-US"/>
        </w:rPr>
        <w:t xml:space="preserve"> is then added as 96 percent of the </w:t>
      </w:r>
      <w:r w:rsidRPr="00055486">
        <w:rPr>
          <w:rFonts w:ascii="Calibri" w:hAnsi="Calibri" w:cs="Calibri"/>
          <w:i/>
          <w:lang w:val="en-US"/>
        </w:rPr>
        <w:t xml:space="preserve">price-related base amount </w:t>
      </w:r>
      <w:r w:rsidRPr="00055486">
        <w:rPr>
          <w:rFonts w:ascii="Calibri" w:hAnsi="Calibri" w:cs="Calibri"/>
          <w:lang w:val="en-US"/>
        </w:rPr>
        <w:t>for an unmarried and 78.5 percent for a married person.</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ATP system was financed through the central government budget but had </w:t>
      </w:r>
      <w:r w:rsidR="00FD2D99" w:rsidRPr="00055486">
        <w:rPr>
          <w:rFonts w:ascii="Calibri" w:hAnsi="Calibri" w:cs="Calibri"/>
          <w:lang w:val="en-US"/>
        </w:rPr>
        <w:t xml:space="preserve">substantial </w:t>
      </w:r>
      <w:r w:rsidRPr="00055486">
        <w:rPr>
          <w:rFonts w:ascii="Calibri" w:hAnsi="Calibri" w:cs="Calibri"/>
          <w:lang w:val="en-US"/>
        </w:rPr>
        <w:t>funded assets</w:t>
      </w:r>
      <w:r w:rsidR="00FD2D99" w:rsidRPr="00055486">
        <w:rPr>
          <w:rFonts w:ascii="Calibri" w:hAnsi="Calibri" w:cs="Calibri"/>
          <w:lang w:val="en-US"/>
        </w:rPr>
        <w:t xml:space="preserve"> in a trust fund</w:t>
      </w:r>
      <w:r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p>
    <w:p w:rsidR="003320DF" w:rsidRPr="00055486" w:rsidRDefault="003320DF" w:rsidP="00055486">
      <w:pPr>
        <w:jc w:val="both"/>
        <w:rPr>
          <w:rFonts w:ascii="Calibri" w:hAnsi="Calibri" w:cs="Calibri"/>
          <w:szCs w:val="24"/>
          <w:lang w:val="en-US"/>
        </w:rPr>
      </w:pPr>
      <w:r w:rsidRPr="00055486">
        <w:rPr>
          <w:rFonts w:ascii="Calibri" w:hAnsi="Calibri" w:cs="Calibri"/>
          <w:lang w:val="en-US"/>
        </w:rPr>
        <w:br w:type="page"/>
      </w:r>
    </w:p>
    <w:p w:rsidR="003320DF" w:rsidRDefault="003320DF" w:rsidP="003320DF">
      <w:pPr>
        <w:pStyle w:val="Titre1"/>
        <w:rPr>
          <w:lang w:val="en-US"/>
        </w:rPr>
      </w:pPr>
      <w:bookmarkStart w:id="10" w:name="_Toc477454861"/>
      <w:bookmarkStart w:id="11" w:name="_Toc479064203"/>
      <w:r>
        <w:rPr>
          <w:lang w:val="en-US"/>
        </w:rPr>
        <w:t>The New System</w:t>
      </w:r>
      <w:bookmarkEnd w:id="10"/>
      <w:bookmarkEnd w:id="11"/>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new system consists of two earnings related components </w:t>
      </w:r>
      <w:r w:rsidRPr="00055486">
        <w:rPr>
          <w:rFonts w:ascii="Calibri" w:hAnsi="Calibri" w:cs="Calibri"/>
          <w:i/>
          <w:lang w:val="en-US"/>
        </w:rPr>
        <w:t>inkomstpension</w:t>
      </w:r>
      <w:r w:rsidRPr="00055486">
        <w:rPr>
          <w:rFonts w:ascii="Calibri" w:hAnsi="Calibri" w:cs="Calibri"/>
          <w:lang w:val="en-US"/>
        </w:rPr>
        <w:t xml:space="preserve"> and </w:t>
      </w:r>
      <w:r w:rsidRPr="00055486">
        <w:rPr>
          <w:rFonts w:ascii="Calibri" w:hAnsi="Calibri" w:cs="Calibri"/>
          <w:i/>
          <w:lang w:val="en-US"/>
        </w:rPr>
        <w:t>premium pension</w:t>
      </w:r>
      <w:r w:rsidRPr="00055486">
        <w:rPr>
          <w:rFonts w:ascii="Calibri" w:hAnsi="Calibri" w:cs="Calibri"/>
          <w:lang w:val="en-US"/>
        </w:rPr>
        <w:t xml:space="preserve">. The </w:t>
      </w:r>
      <w:r w:rsidRPr="00055486">
        <w:rPr>
          <w:rFonts w:ascii="Calibri" w:hAnsi="Calibri" w:cs="Calibri"/>
          <w:i/>
          <w:lang w:val="en-US"/>
        </w:rPr>
        <w:t>inkomstpension</w:t>
      </w:r>
      <w:r w:rsidRPr="00055486">
        <w:rPr>
          <w:rFonts w:ascii="Calibri" w:hAnsi="Calibri" w:cs="Calibri"/>
          <w:lang w:val="en-US"/>
        </w:rPr>
        <w:t xml:space="preserve"> is a </w:t>
      </w:r>
      <w:r w:rsidRPr="00055486">
        <w:rPr>
          <w:rFonts w:ascii="Calibri" w:hAnsi="Calibri" w:cs="Calibri"/>
          <w:i/>
          <w:lang w:val="en-US"/>
        </w:rPr>
        <w:t>pay as you go</w:t>
      </w:r>
      <w:r w:rsidRPr="00055486">
        <w:rPr>
          <w:rFonts w:ascii="Calibri" w:hAnsi="Calibri" w:cs="Calibri"/>
          <w:lang w:val="en-US"/>
        </w:rPr>
        <w:t xml:space="preserve"> </w:t>
      </w:r>
      <w:r w:rsidRPr="00055486">
        <w:rPr>
          <w:rFonts w:ascii="Calibri" w:hAnsi="Calibri" w:cs="Calibri"/>
          <w:i/>
          <w:lang w:val="en-US"/>
        </w:rPr>
        <w:t>NDC</w:t>
      </w:r>
      <w:r w:rsidRPr="00055486">
        <w:rPr>
          <w:rFonts w:ascii="Calibri" w:hAnsi="Calibri" w:cs="Calibri"/>
          <w:lang w:val="en-US"/>
        </w:rPr>
        <w:t xml:space="preserve"> (</w:t>
      </w:r>
      <w:r w:rsidRPr="00055486">
        <w:rPr>
          <w:rFonts w:ascii="Calibri" w:hAnsi="Calibri" w:cs="Calibri"/>
          <w:i/>
          <w:lang w:val="en-US"/>
        </w:rPr>
        <w:t>Notional Defined Contribution</w:t>
      </w:r>
      <w:r w:rsidRPr="00055486">
        <w:rPr>
          <w:rFonts w:ascii="Calibri" w:hAnsi="Calibri" w:cs="Calibri"/>
          <w:lang w:val="en-US"/>
        </w:rPr>
        <w:t xml:space="preserve">) system and the </w:t>
      </w:r>
      <w:r w:rsidRPr="00055486">
        <w:rPr>
          <w:rFonts w:ascii="Calibri" w:hAnsi="Calibri" w:cs="Calibri"/>
          <w:i/>
          <w:lang w:val="en-US"/>
        </w:rPr>
        <w:t>premium pension</w:t>
      </w:r>
      <w:r w:rsidRPr="00055486">
        <w:rPr>
          <w:rFonts w:ascii="Calibri" w:hAnsi="Calibri" w:cs="Calibri"/>
          <w:lang w:val="en-US"/>
        </w:rPr>
        <w:t xml:space="preserve"> is a </w:t>
      </w:r>
      <w:r w:rsidRPr="00055486">
        <w:rPr>
          <w:rFonts w:ascii="Calibri" w:hAnsi="Calibri" w:cs="Calibri"/>
          <w:i/>
          <w:lang w:val="en-US"/>
        </w:rPr>
        <w:t>FDC</w:t>
      </w:r>
      <w:r w:rsidRPr="00055486">
        <w:rPr>
          <w:rFonts w:ascii="Calibri" w:hAnsi="Calibri" w:cs="Calibri"/>
          <w:lang w:val="en-US"/>
        </w:rPr>
        <w:t xml:space="preserve"> (</w:t>
      </w:r>
      <w:r w:rsidRPr="00055486">
        <w:rPr>
          <w:rFonts w:ascii="Calibri" w:hAnsi="Calibri" w:cs="Calibri"/>
          <w:i/>
          <w:lang w:val="en-US"/>
        </w:rPr>
        <w:t>Funded Defined Contribution</w:t>
      </w:r>
      <w:r w:rsidRPr="00055486">
        <w:rPr>
          <w:rFonts w:ascii="Calibri" w:hAnsi="Calibri" w:cs="Calibri"/>
          <w:lang w:val="en-US"/>
        </w:rPr>
        <w:t xml:space="preserve">) system. The earnings related pension can be claimed at the age of 61 and with no upper limit, </w:t>
      </w:r>
      <w:r w:rsidRPr="00055486">
        <w:rPr>
          <w:rFonts w:ascii="Calibri" w:hAnsi="Calibri" w:cs="Calibri"/>
          <w:i/>
          <w:lang w:val="en-US"/>
        </w:rPr>
        <w:t>inkomstpension</w:t>
      </w:r>
      <w:r w:rsidRPr="00055486">
        <w:rPr>
          <w:rFonts w:ascii="Calibri" w:hAnsi="Calibri" w:cs="Calibri"/>
          <w:lang w:val="en-US"/>
        </w:rPr>
        <w:t xml:space="preserve"> and </w:t>
      </w:r>
      <w:r w:rsidRPr="00055486">
        <w:rPr>
          <w:rFonts w:ascii="Calibri" w:hAnsi="Calibri" w:cs="Calibri"/>
          <w:i/>
          <w:lang w:val="en-US"/>
        </w:rPr>
        <w:t>premium pension</w:t>
      </w:r>
      <w:r w:rsidRPr="00055486">
        <w:rPr>
          <w:rFonts w:ascii="Calibri" w:hAnsi="Calibri" w:cs="Calibri"/>
          <w:lang w:val="en-US"/>
        </w:rPr>
        <w:t xml:space="preserve"> both increase for each month of postponement. </w:t>
      </w:r>
      <w:r w:rsidR="0094705B" w:rsidRPr="00055486">
        <w:rPr>
          <w:rFonts w:ascii="Calibri" w:hAnsi="Calibri" w:cs="Calibri"/>
          <w:lang w:val="en-US"/>
        </w:rPr>
        <w:t>There is an option of drawing part pension at 25, 50 or 75 percent.</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Basic security in the form of </w:t>
      </w:r>
      <w:r w:rsidRPr="00055486">
        <w:rPr>
          <w:rFonts w:ascii="Calibri" w:hAnsi="Calibri" w:cs="Calibri"/>
          <w:i/>
          <w:lang w:val="en-US"/>
        </w:rPr>
        <w:t>guaranteed pension</w:t>
      </w:r>
      <w:r w:rsidRPr="00055486">
        <w:rPr>
          <w:rFonts w:ascii="Calibri" w:hAnsi="Calibri" w:cs="Calibri"/>
          <w:lang w:val="en-US"/>
        </w:rPr>
        <w:t xml:space="preserve"> and </w:t>
      </w:r>
      <w:r w:rsidRPr="00055486">
        <w:rPr>
          <w:rFonts w:ascii="Calibri" w:hAnsi="Calibri" w:cs="Calibri"/>
          <w:i/>
          <w:lang w:val="en-US"/>
        </w:rPr>
        <w:t>housing supplement</w:t>
      </w:r>
      <w:r w:rsidRPr="00055486">
        <w:rPr>
          <w:rFonts w:ascii="Calibri" w:hAnsi="Calibri" w:cs="Calibri"/>
          <w:lang w:val="en-US"/>
        </w:rPr>
        <w:t xml:space="preserve"> and </w:t>
      </w:r>
      <w:r w:rsidRPr="00055486">
        <w:rPr>
          <w:rFonts w:ascii="Calibri" w:hAnsi="Calibri" w:cs="Calibri"/>
          <w:i/>
          <w:lang w:val="en-US"/>
        </w:rPr>
        <w:t>mainten</w:t>
      </w:r>
      <w:r w:rsidR="001D6048" w:rsidRPr="00055486">
        <w:rPr>
          <w:rFonts w:ascii="Calibri" w:hAnsi="Calibri" w:cs="Calibri"/>
          <w:i/>
          <w:lang w:val="en-US"/>
        </w:rPr>
        <w:t>an</w:t>
      </w:r>
      <w:r w:rsidRPr="00055486">
        <w:rPr>
          <w:rFonts w:ascii="Calibri" w:hAnsi="Calibri" w:cs="Calibri"/>
          <w:i/>
          <w:lang w:val="en-US"/>
        </w:rPr>
        <w:t>ce support</w:t>
      </w:r>
      <w:r w:rsidRPr="00055486">
        <w:rPr>
          <w:rFonts w:ascii="Calibri" w:hAnsi="Calibri" w:cs="Calibri"/>
          <w:lang w:val="en-US"/>
        </w:rPr>
        <w:t xml:space="preserve"> to pensioners is available from the age of 65, a postponement of these benefits will not yield a higher amount. The basic security is tax financed through the central government budget. The </w:t>
      </w:r>
      <w:r w:rsidRPr="00055486">
        <w:rPr>
          <w:rFonts w:ascii="Calibri" w:hAnsi="Calibri" w:cs="Calibri"/>
          <w:i/>
          <w:lang w:val="en-US"/>
        </w:rPr>
        <w:t xml:space="preserve">housing supplement </w:t>
      </w:r>
      <w:r w:rsidRPr="00055486">
        <w:rPr>
          <w:rFonts w:ascii="Calibri" w:hAnsi="Calibri" w:cs="Calibri"/>
          <w:lang w:val="en-US"/>
        </w:rPr>
        <w:t>and</w:t>
      </w:r>
      <w:r w:rsidRPr="00055486">
        <w:rPr>
          <w:rFonts w:ascii="Calibri" w:hAnsi="Calibri" w:cs="Calibri"/>
          <w:i/>
          <w:lang w:val="en-US"/>
        </w:rPr>
        <w:t xml:space="preserve"> </w:t>
      </w:r>
      <w:r w:rsidR="001D6048" w:rsidRPr="00055486">
        <w:rPr>
          <w:rFonts w:ascii="Calibri" w:hAnsi="Calibri" w:cs="Calibri"/>
          <w:i/>
          <w:lang w:val="en-US"/>
        </w:rPr>
        <w:t xml:space="preserve">maintenance </w:t>
      </w:r>
      <w:r w:rsidRPr="00055486">
        <w:rPr>
          <w:rFonts w:ascii="Calibri" w:hAnsi="Calibri" w:cs="Calibri"/>
          <w:i/>
          <w:lang w:val="en-US"/>
        </w:rPr>
        <w:t xml:space="preserve">support </w:t>
      </w:r>
      <w:r w:rsidRPr="00055486">
        <w:rPr>
          <w:rFonts w:ascii="Calibri" w:hAnsi="Calibri" w:cs="Calibri"/>
          <w:lang w:val="en-US"/>
        </w:rPr>
        <w:t xml:space="preserve">are means tested benefits and the details of these will not be covered here. </w:t>
      </w:r>
    </w:p>
    <w:p w:rsidR="003320DF" w:rsidRPr="00055486" w:rsidRDefault="003320DF" w:rsidP="00055486">
      <w:pPr>
        <w:jc w:val="both"/>
        <w:rPr>
          <w:rFonts w:ascii="Calibri" w:hAnsi="Calibri" w:cs="Calibri"/>
          <w:b/>
          <w:sz w:val="20"/>
          <w:szCs w:val="20"/>
          <w:lang w:val="en-US"/>
        </w:rPr>
      </w:pPr>
      <w:r w:rsidRPr="00055486">
        <w:rPr>
          <w:rFonts w:ascii="Calibri" w:hAnsi="Calibri" w:cs="Calibri"/>
          <w:lang w:val="en-US"/>
        </w:rPr>
        <w:br w:type="page"/>
      </w:r>
    </w:p>
    <w:p w:rsidR="003320DF" w:rsidRDefault="003320DF" w:rsidP="003320DF">
      <w:pPr>
        <w:pStyle w:val="Titre2"/>
        <w:rPr>
          <w:lang w:val="en-US"/>
        </w:rPr>
      </w:pPr>
      <w:bookmarkStart w:id="12" w:name="_Toc477454862"/>
      <w:bookmarkStart w:id="13" w:name="_Toc479064204"/>
      <w:r>
        <w:rPr>
          <w:lang w:val="en-US"/>
        </w:rPr>
        <w:t>Contribution Rates</w:t>
      </w:r>
      <w:bookmarkEnd w:id="12"/>
      <w:bookmarkEnd w:id="13"/>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contribution to the national public pension is 18.5 percent of the </w:t>
      </w:r>
      <w:r w:rsidRPr="00055486">
        <w:rPr>
          <w:rFonts w:ascii="Calibri" w:hAnsi="Calibri" w:cs="Calibri"/>
          <w:i/>
          <w:lang w:val="en-US"/>
        </w:rPr>
        <w:t>pension base</w:t>
      </w:r>
      <w:r w:rsidRPr="00055486">
        <w:rPr>
          <w:rFonts w:ascii="Calibri" w:hAnsi="Calibri" w:cs="Calibri"/>
          <w:lang w:val="en-US"/>
        </w:rPr>
        <w:t>.  Contribution is divided between an individual contribution a</w:t>
      </w:r>
      <w:r w:rsidR="001844FA" w:rsidRPr="00055486">
        <w:rPr>
          <w:rFonts w:ascii="Calibri" w:hAnsi="Calibri" w:cs="Calibri"/>
          <w:lang w:val="en-US"/>
        </w:rPr>
        <w:t xml:space="preserve">nd an employer’s contribution.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pension base</w:t>
      </w:r>
      <w:r w:rsidRPr="00055486">
        <w:rPr>
          <w:rFonts w:ascii="Calibri" w:hAnsi="Calibri" w:cs="Calibri"/>
          <w:lang w:val="en-US"/>
        </w:rPr>
        <w:t xml:space="preserve"> is maximum 7.5 </w:t>
      </w:r>
      <w:r w:rsidRPr="00055486">
        <w:rPr>
          <w:rFonts w:ascii="Calibri" w:hAnsi="Calibri" w:cs="Calibri"/>
          <w:i/>
          <w:lang w:val="en-US"/>
        </w:rPr>
        <w:t>income-related base amounts.</w:t>
      </w:r>
      <w:r w:rsidRPr="00055486">
        <w:rPr>
          <w:rFonts w:ascii="Calibri" w:hAnsi="Calibri" w:cs="Calibri"/>
          <w:lang w:val="en-US"/>
        </w:rPr>
        <w:t xml:space="preserve"> The </w:t>
      </w:r>
      <w:r w:rsidR="007273DE" w:rsidRPr="00055486">
        <w:rPr>
          <w:rFonts w:ascii="Calibri" w:hAnsi="Calibri" w:cs="Calibri"/>
          <w:lang w:val="en-US"/>
        </w:rPr>
        <w:t>individual’</w:t>
      </w:r>
      <w:r w:rsidRPr="00055486">
        <w:rPr>
          <w:rFonts w:ascii="Calibri" w:hAnsi="Calibri" w:cs="Calibri"/>
          <w:lang w:val="en-US"/>
        </w:rPr>
        <w:t xml:space="preserve">s contribution is 7 percent of his or hers income and it is not included in the </w:t>
      </w:r>
      <w:r w:rsidRPr="00055486">
        <w:rPr>
          <w:rFonts w:ascii="Calibri" w:hAnsi="Calibri" w:cs="Calibri"/>
          <w:i/>
          <w:lang w:val="en-US"/>
        </w:rPr>
        <w:t>pension base</w:t>
      </w:r>
      <w:r w:rsidRPr="00055486">
        <w:rPr>
          <w:rFonts w:ascii="Calibri" w:hAnsi="Calibri" w:cs="Calibri"/>
          <w:lang w:val="en-US"/>
        </w:rPr>
        <w:t xml:space="preserve"> and the </w:t>
      </w:r>
      <w:r w:rsidRPr="00055486">
        <w:rPr>
          <w:rFonts w:ascii="Calibri" w:hAnsi="Calibri" w:cs="Calibri"/>
          <w:i/>
          <w:lang w:val="en-US"/>
        </w:rPr>
        <w:t>pension base</w:t>
      </w:r>
      <w:r w:rsidRPr="00055486">
        <w:rPr>
          <w:rFonts w:ascii="Calibri" w:hAnsi="Calibri" w:cs="Calibri"/>
          <w:lang w:val="en-US"/>
        </w:rPr>
        <w:t xml:space="preserve"> is therefore 93 percent of the</w:t>
      </w:r>
      <w:r w:rsidRPr="00055486">
        <w:rPr>
          <w:rFonts w:ascii="Calibri" w:hAnsi="Calibri" w:cs="Calibri"/>
          <w:i/>
          <w:lang w:val="en-US"/>
        </w:rPr>
        <w:t xml:space="preserve"> </w:t>
      </w:r>
      <w:r w:rsidR="007273DE" w:rsidRPr="00055486">
        <w:rPr>
          <w:rFonts w:ascii="Calibri" w:hAnsi="Calibri" w:cs="Calibri"/>
          <w:lang w:val="en-US"/>
        </w:rPr>
        <w:t>individual’</w:t>
      </w:r>
      <w:r w:rsidRPr="00055486">
        <w:rPr>
          <w:rFonts w:ascii="Calibri" w:hAnsi="Calibri" w:cs="Calibri"/>
          <w:lang w:val="en-US"/>
        </w:rPr>
        <w:t xml:space="preserve">s income. Contributions on incomes up to 8.07 </w:t>
      </w:r>
      <w:r w:rsidRPr="00055486">
        <w:rPr>
          <w:rFonts w:ascii="Calibri" w:hAnsi="Calibri" w:cs="Calibri"/>
          <w:i/>
          <w:lang w:val="en-US"/>
        </w:rPr>
        <w:t>income-related base amounts</w:t>
      </w:r>
      <w:r w:rsidRPr="00055486">
        <w:rPr>
          <w:rFonts w:ascii="Calibri" w:hAnsi="Calibri" w:cs="Calibri"/>
          <w:lang w:val="en-US"/>
        </w:rPr>
        <w:t xml:space="preserve"> is thus paid together with the withholding tax on earnings.</w:t>
      </w:r>
      <w:r w:rsidR="001844FA"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insured pays an individual pension contribution of earnings and any benefits received from the social insurance and/or unemployment insurance schemes. Annual earnings are pension-qualifying when they exceed the minimum income for the obligation to file a tax return, which as from 2003 is 42.3 percent of the current </w:t>
      </w:r>
      <w:r w:rsidRPr="00055486">
        <w:rPr>
          <w:rFonts w:ascii="Calibri" w:hAnsi="Calibri" w:cs="Calibri"/>
          <w:i/>
          <w:lang w:val="en-US"/>
        </w:rPr>
        <w:t>price-related base amount</w:t>
      </w:r>
      <w:r w:rsidRPr="00055486">
        <w:rPr>
          <w:rFonts w:ascii="Calibri" w:hAnsi="Calibri" w:cs="Calibri"/>
          <w:lang w:val="en-US"/>
        </w:rPr>
        <w:t xml:space="preserve">. When an individual’s income has exceeded this threshold, it is pension-qualifying from the first krona. </w:t>
      </w:r>
    </w:p>
    <w:p w:rsidR="003320DF" w:rsidRPr="00055486" w:rsidRDefault="003320DF" w:rsidP="00055486">
      <w:pPr>
        <w:jc w:val="both"/>
        <w:rPr>
          <w:rFonts w:ascii="Calibri" w:hAnsi="Calibri" w:cs="Calibri"/>
          <w:lang w:val="en-US"/>
        </w:rPr>
      </w:pPr>
      <w:r w:rsidRPr="00055486">
        <w:rPr>
          <w:rFonts w:ascii="Calibri" w:hAnsi="Calibri" w:cs="Calibri"/>
          <w:lang w:val="en-US"/>
        </w:rPr>
        <w:t>The total employer’s contribution is 31.42 percent of the individual</w:t>
      </w:r>
      <w:r w:rsidR="007273DE" w:rsidRPr="00055486">
        <w:rPr>
          <w:rFonts w:ascii="Calibri" w:hAnsi="Calibri" w:cs="Calibri"/>
          <w:lang w:val="en-US"/>
        </w:rPr>
        <w:t>’</w:t>
      </w:r>
      <w:r w:rsidRPr="00055486">
        <w:rPr>
          <w:rFonts w:ascii="Calibri" w:hAnsi="Calibri" w:cs="Calibri"/>
          <w:lang w:val="en-US"/>
        </w:rPr>
        <w:t xml:space="preserve">s earnings, out of this the old age pension contribution is 10.21 percentage points. This contribution is also paid on earnings exceeding 8.07 </w:t>
      </w:r>
      <w:r w:rsidRPr="00055486">
        <w:rPr>
          <w:rFonts w:ascii="Calibri" w:hAnsi="Calibri" w:cs="Calibri"/>
          <w:i/>
          <w:lang w:val="en-US"/>
        </w:rPr>
        <w:t>income-related base amounts</w:t>
      </w:r>
      <w:r w:rsidRPr="00055486">
        <w:rPr>
          <w:rFonts w:ascii="Calibri" w:hAnsi="Calibri" w:cs="Calibri"/>
          <w:lang w:val="en-US"/>
        </w:rPr>
        <w:t xml:space="preserve">. Since there is no </w:t>
      </w:r>
      <w:r w:rsidRPr="00055486">
        <w:rPr>
          <w:rFonts w:ascii="Calibri" w:hAnsi="Calibri" w:cs="Calibri"/>
          <w:i/>
          <w:lang w:val="en-US"/>
        </w:rPr>
        <w:t>pension credit</w:t>
      </w:r>
      <w:r w:rsidRPr="00055486">
        <w:rPr>
          <w:rFonts w:ascii="Calibri" w:hAnsi="Calibri" w:cs="Calibri"/>
          <w:lang w:val="en-US"/>
        </w:rPr>
        <w:t xml:space="preserve"> for earnings above 8.07 </w:t>
      </w:r>
      <w:r w:rsidRPr="00055486">
        <w:rPr>
          <w:rFonts w:ascii="Calibri" w:hAnsi="Calibri" w:cs="Calibri"/>
          <w:i/>
          <w:lang w:val="en-US"/>
        </w:rPr>
        <w:t>income-related base amounts</w:t>
      </w:r>
      <w:r w:rsidRPr="00055486">
        <w:rPr>
          <w:rFonts w:ascii="Calibri" w:hAnsi="Calibri" w:cs="Calibri"/>
          <w:lang w:val="en-US"/>
        </w:rPr>
        <w:t>, these contributions are in fact a tax</w:t>
      </w:r>
      <w:r w:rsidR="00CF6B90" w:rsidRPr="00055486">
        <w:rPr>
          <w:rFonts w:ascii="Calibri" w:hAnsi="Calibri" w:cs="Calibri"/>
          <w:lang w:val="en-US"/>
        </w:rPr>
        <w:t xml:space="preserve">, and such contributions are transferred from the pension plan to </w:t>
      </w:r>
      <w:r w:rsidR="00E665E5" w:rsidRPr="00055486">
        <w:rPr>
          <w:rFonts w:ascii="Calibri" w:hAnsi="Calibri" w:cs="Calibri"/>
          <w:lang w:val="en-US"/>
        </w:rPr>
        <w:t xml:space="preserve">the </w:t>
      </w:r>
      <w:r w:rsidR="00CF6B90" w:rsidRPr="00055486">
        <w:rPr>
          <w:rFonts w:ascii="Calibri" w:hAnsi="Calibri" w:cs="Calibri"/>
          <w:lang w:val="en-US"/>
        </w:rPr>
        <w:t>government budget</w:t>
      </w:r>
      <w:r w:rsidRPr="00055486">
        <w:rPr>
          <w:rFonts w:ascii="Calibri" w:hAnsi="Calibri" w:cs="Calibri"/>
          <w:lang w:val="en-US"/>
        </w:rPr>
        <w:t>. For recipients of pension-qualifying social insurance or unemployment insurance benefits, the central government pays a contribution of 10.21 percent of these benefits to the pension system.</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total pension contribution is thus 17.21 percent of the individual’s earnings, whereas the </w:t>
      </w:r>
      <w:r w:rsidRPr="00055486">
        <w:rPr>
          <w:rFonts w:ascii="Calibri" w:hAnsi="Calibri" w:cs="Calibri"/>
          <w:i/>
          <w:lang w:val="en-US"/>
        </w:rPr>
        <w:t>pension credit</w:t>
      </w:r>
      <w:r w:rsidRPr="00055486">
        <w:rPr>
          <w:rFonts w:ascii="Calibri" w:hAnsi="Calibri" w:cs="Calibri"/>
          <w:lang w:val="en-US"/>
        </w:rPr>
        <w:t xml:space="preserve"> and the </w:t>
      </w:r>
      <w:r w:rsidRPr="00055486">
        <w:rPr>
          <w:rFonts w:ascii="Calibri" w:hAnsi="Calibri" w:cs="Calibri"/>
          <w:i/>
          <w:lang w:val="en-US"/>
        </w:rPr>
        <w:t>pension contribution</w:t>
      </w:r>
      <w:r w:rsidRPr="00055486">
        <w:rPr>
          <w:rFonts w:ascii="Calibri" w:hAnsi="Calibri" w:cs="Calibri"/>
          <w:lang w:val="en-US"/>
        </w:rPr>
        <w:t xml:space="preserve"> are 18.5 percent of the </w:t>
      </w:r>
      <w:r w:rsidRPr="00055486">
        <w:rPr>
          <w:rFonts w:ascii="Calibri" w:hAnsi="Calibri" w:cs="Calibri"/>
          <w:i/>
          <w:lang w:val="en-US"/>
        </w:rPr>
        <w:t>pension base</w:t>
      </w:r>
      <w:r w:rsidRPr="00055486">
        <w:rPr>
          <w:rFonts w:ascii="Calibri" w:hAnsi="Calibri" w:cs="Calibri"/>
          <w:lang w:val="en-US"/>
        </w:rPr>
        <w:t>.</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For persons credited with </w:t>
      </w:r>
      <w:r w:rsidRPr="00055486">
        <w:rPr>
          <w:rFonts w:ascii="Calibri" w:hAnsi="Calibri" w:cs="Calibri"/>
          <w:i/>
          <w:lang w:val="en-US"/>
        </w:rPr>
        <w:t>pension-qualifying amounts</w:t>
      </w:r>
      <w:r w:rsidRPr="00055486">
        <w:rPr>
          <w:rFonts w:ascii="Calibri" w:hAnsi="Calibri" w:cs="Calibri"/>
          <w:lang w:val="en-US"/>
        </w:rPr>
        <w:t xml:space="preserve">, the central government pays a contribution of 18.5 percent of the </w:t>
      </w:r>
      <w:r w:rsidRPr="00055486">
        <w:rPr>
          <w:rFonts w:ascii="Calibri" w:hAnsi="Calibri" w:cs="Calibri"/>
          <w:i/>
          <w:lang w:val="en-US"/>
        </w:rPr>
        <w:t>pension-qualifying amount</w:t>
      </w:r>
      <w:r w:rsidRPr="00055486">
        <w:rPr>
          <w:rFonts w:ascii="Calibri" w:hAnsi="Calibri" w:cs="Calibri"/>
          <w:lang w:val="en-US"/>
        </w:rPr>
        <w:t xml:space="preserve"> to the pension system. These central government contributions to the old-age pension system are financed by general tax revenue. </w:t>
      </w:r>
    </w:p>
    <w:p w:rsidR="003320DF" w:rsidRDefault="003320DF" w:rsidP="003320DF">
      <w:pPr>
        <w:rPr>
          <w:lang w:val="en-US"/>
        </w:rPr>
      </w:pPr>
    </w:p>
    <w:p w:rsidR="003320DF" w:rsidRDefault="003320DF" w:rsidP="003320DF">
      <w:pPr>
        <w:rPr>
          <w:rFonts w:ascii="Verdana" w:hAnsi="Verdana"/>
          <w:b/>
          <w:sz w:val="20"/>
          <w:szCs w:val="20"/>
          <w:lang w:val="en-US"/>
        </w:rPr>
      </w:pPr>
      <w:r>
        <w:rPr>
          <w:lang w:val="en-US"/>
        </w:rPr>
        <w:br w:type="page"/>
      </w:r>
    </w:p>
    <w:p w:rsidR="003320DF" w:rsidRDefault="003320DF" w:rsidP="003320DF">
      <w:pPr>
        <w:pStyle w:val="Titre2"/>
        <w:rPr>
          <w:lang w:val="en-US"/>
        </w:rPr>
      </w:pPr>
      <w:bookmarkStart w:id="14" w:name="_Toc477454863"/>
      <w:bookmarkStart w:id="15" w:name="_Toc479064205"/>
      <w:r>
        <w:rPr>
          <w:lang w:val="en-US"/>
        </w:rPr>
        <w:t>Guaranteed Pension</w:t>
      </w:r>
      <w:bookmarkEnd w:id="14"/>
      <w:bookmarkEnd w:id="15"/>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guaranteed pension</w:t>
      </w:r>
      <w:r w:rsidRPr="00055486">
        <w:rPr>
          <w:rFonts w:ascii="Calibri" w:hAnsi="Calibri" w:cs="Calibri"/>
          <w:lang w:val="en-US"/>
        </w:rPr>
        <w:t xml:space="preserve"> provides basic social security for individuals with little or no income and is financed through the central government budget. Residents of Sweden are eligible for a </w:t>
      </w:r>
      <w:r w:rsidRPr="00055486">
        <w:rPr>
          <w:rFonts w:ascii="Calibri" w:hAnsi="Calibri" w:cs="Calibri"/>
          <w:i/>
          <w:lang w:val="en-US"/>
        </w:rPr>
        <w:t>guaranteed pension</w:t>
      </w:r>
      <w:r w:rsidRPr="00055486">
        <w:rPr>
          <w:rFonts w:ascii="Calibri" w:hAnsi="Calibri" w:cs="Calibri"/>
          <w:lang w:val="en-US"/>
        </w:rPr>
        <w:t xml:space="preserve"> beginning at age 65. The qualifying criteria is primarily years of residence. </w:t>
      </w:r>
      <w:r w:rsidRPr="00055486">
        <w:rPr>
          <w:rFonts w:ascii="Calibri" w:hAnsi="Calibri" w:cs="Calibri"/>
          <w:i/>
          <w:lang w:val="en-US"/>
        </w:rPr>
        <w:t>Guaranteed pension</w:t>
      </w:r>
      <w:r w:rsidRPr="00055486">
        <w:rPr>
          <w:rFonts w:ascii="Calibri" w:hAnsi="Calibri" w:cs="Calibri"/>
          <w:lang w:val="en-US"/>
        </w:rPr>
        <w:t xml:space="preserve"> is financed through </w:t>
      </w:r>
      <w:r w:rsidR="001844FA" w:rsidRPr="00055486">
        <w:rPr>
          <w:rFonts w:ascii="Calibri" w:hAnsi="Calibri" w:cs="Calibri"/>
          <w:lang w:val="en-US"/>
        </w:rPr>
        <w:t xml:space="preserve">the central-government budget. </w:t>
      </w:r>
    </w:p>
    <w:p w:rsidR="003320DF" w:rsidRPr="00055486" w:rsidRDefault="003320DF" w:rsidP="00055486">
      <w:pPr>
        <w:jc w:val="both"/>
        <w:rPr>
          <w:rFonts w:ascii="Calibri" w:hAnsi="Calibri" w:cs="Calibri"/>
          <w:i/>
          <w:lang w:val="en-US"/>
        </w:rPr>
      </w:pPr>
      <w:r w:rsidRPr="00055486">
        <w:rPr>
          <w:rFonts w:ascii="Calibri" w:hAnsi="Calibri" w:cs="Calibri"/>
          <w:lang w:val="en-US"/>
        </w:rPr>
        <w:t xml:space="preserve">The indexation of the </w:t>
      </w:r>
      <w:r w:rsidRPr="00055486">
        <w:rPr>
          <w:rFonts w:ascii="Calibri" w:hAnsi="Calibri" w:cs="Calibri"/>
          <w:i/>
          <w:lang w:val="en-US"/>
        </w:rPr>
        <w:t>guaranteed pension</w:t>
      </w:r>
      <w:r w:rsidRPr="00055486">
        <w:rPr>
          <w:rFonts w:ascii="Calibri" w:hAnsi="Calibri" w:cs="Calibri"/>
          <w:lang w:val="en-US"/>
        </w:rPr>
        <w:t xml:space="preserve"> follows the price indexation. The amounts received differs between a single and married pensioner, where the former receives 2.13 </w:t>
      </w:r>
      <w:r w:rsidRPr="00055486">
        <w:rPr>
          <w:rFonts w:ascii="Calibri" w:hAnsi="Calibri" w:cs="Calibri"/>
          <w:i/>
          <w:lang w:val="en-US"/>
        </w:rPr>
        <w:t xml:space="preserve">price-related base amounts </w:t>
      </w:r>
      <w:r w:rsidRPr="00055486">
        <w:rPr>
          <w:rFonts w:ascii="Calibri" w:hAnsi="Calibri" w:cs="Calibri"/>
          <w:lang w:val="en-US"/>
        </w:rPr>
        <w:t xml:space="preserve">and the latter 1.90 </w:t>
      </w:r>
      <w:r w:rsidRPr="00055486">
        <w:rPr>
          <w:rFonts w:ascii="Calibri" w:hAnsi="Calibri" w:cs="Calibri"/>
          <w:i/>
          <w:lang w:val="en-US"/>
        </w:rPr>
        <w:t>price-related base amounts</w:t>
      </w:r>
      <w:r w:rsidR="001844FA" w:rsidRPr="00055486">
        <w:rPr>
          <w:rFonts w:ascii="Calibri" w:hAnsi="Calibri" w:cs="Calibri"/>
          <w: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guaranteed pension is reduced in respect to the earnings-related pension. For (low) earnings related pension the </w:t>
      </w:r>
      <w:r w:rsidRPr="00055486">
        <w:rPr>
          <w:rFonts w:ascii="Calibri" w:hAnsi="Calibri" w:cs="Calibri"/>
          <w:i/>
          <w:lang w:val="en-US"/>
        </w:rPr>
        <w:t>guaranteed pension</w:t>
      </w:r>
      <w:r w:rsidRPr="00055486">
        <w:rPr>
          <w:rFonts w:ascii="Calibri" w:hAnsi="Calibri" w:cs="Calibri"/>
          <w:lang w:val="en-US"/>
        </w:rPr>
        <w:t xml:space="preserve"> is reduced by the full amount up to 1.26 </w:t>
      </w:r>
      <w:r w:rsidRPr="00055486">
        <w:rPr>
          <w:rFonts w:ascii="Calibri" w:hAnsi="Calibri" w:cs="Calibri"/>
          <w:i/>
          <w:lang w:val="en-US"/>
        </w:rPr>
        <w:t>price-related base amounts</w:t>
      </w:r>
      <w:r w:rsidRPr="00055486">
        <w:rPr>
          <w:rFonts w:ascii="Calibri" w:hAnsi="Calibri" w:cs="Calibri"/>
          <w:lang w:val="en-US"/>
        </w:rPr>
        <w:t xml:space="preserve"> and is then reduced by 48 percent in the span between 1.26 and 3.07 </w:t>
      </w:r>
      <w:r w:rsidRPr="00055486">
        <w:rPr>
          <w:rFonts w:ascii="Calibri" w:hAnsi="Calibri" w:cs="Calibri"/>
          <w:i/>
          <w:lang w:val="en-US"/>
        </w:rPr>
        <w:t xml:space="preserve">price-related base amounts </w:t>
      </w:r>
      <w:r w:rsidRPr="00055486">
        <w:rPr>
          <w:rFonts w:ascii="Calibri" w:hAnsi="Calibri" w:cs="Calibri"/>
          <w:lang w:val="en-US"/>
        </w:rPr>
        <w:t>for a single pensioner. The corresponding numbers for a married pens</w:t>
      </w:r>
      <w:r w:rsidR="00135B78" w:rsidRPr="00055486">
        <w:rPr>
          <w:rFonts w:ascii="Calibri" w:hAnsi="Calibri" w:cs="Calibri"/>
          <w:lang w:val="en-US"/>
        </w:rPr>
        <w:t>ioner are 1.14 and 2.72,</w:t>
      </w:r>
      <w:r w:rsidR="001844FA" w:rsidRPr="00055486">
        <w:rPr>
          <w:rFonts w:ascii="Calibri" w:hAnsi="Calibri" w:cs="Calibri"/>
          <w:lang w:val="en-US"/>
        </w:rPr>
        <w:t xml:space="preserve"> </w:t>
      </w:r>
      <w:r w:rsidR="00135B78" w:rsidRPr="00055486">
        <w:rPr>
          <w:rFonts w:ascii="Calibri" w:hAnsi="Calibri" w:cs="Calibri"/>
          <w:lang w:val="en-US"/>
        </w:rPr>
        <w:t>for a graphic illustration see</w:t>
      </w:r>
      <w:r w:rsidR="00510E60" w:rsidRPr="00055486">
        <w:rPr>
          <w:rFonts w:ascii="Calibri" w:hAnsi="Calibri" w:cs="Calibri"/>
          <w:lang w:val="en-US"/>
        </w:rPr>
        <w:t xml:space="preserve"> </w:t>
      </w:r>
      <w:r w:rsidR="00510E60" w:rsidRPr="00055486">
        <w:rPr>
          <w:rFonts w:ascii="Calibri" w:hAnsi="Calibri" w:cs="Calibri"/>
          <w:lang w:val="en-US"/>
        </w:rPr>
        <w:fldChar w:fldCharType="begin"/>
      </w:r>
      <w:r w:rsidR="00510E60" w:rsidRPr="00055486">
        <w:rPr>
          <w:rFonts w:ascii="Calibri" w:hAnsi="Calibri" w:cs="Calibri"/>
          <w:lang w:val="en-US"/>
        </w:rPr>
        <w:instrText xml:space="preserve"> REF _Ref480887078 \h </w:instrText>
      </w:r>
      <w:r w:rsidR="00055486" w:rsidRPr="00055486">
        <w:rPr>
          <w:rFonts w:ascii="Calibri" w:hAnsi="Calibri" w:cs="Calibri"/>
          <w:lang w:val="en-US"/>
        </w:rPr>
        <w:instrText xml:space="preserve"> \* MERGEFORMAT </w:instrText>
      </w:r>
      <w:r w:rsidR="00510E60" w:rsidRPr="00055486">
        <w:rPr>
          <w:rFonts w:ascii="Calibri" w:hAnsi="Calibri" w:cs="Calibri"/>
          <w:lang w:val="en-US"/>
        </w:rPr>
      </w:r>
      <w:r w:rsidR="00510E60" w:rsidRPr="00055486">
        <w:rPr>
          <w:rFonts w:ascii="Calibri" w:hAnsi="Calibri" w:cs="Calibri"/>
          <w:lang w:val="en-US"/>
        </w:rPr>
        <w:fldChar w:fldCharType="separate"/>
      </w:r>
      <w:r w:rsidR="0057135D" w:rsidRPr="00055486">
        <w:rPr>
          <w:rFonts w:ascii="Calibri" w:hAnsi="Calibri" w:cs="Calibri"/>
          <w:szCs w:val="24"/>
          <w:lang w:val="en-US"/>
        </w:rPr>
        <w:t xml:space="preserve">Figure </w:t>
      </w:r>
      <w:r w:rsidR="0057135D" w:rsidRPr="00055486">
        <w:rPr>
          <w:rFonts w:ascii="Calibri" w:hAnsi="Calibri" w:cs="Calibri"/>
          <w:noProof/>
          <w:szCs w:val="24"/>
          <w:lang w:val="en-US"/>
        </w:rPr>
        <w:t>1</w:t>
      </w:r>
      <w:r w:rsidR="00510E60" w:rsidRPr="00055486">
        <w:rPr>
          <w:rFonts w:ascii="Calibri" w:hAnsi="Calibri" w:cs="Calibri"/>
          <w:lang w:val="en-US"/>
        </w:rPr>
        <w:fldChar w:fldCharType="end"/>
      </w:r>
      <w:r w:rsidR="00135B78" w:rsidRPr="00055486">
        <w:rPr>
          <w:rFonts w:ascii="Calibri" w:hAnsi="Calibri" w:cs="Calibri"/>
          <w:lang w:val="en-US"/>
        </w:rPr>
        <w:t>.</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When calculating the </w:t>
      </w:r>
      <w:r w:rsidRPr="00055486">
        <w:rPr>
          <w:rFonts w:ascii="Calibri" w:hAnsi="Calibri" w:cs="Calibri"/>
          <w:i/>
          <w:lang w:val="en-US"/>
        </w:rPr>
        <w:t>guaranteed pension</w:t>
      </w:r>
      <w:r w:rsidRPr="00055486">
        <w:rPr>
          <w:rFonts w:ascii="Calibri" w:hAnsi="Calibri" w:cs="Calibri"/>
          <w:lang w:val="en-US"/>
        </w:rPr>
        <w:t xml:space="preserve"> the </w:t>
      </w:r>
      <w:r w:rsidRPr="00055486">
        <w:rPr>
          <w:rFonts w:ascii="Calibri" w:hAnsi="Calibri" w:cs="Calibri"/>
          <w:i/>
          <w:lang w:val="en-US"/>
        </w:rPr>
        <w:t>premium pension</w:t>
      </w:r>
      <w:r w:rsidRPr="00055486">
        <w:rPr>
          <w:rFonts w:ascii="Calibri" w:hAnsi="Calibri" w:cs="Calibri"/>
          <w:lang w:val="en-US"/>
        </w:rPr>
        <w:t xml:space="preserve"> is excluded from the earnings-related pension, instead the </w:t>
      </w:r>
      <w:r w:rsidRPr="00055486">
        <w:rPr>
          <w:rFonts w:ascii="Calibri" w:hAnsi="Calibri" w:cs="Calibri"/>
          <w:i/>
          <w:lang w:val="en-US"/>
        </w:rPr>
        <w:t>inkomstpension</w:t>
      </w:r>
      <w:r w:rsidRPr="00055486">
        <w:rPr>
          <w:rFonts w:ascii="Calibri" w:hAnsi="Calibri" w:cs="Calibri"/>
          <w:lang w:val="en-US"/>
        </w:rPr>
        <w:t xml:space="preserve"> is calculated as if it had been earned at 18.5 percent of the </w:t>
      </w:r>
      <w:r w:rsidRPr="00055486">
        <w:rPr>
          <w:rFonts w:ascii="Calibri" w:hAnsi="Calibri" w:cs="Calibri"/>
          <w:i/>
          <w:lang w:val="en-US"/>
        </w:rPr>
        <w:t>pension base</w:t>
      </w:r>
      <w:r w:rsidRPr="00055486">
        <w:rPr>
          <w:rFonts w:ascii="Calibri" w:hAnsi="Calibri" w:cs="Calibri"/>
          <w:lang w:val="en-US"/>
        </w:rPr>
        <w:t>, rather than 16 percent.</w:t>
      </w:r>
    </w:p>
    <w:p w:rsidR="00510E60" w:rsidRDefault="00135B78" w:rsidP="00510E60">
      <w:pPr>
        <w:keepNext/>
      </w:pPr>
      <w:r>
        <w:rPr>
          <w:noProof/>
          <w:lang w:val="fr-FR" w:eastAsia="zh-CN"/>
        </w:rPr>
        <w:drawing>
          <wp:inline distT="0" distB="0" distL="0" distR="0" wp14:anchorId="478B8BDD" wp14:editId="056C6C5F">
            <wp:extent cx="4679950" cy="333629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9950" cy="3336290"/>
                    </a:xfrm>
                    <a:prstGeom prst="rect">
                      <a:avLst/>
                    </a:prstGeom>
                  </pic:spPr>
                </pic:pic>
              </a:graphicData>
            </a:graphic>
          </wp:inline>
        </w:drawing>
      </w:r>
    </w:p>
    <w:p w:rsidR="00135B78" w:rsidRPr="00055486" w:rsidRDefault="00510E60" w:rsidP="00510E60">
      <w:pPr>
        <w:pStyle w:val="Lgende"/>
        <w:rPr>
          <w:rFonts w:ascii="Calibri" w:hAnsi="Calibri" w:cs="Calibri"/>
          <w:color w:val="auto"/>
          <w:lang w:val="en-US"/>
        </w:rPr>
      </w:pPr>
      <w:bookmarkStart w:id="16" w:name="_Ref480887078"/>
      <w:r w:rsidRPr="00055486">
        <w:rPr>
          <w:rFonts w:ascii="Calibri" w:hAnsi="Calibri" w:cs="Calibri"/>
          <w:color w:val="auto"/>
          <w:sz w:val="24"/>
          <w:szCs w:val="24"/>
          <w:lang w:val="en-US"/>
        </w:rPr>
        <w:t xml:space="preserve">Figure </w:t>
      </w:r>
      <w:r w:rsidRPr="00055486">
        <w:rPr>
          <w:rFonts w:ascii="Calibri" w:hAnsi="Calibri" w:cs="Calibri"/>
          <w:color w:val="auto"/>
          <w:sz w:val="24"/>
          <w:szCs w:val="24"/>
        </w:rPr>
        <w:fldChar w:fldCharType="begin"/>
      </w:r>
      <w:r w:rsidRPr="00055486">
        <w:rPr>
          <w:rFonts w:ascii="Calibri" w:hAnsi="Calibri" w:cs="Calibri"/>
          <w:color w:val="auto"/>
          <w:sz w:val="24"/>
          <w:szCs w:val="24"/>
          <w:lang w:val="en-US"/>
        </w:rPr>
        <w:instrText xml:space="preserve"> SEQ Figur \* ARABIC </w:instrText>
      </w:r>
      <w:r w:rsidRPr="00055486">
        <w:rPr>
          <w:rFonts w:ascii="Calibri" w:hAnsi="Calibri" w:cs="Calibri"/>
          <w:color w:val="auto"/>
          <w:sz w:val="24"/>
          <w:szCs w:val="24"/>
        </w:rPr>
        <w:fldChar w:fldCharType="separate"/>
      </w:r>
      <w:r w:rsidR="0057135D" w:rsidRPr="00055486">
        <w:rPr>
          <w:rFonts w:ascii="Calibri" w:hAnsi="Calibri" w:cs="Calibri"/>
          <w:noProof/>
          <w:color w:val="auto"/>
          <w:sz w:val="24"/>
          <w:szCs w:val="24"/>
          <w:lang w:val="en-US"/>
        </w:rPr>
        <w:t>1</w:t>
      </w:r>
      <w:r w:rsidRPr="00055486">
        <w:rPr>
          <w:rFonts w:ascii="Calibri" w:hAnsi="Calibri" w:cs="Calibri"/>
          <w:color w:val="auto"/>
          <w:sz w:val="24"/>
          <w:szCs w:val="24"/>
        </w:rPr>
        <w:fldChar w:fldCharType="end"/>
      </w:r>
      <w:bookmarkEnd w:id="16"/>
      <w:r w:rsidRPr="00055486">
        <w:rPr>
          <w:rFonts w:ascii="Calibri" w:hAnsi="Calibri" w:cs="Calibri"/>
          <w:color w:val="auto"/>
          <w:sz w:val="24"/>
          <w:szCs w:val="24"/>
          <w:lang w:val="en-US"/>
        </w:rPr>
        <w:t>.</w:t>
      </w:r>
      <w:r w:rsidRPr="00055486">
        <w:rPr>
          <w:rFonts w:ascii="Calibri" w:hAnsi="Calibri" w:cs="Calibri"/>
          <w:color w:val="auto"/>
          <w:lang w:val="en-US"/>
        </w:rPr>
        <w:t xml:space="preserve">  </w:t>
      </w:r>
      <w:r w:rsidRPr="00055486">
        <w:rPr>
          <w:rFonts w:ascii="Calibri" w:hAnsi="Calibri" w:cs="Calibri"/>
          <w:b/>
          <w:color w:val="auto"/>
          <w:lang w:val="en-US"/>
        </w:rPr>
        <w:t>The figure shows the reduction of guaranteed pension in relation to income-related pension.</w:t>
      </w:r>
      <w:r w:rsidRPr="00055486">
        <w:rPr>
          <w:rFonts w:ascii="Calibri" w:hAnsi="Calibri" w:cs="Calibri"/>
          <w:color w:val="auto"/>
          <w:sz w:val="16"/>
          <w:szCs w:val="16"/>
          <w:lang w:val="en-US"/>
        </w:rPr>
        <w:t xml:space="preserve"> </w:t>
      </w:r>
      <w:r w:rsidR="00B93C3F" w:rsidRPr="00055486">
        <w:rPr>
          <w:rFonts w:ascii="Calibri" w:hAnsi="Calibri" w:cs="Calibri"/>
          <w:color w:val="auto"/>
          <w:sz w:val="20"/>
          <w:szCs w:val="20"/>
          <w:lang w:val="en-US"/>
        </w:rPr>
        <w:t>Values represent price-related base amounts and (monthly pension in SEK, 2016)</w:t>
      </w:r>
      <w:r w:rsidR="005001F8" w:rsidRPr="00055486">
        <w:rPr>
          <w:rFonts w:ascii="Calibri" w:hAnsi="Calibri" w:cs="Calibri"/>
          <w:color w:val="auto"/>
          <w:sz w:val="20"/>
          <w:szCs w:val="20"/>
          <w:lang w:val="en-US"/>
        </w:rPr>
        <w:t>. Source</w:t>
      </w:r>
      <w:r w:rsidR="00BA15DD" w:rsidRPr="00055486">
        <w:rPr>
          <w:rFonts w:ascii="Calibri" w:hAnsi="Calibri" w:cs="Calibri"/>
          <w:color w:val="auto"/>
          <w:sz w:val="20"/>
          <w:szCs w:val="20"/>
          <w:lang w:val="en-US"/>
        </w:rPr>
        <w:t>:</w:t>
      </w:r>
      <w:r w:rsidR="005001F8" w:rsidRPr="00055486">
        <w:rPr>
          <w:rFonts w:ascii="Calibri" w:hAnsi="Calibri" w:cs="Calibri"/>
          <w:color w:val="auto"/>
          <w:sz w:val="20"/>
          <w:szCs w:val="20"/>
          <w:lang w:val="en-US"/>
        </w:rPr>
        <w:t xml:space="preserve"> Orange Report 2016.</w:t>
      </w:r>
    </w:p>
    <w:p w:rsidR="003320DF" w:rsidRDefault="003320DF" w:rsidP="003320DF">
      <w:pPr>
        <w:rPr>
          <w:rFonts w:ascii="Verdana" w:hAnsi="Verdana"/>
          <w:b/>
          <w:sz w:val="20"/>
          <w:szCs w:val="20"/>
          <w:lang w:val="en-US"/>
        </w:rPr>
      </w:pPr>
      <w:r>
        <w:rPr>
          <w:lang w:val="en-US"/>
        </w:rPr>
        <w:br w:type="page"/>
      </w:r>
    </w:p>
    <w:p w:rsidR="003320DF" w:rsidRDefault="003320DF" w:rsidP="003320DF">
      <w:pPr>
        <w:pStyle w:val="Titre2"/>
        <w:rPr>
          <w:lang w:val="en-US"/>
        </w:rPr>
      </w:pPr>
      <w:bookmarkStart w:id="17" w:name="_Toc477454864"/>
      <w:bookmarkStart w:id="18" w:name="_Toc479064206"/>
      <w:r>
        <w:rPr>
          <w:lang w:val="en-US"/>
        </w:rPr>
        <w:t>Inkomstpension</w:t>
      </w:r>
      <w:bookmarkEnd w:id="17"/>
      <w:bookmarkEnd w:id="18"/>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inkomstpension</w:t>
      </w:r>
      <w:r w:rsidRPr="00055486">
        <w:rPr>
          <w:rFonts w:ascii="Calibri" w:hAnsi="Calibri" w:cs="Calibri"/>
          <w:lang w:val="en-US"/>
        </w:rPr>
        <w:t xml:space="preserve"> is the largest part of the income related pension and it is a </w:t>
      </w:r>
      <w:r w:rsidRPr="00055486">
        <w:rPr>
          <w:rFonts w:ascii="Calibri" w:hAnsi="Calibri" w:cs="Calibri"/>
          <w:i/>
          <w:lang w:val="en-US"/>
        </w:rPr>
        <w:t>NDC</w:t>
      </w:r>
      <w:r w:rsidRPr="00055486">
        <w:rPr>
          <w:rFonts w:ascii="Calibri" w:hAnsi="Calibri" w:cs="Calibri"/>
          <w:lang w:val="en-US"/>
        </w:rPr>
        <w:t xml:space="preserve"> (</w:t>
      </w:r>
      <w:r w:rsidRPr="00055486">
        <w:rPr>
          <w:rFonts w:ascii="Calibri" w:hAnsi="Calibri" w:cs="Calibri"/>
          <w:i/>
          <w:lang w:val="en-US"/>
        </w:rPr>
        <w:t>Notional Defined Contribution</w:t>
      </w:r>
      <w:r w:rsidRPr="00055486">
        <w:rPr>
          <w:rFonts w:ascii="Calibri" w:hAnsi="Calibri" w:cs="Calibri"/>
          <w:lang w:val="en-US"/>
        </w:rPr>
        <w:t xml:space="preserve">) scheme. From the contribution of 18.5 percent of the </w:t>
      </w:r>
      <w:r w:rsidRPr="00055486">
        <w:rPr>
          <w:rFonts w:ascii="Calibri" w:hAnsi="Calibri" w:cs="Calibri"/>
          <w:i/>
          <w:lang w:val="en-US"/>
        </w:rPr>
        <w:t>income base,</w:t>
      </w:r>
      <w:r w:rsidRPr="00055486">
        <w:rPr>
          <w:rFonts w:ascii="Calibri" w:hAnsi="Calibri" w:cs="Calibri"/>
          <w:lang w:val="en-US"/>
        </w:rPr>
        <w:t xml:space="preserve"> 16 percentage points are deposited into the buffer fund. The monthly pension payments of the </w:t>
      </w:r>
      <w:r w:rsidRPr="00055486">
        <w:rPr>
          <w:rFonts w:ascii="Calibri" w:hAnsi="Calibri" w:cs="Calibri"/>
          <w:i/>
          <w:lang w:val="en-US"/>
        </w:rPr>
        <w:t>inkomstpension</w:t>
      </w:r>
      <w:r w:rsidR="001844FA" w:rsidRPr="00055486">
        <w:rPr>
          <w:rFonts w:ascii="Calibri" w:hAnsi="Calibri" w:cs="Calibri"/>
          <w:lang w:val="en-US"/>
        </w:rPr>
        <w:t xml:space="preserve"> come from this fund. </w:t>
      </w:r>
    </w:p>
    <w:p w:rsidR="003320DF" w:rsidRPr="00055486" w:rsidRDefault="003320DF" w:rsidP="00055486">
      <w:pPr>
        <w:jc w:val="both"/>
        <w:rPr>
          <w:rFonts w:ascii="Calibri" w:hAnsi="Calibri" w:cs="Calibri"/>
          <w:lang w:val="en-US"/>
        </w:rPr>
      </w:pPr>
      <w:r w:rsidRPr="00055486">
        <w:rPr>
          <w:rFonts w:ascii="Calibri" w:hAnsi="Calibri" w:cs="Calibri"/>
          <w:i/>
          <w:lang w:val="en-US"/>
        </w:rPr>
        <w:t>Pension credit</w:t>
      </w:r>
      <w:r w:rsidRPr="00055486">
        <w:rPr>
          <w:rFonts w:ascii="Calibri" w:hAnsi="Calibri" w:cs="Calibri"/>
          <w:lang w:val="en-US"/>
        </w:rPr>
        <w:t xml:space="preserve"> earned is registered on the individual</w:t>
      </w:r>
      <w:r w:rsidR="00E665E5" w:rsidRPr="00055486">
        <w:rPr>
          <w:rFonts w:ascii="Calibri" w:hAnsi="Calibri" w:cs="Calibri"/>
          <w:lang w:val="en-US"/>
        </w:rPr>
        <w:t>’</w:t>
      </w:r>
      <w:r w:rsidRPr="00055486">
        <w:rPr>
          <w:rFonts w:ascii="Calibri" w:hAnsi="Calibri" w:cs="Calibri"/>
          <w:lang w:val="en-US"/>
        </w:rPr>
        <w:t xml:space="preserve">s account in the same way as in a funded scheme with the difference being that the contribution is used to finance </w:t>
      </w:r>
      <w:r w:rsidR="00E665E5" w:rsidRPr="00055486">
        <w:rPr>
          <w:rFonts w:ascii="Calibri" w:hAnsi="Calibri" w:cs="Calibri"/>
          <w:lang w:val="en-US"/>
        </w:rPr>
        <w:t>today’s</w:t>
      </w:r>
      <w:r w:rsidRPr="00055486">
        <w:rPr>
          <w:rFonts w:ascii="Calibri" w:hAnsi="Calibri" w:cs="Calibri"/>
          <w:lang w:val="en-US"/>
        </w:rPr>
        <w:t xml:space="preserve"> pension disbursements.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Each year (in December) </w:t>
      </w:r>
      <w:r w:rsidRPr="00055486">
        <w:rPr>
          <w:rFonts w:ascii="Calibri" w:hAnsi="Calibri" w:cs="Calibri"/>
          <w:i/>
          <w:lang w:val="en-US"/>
        </w:rPr>
        <w:t>pension credit</w:t>
      </w:r>
      <w:r w:rsidRPr="00055486">
        <w:rPr>
          <w:rFonts w:ascii="Calibri" w:hAnsi="Calibri" w:cs="Calibri"/>
          <w:lang w:val="en-US"/>
        </w:rPr>
        <w:t xml:space="preserve"> is accredited to the individual</w:t>
      </w:r>
      <w:r w:rsidR="007273DE" w:rsidRPr="00055486">
        <w:rPr>
          <w:rFonts w:ascii="Calibri" w:hAnsi="Calibri" w:cs="Calibri"/>
          <w:lang w:val="en-US"/>
        </w:rPr>
        <w:t>’</w:t>
      </w:r>
      <w:r w:rsidRPr="00055486">
        <w:rPr>
          <w:rFonts w:ascii="Calibri" w:hAnsi="Calibri" w:cs="Calibri"/>
          <w:lang w:val="en-US"/>
        </w:rPr>
        <w:t xml:space="preserve">s personal notional account. Before new </w:t>
      </w:r>
      <w:r w:rsidRPr="00055486">
        <w:rPr>
          <w:rFonts w:ascii="Calibri" w:hAnsi="Calibri" w:cs="Calibri"/>
          <w:i/>
          <w:lang w:val="en-US"/>
        </w:rPr>
        <w:t>pension credit</w:t>
      </w:r>
      <w:r w:rsidRPr="00055486">
        <w:rPr>
          <w:rFonts w:ascii="Calibri" w:hAnsi="Calibri" w:cs="Calibri"/>
          <w:lang w:val="en-US"/>
        </w:rPr>
        <w:t xml:space="preserve"> is added, the previous year</w:t>
      </w:r>
      <w:r w:rsidR="007273DE" w:rsidRPr="00055486">
        <w:rPr>
          <w:rFonts w:ascii="Calibri" w:hAnsi="Calibri" w:cs="Calibri"/>
          <w:lang w:val="en-US"/>
        </w:rPr>
        <w:t>’</w:t>
      </w:r>
      <w:r w:rsidRPr="00055486">
        <w:rPr>
          <w:rFonts w:ascii="Calibri" w:hAnsi="Calibri" w:cs="Calibri"/>
          <w:lang w:val="en-US"/>
        </w:rPr>
        <w:t xml:space="preserve">s value is multiplied with an </w:t>
      </w:r>
      <w:r w:rsidRPr="00055486">
        <w:rPr>
          <w:rFonts w:ascii="Calibri" w:hAnsi="Calibri" w:cs="Calibri"/>
          <w:i/>
          <w:lang w:val="en-US"/>
        </w:rPr>
        <w:t>inheritance gains factor</w:t>
      </w:r>
      <w:r w:rsidRPr="00055486">
        <w:rPr>
          <w:rFonts w:ascii="Calibri" w:hAnsi="Calibri" w:cs="Calibri"/>
          <w:lang w:val="en-US"/>
        </w:rPr>
        <w:t xml:space="preserve">. The </w:t>
      </w:r>
      <w:r w:rsidRPr="00055486">
        <w:rPr>
          <w:rFonts w:ascii="Calibri" w:hAnsi="Calibri" w:cs="Calibri"/>
          <w:i/>
          <w:lang w:val="en-US"/>
        </w:rPr>
        <w:t>inheritance gains factor</w:t>
      </w:r>
      <w:r w:rsidRPr="00055486">
        <w:rPr>
          <w:rFonts w:ascii="Calibri" w:hAnsi="Calibri" w:cs="Calibri"/>
          <w:lang w:val="en-US"/>
        </w:rPr>
        <w:t xml:space="preserve"> redistributes capital of the deceased to the survivors of the same cohort. For ages up to the age of 60 it is the actual accumulated capital that is redistributed whereas it from the age of 60 and above is based on the life expectancy of the total Swedish population, which is the same data used for the calculation of the </w:t>
      </w:r>
      <w:r w:rsidRPr="00055486">
        <w:rPr>
          <w:rFonts w:ascii="Calibri" w:hAnsi="Calibri" w:cs="Calibri"/>
          <w:i/>
          <w:lang w:val="en-US"/>
        </w:rPr>
        <w:t>annuity divisors</w:t>
      </w:r>
      <w:r w:rsidR="001844FA"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Total capital is indexed with the change of the </w:t>
      </w:r>
      <w:r w:rsidRPr="00055486">
        <w:rPr>
          <w:rFonts w:ascii="Calibri" w:hAnsi="Calibri" w:cs="Calibri"/>
          <w:i/>
          <w:lang w:val="en-US"/>
        </w:rPr>
        <w:t>income index</w:t>
      </w:r>
      <w:r w:rsidRPr="00055486">
        <w:rPr>
          <w:rFonts w:ascii="Calibri" w:hAnsi="Calibri" w:cs="Calibri"/>
          <w:lang w:val="en-US"/>
        </w:rPr>
        <w:t xml:space="preserve"> (</w:t>
      </w:r>
      <w:r w:rsidRPr="00055486">
        <w:rPr>
          <w:rFonts w:ascii="Calibri" w:hAnsi="Calibri" w:cs="Calibri"/>
          <w:i/>
          <w:lang w:val="en-US"/>
        </w:rPr>
        <w:t>balance index</w:t>
      </w:r>
      <w:r w:rsidRPr="00055486">
        <w:rPr>
          <w:rFonts w:ascii="Calibri" w:hAnsi="Calibri" w:cs="Calibri"/>
          <w:lang w:val="en-US"/>
        </w:rPr>
        <w:t xml:space="preserve"> in a balancing period) over the year-end. To cover administrative costs an </w:t>
      </w:r>
      <w:r w:rsidRPr="00055486">
        <w:rPr>
          <w:rFonts w:ascii="Calibri" w:hAnsi="Calibri" w:cs="Calibri"/>
          <w:i/>
          <w:lang w:val="en-US"/>
        </w:rPr>
        <w:t>administrative-cost factor</w:t>
      </w:r>
      <w:r w:rsidRPr="00055486">
        <w:rPr>
          <w:rFonts w:ascii="Calibri" w:hAnsi="Calibri" w:cs="Calibri"/>
          <w:lang w:val="en-US"/>
        </w:rPr>
        <w:t xml:space="preserve"> is applied to the account balance. For pensioners no administrative cost is deducted. These statements are distributed to each individual each year in the </w:t>
      </w:r>
      <w:r w:rsidRPr="00055486">
        <w:rPr>
          <w:rFonts w:ascii="Calibri" w:hAnsi="Calibri" w:cs="Calibri"/>
          <w:i/>
          <w:lang w:val="en-US"/>
        </w:rPr>
        <w:t>Orange Envelope</w:t>
      </w:r>
      <w:r w:rsidRPr="00055486">
        <w:rPr>
          <w:rFonts w:ascii="Calibri" w:hAnsi="Calibri" w:cs="Calibri"/>
          <w:lang w:val="en-US"/>
        </w:rPr>
        <w:t>.</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Upon retirement, the accumulated notional capital is converted into a monthly pension by the usage of the </w:t>
      </w:r>
      <w:r w:rsidRPr="00055486">
        <w:rPr>
          <w:rFonts w:ascii="Calibri" w:hAnsi="Calibri" w:cs="Calibri"/>
          <w:i/>
          <w:lang w:val="en-US"/>
        </w:rPr>
        <w:t>annuity divisor</w:t>
      </w:r>
      <w:r w:rsidRPr="00055486">
        <w:rPr>
          <w:rFonts w:ascii="Calibri" w:hAnsi="Calibri" w:cs="Calibri"/>
          <w:lang w:val="en-US"/>
        </w:rPr>
        <w:t xml:space="preserve">. The </w:t>
      </w:r>
      <w:r w:rsidRPr="00055486">
        <w:rPr>
          <w:rFonts w:ascii="Calibri" w:hAnsi="Calibri" w:cs="Calibri"/>
          <w:i/>
          <w:lang w:val="en-US"/>
        </w:rPr>
        <w:t>annuity divisor</w:t>
      </w:r>
      <w:r w:rsidRPr="00055486">
        <w:rPr>
          <w:rFonts w:ascii="Calibri" w:hAnsi="Calibri" w:cs="Calibri"/>
          <w:lang w:val="en-US"/>
        </w:rPr>
        <w:t xml:space="preserve"> is the life expectancy at the given age with consideration given to the advance interest of 1.6 percent. The application of the advance interest rate raises the initial pension payment at the expense of a reduced indexation. At the year the individual turns 65 the </w:t>
      </w:r>
      <w:r w:rsidRPr="00055486">
        <w:rPr>
          <w:rFonts w:ascii="Calibri" w:hAnsi="Calibri" w:cs="Calibri"/>
          <w:i/>
          <w:lang w:val="en-US"/>
        </w:rPr>
        <w:t>annuity divisors</w:t>
      </w:r>
      <w:r w:rsidRPr="00055486">
        <w:rPr>
          <w:rFonts w:ascii="Calibri" w:hAnsi="Calibri" w:cs="Calibri"/>
          <w:lang w:val="en-US"/>
        </w:rPr>
        <w:t xml:space="preserve"> for that cohort will be fixed for all ages. Increases in longevity will therefore put a strain on the system. The </w:t>
      </w:r>
      <w:r w:rsidRPr="00055486">
        <w:rPr>
          <w:rFonts w:ascii="Calibri" w:hAnsi="Calibri" w:cs="Calibri"/>
          <w:i/>
          <w:lang w:val="en-US"/>
        </w:rPr>
        <w:t>annuity divisors</w:t>
      </w:r>
      <w:r w:rsidRPr="00055486">
        <w:rPr>
          <w:rFonts w:ascii="Calibri" w:hAnsi="Calibri" w:cs="Calibri"/>
          <w:lang w:val="en-US"/>
        </w:rPr>
        <w:t xml:space="preserve"> are calculated on period data for the latest five-year perio</w:t>
      </w:r>
      <w:r w:rsidR="001844FA" w:rsidRPr="00055486">
        <w:rPr>
          <w:rFonts w:ascii="Calibri" w:hAnsi="Calibri" w:cs="Calibri"/>
          <w:lang w:val="en-US"/>
        </w:rPr>
        <w:t xml:space="preserve">d available and it is unisex.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Indexation is normally the growth of the average income measured by the </w:t>
      </w:r>
      <w:r w:rsidRPr="00055486">
        <w:rPr>
          <w:rFonts w:ascii="Calibri" w:hAnsi="Calibri" w:cs="Calibri"/>
          <w:i/>
          <w:lang w:val="en-US"/>
        </w:rPr>
        <w:t>income index</w:t>
      </w:r>
      <w:r w:rsidRPr="00055486">
        <w:rPr>
          <w:rFonts w:ascii="Calibri" w:hAnsi="Calibri" w:cs="Calibri"/>
          <w:lang w:val="en-US"/>
        </w:rPr>
        <w:t xml:space="preserve">. As of 2017, the </w:t>
      </w:r>
      <w:r w:rsidRPr="00055486">
        <w:rPr>
          <w:rFonts w:ascii="Calibri" w:hAnsi="Calibri" w:cs="Calibri"/>
          <w:i/>
          <w:lang w:val="en-US"/>
        </w:rPr>
        <w:t>income index</w:t>
      </w:r>
      <w:r w:rsidRPr="00055486">
        <w:rPr>
          <w:rFonts w:ascii="Calibri" w:hAnsi="Calibri" w:cs="Calibri"/>
          <w:lang w:val="en-US"/>
        </w:rPr>
        <w:t xml:space="preserve"> of year</w:t>
      </w:r>
      <w:r w:rsidRPr="00055486">
        <w:rPr>
          <w:rFonts w:ascii="Calibri" w:hAnsi="Calibri" w:cs="Calibri"/>
          <w:i/>
          <w:lang w:val="en-US"/>
        </w:rPr>
        <w:t xml:space="preserve"> t</w:t>
      </w:r>
      <w:r w:rsidRPr="00055486">
        <w:rPr>
          <w:rFonts w:ascii="Calibri" w:hAnsi="Calibri" w:cs="Calibri"/>
          <w:lang w:val="en-US"/>
        </w:rPr>
        <w:t xml:space="preserve"> measures the change in average income between </w:t>
      </w:r>
      <w:proofErr w:type="gramStart"/>
      <w:r w:rsidRPr="00055486">
        <w:rPr>
          <w:rFonts w:ascii="Calibri" w:hAnsi="Calibri" w:cs="Calibri"/>
          <w:lang w:val="en-US"/>
        </w:rPr>
        <w:t>years</w:t>
      </w:r>
      <w:proofErr w:type="gramEnd"/>
      <w:r w:rsidRPr="00055486">
        <w:rPr>
          <w:rFonts w:ascii="Calibri" w:hAnsi="Calibri" w:cs="Calibri"/>
          <w:lang w:val="en-US"/>
        </w:rPr>
        <w:t xml:space="preserve"> </w:t>
      </w:r>
      <w:r w:rsidRPr="00055486">
        <w:rPr>
          <w:rFonts w:ascii="Calibri" w:hAnsi="Calibri" w:cs="Calibri"/>
          <w:i/>
          <w:lang w:val="en-US"/>
        </w:rPr>
        <w:t>t-2</w:t>
      </w:r>
      <w:r w:rsidRPr="00055486">
        <w:rPr>
          <w:rFonts w:ascii="Calibri" w:hAnsi="Calibri" w:cs="Calibri"/>
          <w:lang w:val="en-US"/>
        </w:rPr>
        <w:t xml:space="preserve"> and </w:t>
      </w:r>
      <w:r w:rsidRPr="00055486">
        <w:rPr>
          <w:rFonts w:ascii="Calibri" w:hAnsi="Calibri" w:cs="Calibri"/>
          <w:i/>
          <w:lang w:val="en-US"/>
        </w:rPr>
        <w:t>t-1</w:t>
      </w:r>
      <w:r w:rsidRPr="00055486">
        <w:rPr>
          <w:rFonts w:ascii="Calibri" w:hAnsi="Calibri" w:cs="Calibri"/>
          <w:lang w:val="en-US"/>
        </w:rPr>
        <w:t xml:space="preserve">. If assets are less than liabilities the indexation is reduced and pensions and account balances are then indexed by the </w:t>
      </w:r>
      <w:r w:rsidRPr="00055486">
        <w:rPr>
          <w:rFonts w:ascii="Calibri" w:hAnsi="Calibri" w:cs="Calibri"/>
          <w:i/>
          <w:lang w:val="en-US"/>
        </w:rPr>
        <w:t>balance index</w:t>
      </w:r>
      <w:r w:rsidRPr="00055486">
        <w:rPr>
          <w:rFonts w:ascii="Calibri" w:hAnsi="Calibri" w:cs="Calibri"/>
          <w:lang w:val="en-US"/>
        </w:rPr>
        <w:t xml:space="preserve">. </w:t>
      </w:r>
      <w:r w:rsidRPr="00055486">
        <w:rPr>
          <w:rFonts w:ascii="Calibri" w:hAnsi="Calibri" w:cs="Calibri"/>
          <w:i/>
          <w:lang w:val="en-US"/>
        </w:rPr>
        <w:t>Adjustment indexation</w:t>
      </w:r>
      <w:r w:rsidRPr="00055486">
        <w:rPr>
          <w:rFonts w:ascii="Calibri" w:hAnsi="Calibri" w:cs="Calibri"/>
          <w:lang w:val="en-US"/>
        </w:rPr>
        <w:t xml:space="preserve"> is used for pensions, which is indexation with the reduction of the advance interest of 1.6 percent.</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quotient between assets and liabilities is termed the </w:t>
      </w:r>
      <w:r w:rsidRPr="00055486">
        <w:rPr>
          <w:rFonts w:ascii="Calibri" w:hAnsi="Calibri" w:cs="Calibri"/>
          <w:i/>
          <w:lang w:val="en-US"/>
        </w:rPr>
        <w:t>balance ratio</w:t>
      </w:r>
      <w:r w:rsidRPr="00055486">
        <w:rPr>
          <w:rFonts w:ascii="Calibri" w:hAnsi="Calibri" w:cs="Calibri"/>
          <w:lang w:val="en-US"/>
        </w:rPr>
        <w:t xml:space="preserve"> and a ratio less than unity results in reduced indexing. A </w:t>
      </w:r>
      <w:r w:rsidRPr="00055486">
        <w:rPr>
          <w:rFonts w:ascii="Calibri" w:hAnsi="Calibri" w:cs="Calibri"/>
          <w:i/>
          <w:lang w:val="en-US"/>
        </w:rPr>
        <w:t>balance ratio</w:t>
      </w:r>
      <w:r w:rsidRPr="00055486">
        <w:rPr>
          <w:rFonts w:ascii="Calibri" w:hAnsi="Calibri" w:cs="Calibri"/>
          <w:lang w:val="en-US"/>
        </w:rPr>
        <w:t xml:space="preserve"> less than unity triggers the </w:t>
      </w:r>
      <w:r w:rsidRPr="00055486">
        <w:rPr>
          <w:rFonts w:ascii="Calibri" w:hAnsi="Calibri" w:cs="Calibri"/>
          <w:i/>
          <w:lang w:val="en-US"/>
        </w:rPr>
        <w:t>automatic balancing mechanism</w:t>
      </w:r>
      <w:r w:rsidRPr="00055486">
        <w:rPr>
          <w:rFonts w:ascii="Calibri" w:hAnsi="Calibri" w:cs="Calibri"/>
          <w:lang w:val="en-US"/>
        </w:rPr>
        <w:t xml:space="preserve"> and a balancing period is activated and remains until the </w:t>
      </w:r>
      <w:r w:rsidRPr="00055486">
        <w:rPr>
          <w:rFonts w:ascii="Calibri" w:hAnsi="Calibri" w:cs="Calibri"/>
          <w:i/>
          <w:lang w:val="en-US"/>
        </w:rPr>
        <w:t>balance index</w:t>
      </w:r>
      <w:r w:rsidRPr="00055486">
        <w:rPr>
          <w:rFonts w:ascii="Calibri" w:hAnsi="Calibri" w:cs="Calibri"/>
          <w:lang w:val="en-US"/>
        </w:rPr>
        <w:t xml:space="preserve"> reaches the </w:t>
      </w:r>
      <w:r w:rsidRPr="00055486">
        <w:rPr>
          <w:rFonts w:ascii="Calibri" w:hAnsi="Calibri" w:cs="Calibri"/>
          <w:i/>
          <w:lang w:val="en-US"/>
        </w:rPr>
        <w:t>income index</w:t>
      </w:r>
      <w:r w:rsidRPr="00055486">
        <w:rPr>
          <w:rFonts w:ascii="Calibri" w:hAnsi="Calibri" w:cs="Calibri"/>
          <w:lang w:val="en-US"/>
        </w:rPr>
        <w:t xml:space="preserve">. During this period the indexing will be greater than that of the </w:t>
      </w:r>
      <w:r w:rsidRPr="00055486">
        <w:rPr>
          <w:rFonts w:ascii="Calibri" w:hAnsi="Calibri" w:cs="Calibri"/>
          <w:i/>
          <w:lang w:val="en-US"/>
        </w:rPr>
        <w:t>income index</w:t>
      </w:r>
      <w:r w:rsidRPr="00055486">
        <w:rPr>
          <w:rFonts w:ascii="Calibri" w:hAnsi="Calibri" w:cs="Calibri"/>
          <w:lang w:val="en-US"/>
        </w:rPr>
        <w:t xml:space="preserve"> when the </w:t>
      </w:r>
      <w:r w:rsidRPr="00055486">
        <w:rPr>
          <w:rFonts w:ascii="Calibri" w:hAnsi="Calibri" w:cs="Calibri"/>
          <w:i/>
          <w:lang w:val="en-US"/>
        </w:rPr>
        <w:t>balance ratio</w:t>
      </w:r>
      <w:r w:rsidRPr="00055486">
        <w:rPr>
          <w:rFonts w:ascii="Calibri" w:hAnsi="Calibri" w:cs="Calibri"/>
          <w:lang w:val="en-US"/>
        </w:rPr>
        <w:t xml:space="preserve"> is greater than one and reverse if it is lower. As of 2017 (calculated in 2016 based on data up until the year 2015) a </w:t>
      </w:r>
      <w:r w:rsidRPr="00055486">
        <w:rPr>
          <w:rFonts w:ascii="Calibri" w:hAnsi="Calibri" w:cs="Calibri"/>
          <w:i/>
          <w:lang w:val="en-US"/>
        </w:rPr>
        <w:t>damped balance ratio</w:t>
      </w:r>
      <w:r w:rsidRPr="00055486">
        <w:rPr>
          <w:rFonts w:ascii="Calibri" w:hAnsi="Calibri" w:cs="Calibri"/>
          <w:lang w:val="en-US"/>
        </w:rPr>
        <w:t xml:space="preserve"> was introduced which miti</w:t>
      </w:r>
      <w:r w:rsidR="001844FA" w:rsidRPr="00055486">
        <w:rPr>
          <w:rFonts w:ascii="Calibri" w:hAnsi="Calibri" w:cs="Calibri"/>
          <w:lang w:val="en-US"/>
        </w:rPr>
        <w:t xml:space="preserve">gates the impact to one third.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Liabilities are divided into economically active and pensioners, for the active the liabilities are the summation of their account balances at the year-end. The liability of the pensioners are estimated as the lifelong value of current pensions, this is done by multiplying the pension disbursements of December with the </w:t>
      </w:r>
      <w:r w:rsidRPr="00055486">
        <w:rPr>
          <w:rFonts w:ascii="Calibri" w:hAnsi="Calibri" w:cs="Calibri"/>
          <w:i/>
          <w:lang w:val="en-US"/>
        </w:rPr>
        <w:t>economic annuity divisor</w:t>
      </w:r>
      <w:r w:rsidRPr="00055486">
        <w:rPr>
          <w:rFonts w:ascii="Calibri" w:hAnsi="Calibri" w:cs="Calibri"/>
          <w:lang w:val="en-US"/>
        </w:rPr>
        <w:t xml:space="preserve"> of the same cohort and the factor 12 (number of months). An estimation of earned </w:t>
      </w:r>
      <w:r w:rsidR="00CD274C" w:rsidRPr="00055486">
        <w:rPr>
          <w:rFonts w:ascii="Calibri" w:hAnsi="Calibri" w:cs="Calibri"/>
          <w:i/>
          <w:lang w:val="en-US"/>
        </w:rPr>
        <w:t xml:space="preserve">pension </w:t>
      </w:r>
      <w:r w:rsidRPr="00055486">
        <w:rPr>
          <w:rFonts w:ascii="Calibri" w:hAnsi="Calibri" w:cs="Calibri"/>
          <w:i/>
          <w:lang w:val="en-US"/>
        </w:rPr>
        <w:t>credit</w:t>
      </w:r>
      <w:r w:rsidRPr="00055486">
        <w:rPr>
          <w:rFonts w:ascii="Calibri" w:hAnsi="Calibri" w:cs="Calibri"/>
          <w:lang w:val="en-US"/>
        </w:rPr>
        <w:t xml:space="preserve"> during the year (which is not yet known) is also added to the liability.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Assets are divided into funded assets (buffer fund) and the </w:t>
      </w:r>
      <w:r w:rsidRPr="00055486">
        <w:rPr>
          <w:rFonts w:ascii="Calibri" w:hAnsi="Calibri" w:cs="Calibri"/>
          <w:i/>
          <w:lang w:val="en-US"/>
        </w:rPr>
        <w:t>contribution asset</w:t>
      </w:r>
      <w:r w:rsidRPr="00055486">
        <w:rPr>
          <w:rFonts w:ascii="Calibri" w:hAnsi="Calibri" w:cs="Calibri"/>
          <w:lang w:val="en-US"/>
        </w:rPr>
        <w:t xml:space="preserve">. The value of the buffer fund is the market value per 31 December of the five AP-funds. The </w:t>
      </w:r>
      <w:r w:rsidRPr="00055486">
        <w:rPr>
          <w:rFonts w:ascii="Calibri" w:hAnsi="Calibri" w:cs="Calibri"/>
          <w:i/>
          <w:lang w:val="en-US"/>
        </w:rPr>
        <w:t>contribution asset</w:t>
      </w:r>
      <w:r w:rsidRPr="00055486">
        <w:rPr>
          <w:rFonts w:ascii="Calibri" w:hAnsi="Calibri" w:cs="Calibri"/>
          <w:lang w:val="en-US"/>
        </w:rPr>
        <w:t xml:space="preserve"> is the </w:t>
      </w:r>
      <w:r w:rsidRPr="00055486">
        <w:rPr>
          <w:rFonts w:ascii="Calibri" w:hAnsi="Calibri" w:cs="Calibri"/>
          <w:i/>
          <w:lang w:val="en-US"/>
        </w:rPr>
        <w:t>contribution revenue</w:t>
      </w:r>
      <w:r w:rsidRPr="00055486">
        <w:rPr>
          <w:rFonts w:ascii="Calibri" w:hAnsi="Calibri" w:cs="Calibri"/>
          <w:lang w:val="en-US"/>
        </w:rPr>
        <w:t xml:space="preserve"> multiplied by the </w:t>
      </w:r>
      <w:r w:rsidRPr="00055486">
        <w:rPr>
          <w:rFonts w:ascii="Calibri" w:hAnsi="Calibri" w:cs="Calibri"/>
          <w:i/>
          <w:lang w:val="en-US"/>
        </w:rPr>
        <w:t>turnover duration</w:t>
      </w:r>
      <w:r w:rsidRPr="00055486">
        <w:rPr>
          <w:rFonts w:ascii="Calibri" w:hAnsi="Calibri" w:cs="Calibri"/>
          <w:lang w:val="en-US"/>
        </w:rPr>
        <w:t xml:space="preserve">. The </w:t>
      </w:r>
      <w:r w:rsidRPr="00055486">
        <w:rPr>
          <w:rFonts w:ascii="Calibri" w:hAnsi="Calibri" w:cs="Calibri"/>
          <w:i/>
          <w:lang w:val="en-US"/>
        </w:rPr>
        <w:t>contribution revenue</w:t>
      </w:r>
      <w:r w:rsidRPr="00055486">
        <w:rPr>
          <w:rFonts w:ascii="Calibri" w:hAnsi="Calibri" w:cs="Calibri"/>
          <w:lang w:val="en-US"/>
        </w:rPr>
        <w:t xml:space="preserve"> is the total pension contributions paid to the </w:t>
      </w:r>
      <w:r w:rsidRPr="00055486">
        <w:rPr>
          <w:rFonts w:ascii="Calibri" w:hAnsi="Calibri" w:cs="Calibri"/>
          <w:i/>
          <w:lang w:val="en-US"/>
        </w:rPr>
        <w:t>pay as you go</w:t>
      </w:r>
      <w:r w:rsidRPr="00055486">
        <w:rPr>
          <w:rFonts w:ascii="Calibri" w:hAnsi="Calibri" w:cs="Calibri"/>
          <w:lang w:val="en-US"/>
        </w:rPr>
        <w:t xml:space="preserve"> system during the year. The </w:t>
      </w:r>
      <w:r w:rsidRPr="00055486">
        <w:rPr>
          <w:rFonts w:ascii="Calibri" w:hAnsi="Calibri" w:cs="Calibri"/>
          <w:i/>
          <w:lang w:val="en-US"/>
        </w:rPr>
        <w:t>turnover duration</w:t>
      </w:r>
      <w:r w:rsidRPr="00055486">
        <w:rPr>
          <w:rFonts w:ascii="Calibri" w:hAnsi="Calibri" w:cs="Calibri"/>
          <w:lang w:val="en-US"/>
        </w:rPr>
        <w:t xml:space="preserve"> reflects the expected time from the earnings of </w:t>
      </w:r>
      <w:r w:rsidRPr="00055486">
        <w:rPr>
          <w:rFonts w:ascii="Calibri" w:hAnsi="Calibri" w:cs="Calibri"/>
          <w:i/>
          <w:lang w:val="en-US"/>
        </w:rPr>
        <w:t>pension credit</w:t>
      </w:r>
      <w:r w:rsidRPr="00055486">
        <w:rPr>
          <w:rFonts w:ascii="Calibri" w:hAnsi="Calibri" w:cs="Calibri"/>
          <w:lang w:val="en-US"/>
        </w:rPr>
        <w:t xml:space="preserve"> to the time of pension disbursement. </w:t>
      </w:r>
    </w:p>
    <w:p w:rsidR="003320DF" w:rsidRDefault="003320DF" w:rsidP="003320DF">
      <w:pPr>
        <w:rPr>
          <w:lang w:val="en-US"/>
        </w:rPr>
      </w:pPr>
    </w:p>
    <w:p w:rsidR="003320DF" w:rsidRDefault="003320DF" w:rsidP="003320DF">
      <w:pPr>
        <w:rPr>
          <w:rFonts w:ascii="Verdana" w:hAnsi="Verdana"/>
          <w:b/>
          <w:sz w:val="20"/>
          <w:szCs w:val="20"/>
          <w:lang w:val="en-US"/>
        </w:rPr>
      </w:pPr>
      <w:r>
        <w:rPr>
          <w:lang w:val="en-US"/>
        </w:rPr>
        <w:br w:type="page"/>
      </w:r>
    </w:p>
    <w:p w:rsidR="003320DF" w:rsidRDefault="003320DF" w:rsidP="003320DF">
      <w:pPr>
        <w:pStyle w:val="Titre2"/>
        <w:rPr>
          <w:lang w:val="en-US"/>
        </w:rPr>
      </w:pPr>
      <w:bookmarkStart w:id="19" w:name="_Toc477454865"/>
      <w:bookmarkStart w:id="20" w:name="_Toc479064207"/>
      <w:r>
        <w:rPr>
          <w:lang w:val="en-US"/>
        </w:rPr>
        <w:t>Premium Pension</w:t>
      </w:r>
      <w:bookmarkEnd w:id="19"/>
      <w:bookmarkEnd w:id="20"/>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allocation to the premium pension is 2.5 percentage points of the 18.5 percent of the </w:t>
      </w:r>
      <w:r w:rsidRPr="00055486">
        <w:rPr>
          <w:rFonts w:ascii="Calibri" w:hAnsi="Calibri" w:cs="Calibri"/>
          <w:i/>
          <w:lang w:val="en-US"/>
        </w:rPr>
        <w:t>pension base</w:t>
      </w:r>
      <w:r w:rsidRPr="00055486">
        <w:rPr>
          <w:rFonts w:ascii="Calibri" w:hAnsi="Calibri" w:cs="Calibri"/>
          <w:lang w:val="en-US"/>
        </w:rPr>
        <w:t>. The credit is invested in interest-bearing assets until the final tax settlement, when each individual</w:t>
      </w:r>
      <w:r w:rsidR="00A40217" w:rsidRPr="00055486">
        <w:rPr>
          <w:rFonts w:ascii="Calibri" w:hAnsi="Calibri" w:cs="Calibri"/>
          <w:lang w:val="en-US"/>
        </w:rPr>
        <w:t>’</w:t>
      </w:r>
      <w:r w:rsidRPr="00055486">
        <w:rPr>
          <w:rFonts w:ascii="Calibri" w:hAnsi="Calibri" w:cs="Calibri"/>
          <w:lang w:val="en-US"/>
        </w:rPr>
        <w:t xml:space="preserve">s credit is known.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first </w:t>
      </w:r>
      <w:r w:rsidRPr="00055486">
        <w:rPr>
          <w:rFonts w:ascii="Calibri" w:hAnsi="Calibri" w:cs="Calibri"/>
          <w:i/>
          <w:lang w:val="en-US"/>
        </w:rPr>
        <w:t>pension credit</w:t>
      </w:r>
      <w:r w:rsidRPr="00055486">
        <w:rPr>
          <w:rFonts w:ascii="Calibri" w:hAnsi="Calibri" w:cs="Calibri"/>
          <w:lang w:val="en-US"/>
        </w:rPr>
        <w:t xml:space="preserve"> for the premium pension was earned in 1995 but was invested in funds in the autumn of 2000. At the time, the importance of making an active choice was conveyed. Consequently about two thirds made an active choice of</w:t>
      </w:r>
      <w:r w:rsidR="001844FA" w:rsidRPr="00055486">
        <w:rPr>
          <w:rFonts w:ascii="Calibri" w:hAnsi="Calibri" w:cs="Calibri"/>
          <w:lang w:val="en-US"/>
        </w:rPr>
        <w:t xml:space="preserve"> the about 450 funds available.</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premium pension</w:t>
      </w:r>
      <w:r w:rsidRPr="00055486">
        <w:rPr>
          <w:rFonts w:ascii="Calibri" w:hAnsi="Calibri" w:cs="Calibri"/>
          <w:lang w:val="en-US"/>
        </w:rPr>
        <w:t xml:space="preserve"> is a fully funded premium savings scheme. Each person has his or her own personal savings account and each year (in December) new </w:t>
      </w:r>
      <w:r w:rsidRPr="00055486">
        <w:rPr>
          <w:rFonts w:ascii="Calibri" w:hAnsi="Calibri" w:cs="Calibri"/>
          <w:i/>
          <w:lang w:val="en-US"/>
        </w:rPr>
        <w:t>pension credit</w:t>
      </w:r>
      <w:r w:rsidRPr="00055486">
        <w:rPr>
          <w:rFonts w:ascii="Calibri" w:hAnsi="Calibri" w:cs="Calibri"/>
          <w:lang w:val="en-US"/>
        </w:rPr>
        <w:t xml:space="preserve"> is deposited into the account. The individual can choose up to five funds at a time for investment of their capital. Placement changes are free of charge for the individual and can be made at any time. A default state-owned fund is available (</w:t>
      </w:r>
      <w:r w:rsidRPr="00055486">
        <w:rPr>
          <w:rFonts w:ascii="Calibri" w:hAnsi="Calibri" w:cs="Calibri"/>
          <w:i/>
          <w:lang w:val="en-US"/>
        </w:rPr>
        <w:t>AP7 Såfa</w:t>
      </w:r>
      <w:r w:rsidRPr="00055486">
        <w:rPr>
          <w:rFonts w:ascii="Calibri" w:hAnsi="Calibri" w:cs="Calibri"/>
          <w:lang w:val="en-US"/>
        </w:rPr>
        <w:t xml:space="preserve">). The Pensions Agency acts as the owner of fund shares and is a single client in respect to the fund.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capital is once a year multiplied with an </w:t>
      </w:r>
      <w:r w:rsidRPr="00055486">
        <w:rPr>
          <w:rFonts w:ascii="Calibri" w:hAnsi="Calibri" w:cs="Calibri"/>
          <w:i/>
          <w:lang w:val="en-US"/>
        </w:rPr>
        <w:t>inheritance gains factor</w:t>
      </w:r>
      <w:r w:rsidRPr="00055486">
        <w:rPr>
          <w:rFonts w:ascii="Calibri" w:hAnsi="Calibri" w:cs="Calibri"/>
          <w:lang w:val="en-US"/>
        </w:rPr>
        <w:t xml:space="preserve"> (just like in the </w:t>
      </w:r>
      <w:r w:rsidRPr="00055486">
        <w:rPr>
          <w:rFonts w:ascii="Calibri" w:hAnsi="Calibri" w:cs="Calibri"/>
          <w:i/>
          <w:lang w:val="en-US"/>
        </w:rPr>
        <w:t>inkomstpension</w:t>
      </w:r>
      <w:r w:rsidRPr="00055486">
        <w:rPr>
          <w:rFonts w:ascii="Calibri" w:hAnsi="Calibri" w:cs="Calibri"/>
          <w:lang w:val="en-US"/>
        </w:rPr>
        <w:t xml:space="preserve">). The application of the </w:t>
      </w:r>
      <w:r w:rsidRPr="00055486">
        <w:rPr>
          <w:rFonts w:ascii="Calibri" w:hAnsi="Calibri" w:cs="Calibri"/>
          <w:i/>
          <w:lang w:val="en-US"/>
        </w:rPr>
        <w:t>inheritance gains factor</w:t>
      </w:r>
      <w:r w:rsidRPr="00055486">
        <w:rPr>
          <w:rFonts w:ascii="Calibri" w:hAnsi="Calibri" w:cs="Calibri"/>
          <w:lang w:val="en-US"/>
        </w:rPr>
        <w:t xml:space="preserve"> redistributes the capital of the deceased to the survivors, the computation is different from the one used in the </w:t>
      </w:r>
      <w:r w:rsidRPr="00055486">
        <w:rPr>
          <w:rFonts w:ascii="Calibri" w:hAnsi="Calibri" w:cs="Calibri"/>
          <w:i/>
          <w:lang w:val="en-US"/>
        </w:rPr>
        <w:t>inkomstpension</w:t>
      </w:r>
      <w:r w:rsidRPr="00055486">
        <w:rPr>
          <w:rFonts w:ascii="Calibri" w:hAnsi="Calibri" w:cs="Calibri"/>
          <w:lang w:val="en-US"/>
        </w:rPr>
        <w:t xml:space="preserve"> but with the same concept. An administration fee is deducted from all accounts. The fee is proportional and the average fee of 2015 was 0.07 percent</w:t>
      </w:r>
      <w:r w:rsidR="001844FA" w:rsidRPr="00055486">
        <w:rPr>
          <w:rFonts w:ascii="Calibri" w:hAnsi="Calibri" w:cs="Calibri"/>
          <w:lang w:val="en-US"/>
        </w:rPr>
        <w:t xml:space="preserve"> with a ceiling of 120 SEK.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individual also indirectly pays a fee to the fund management; this fee is taken from the fund and thus lowers the rate of return of the fund. The Pensions Agency has a fee ceiling for the funds, which is 0.89 percent for equity funds, 0.62 for mixed and generational funds and 0.42 percent for bond funds. If the fund fee is larger than the ceiling (which is not uncommon) the fund management will have to reimburse the Pensions Agency which in turn distributes the capital to the fund savers the following year. The average capital weighted management fee as of 2016 was gross 0.72 percent and net 0.23 percent.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At retirement the accumulated capital is divided by an </w:t>
      </w:r>
      <w:r w:rsidRPr="00055486">
        <w:rPr>
          <w:rFonts w:ascii="Calibri" w:hAnsi="Calibri" w:cs="Calibri"/>
          <w:i/>
          <w:lang w:val="en-US"/>
        </w:rPr>
        <w:t>annuity divisor</w:t>
      </w:r>
      <w:r w:rsidRPr="00055486">
        <w:rPr>
          <w:rFonts w:ascii="Calibri" w:hAnsi="Calibri" w:cs="Calibri"/>
          <w:lang w:val="en-US"/>
        </w:rPr>
        <w:t xml:space="preserve">, the divisor is computed in a different way than in the </w:t>
      </w:r>
      <w:r w:rsidRPr="00055486">
        <w:rPr>
          <w:rFonts w:ascii="Calibri" w:hAnsi="Calibri" w:cs="Calibri"/>
          <w:i/>
          <w:lang w:val="en-US"/>
        </w:rPr>
        <w:t>inkoms</w:t>
      </w:r>
      <w:r w:rsidR="0046754E" w:rsidRPr="00055486">
        <w:rPr>
          <w:rFonts w:ascii="Calibri" w:hAnsi="Calibri" w:cs="Calibri"/>
          <w:i/>
          <w:lang w:val="en-US"/>
        </w:rPr>
        <w:t>t</w:t>
      </w:r>
      <w:r w:rsidRPr="00055486">
        <w:rPr>
          <w:rFonts w:ascii="Calibri" w:hAnsi="Calibri" w:cs="Calibri"/>
          <w:i/>
          <w:lang w:val="en-US"/>
        </w:rPr>
        <w:t>pension</w:t>
      </w:r>
      <w:r w:rsidRPr="00055486">
        <w:rPr>
          <w:rFonts w:ascii="Calibri" w:hAnsi="Calibri" w:cs="Calibri"/>
          <w:lang w:val="en-US"/>
        </w:rPr>
        <w:t xml:space="preserve"> and it is recalculated each year for all cohorts. The pension can be drawn as either traditional insurance with profit annuity or fund insurance. Except for the guaranteed amount in the traditional insurance, there are no guarantees within the </w:t>
      </w:r>
      <w:r w:rsidRPr="00055486">
        <w:rPr>
          <w:rFonts w:ascii="Calibri" w:hAnsi="Calibri" w:cs="Calibri"/>
          <w:i/>
          <w:lang w:val="en-US"/>
        </w:rPr>
        <w:t>premium pension</w:t>
      </w:r>
      <w:r w:rsidRPr="00055486">
        <w:rPr>
          <w:rFonts w:ascii="Calibri" w:hAnsi="Calibri" w:cs="Calibri"/>
          <w:lang w:val="en-US"/>
        </w:rPr>
        <w:t xml:space="preserve"> system. The individual bears the full risk in terms of longevity and the rate of return on capital.  </w:t>
      </w:r>
    </w:p>
    <w:p w:rsidR="003320DF" w:rsidRPr="009F4EC2" w:rsidRDefault="003320DF" w:rsidP="003320DF">
      <w:pPr>
        <w:rPr>
          <w:lang w:val="en-US"/>
        </w:rPr>
      </w:pPr>
    </w:p>
    <w:p w:rsidR="001844FA" w:rsidRDefault="001844FA">
      <w:pPr>
        <w:tabs>
          <w:tab w:val="clear" w:pos="170"/>
        </w:tabs>
        <w:spacing w:after="160" w:line="259" w:lineRule="auto"/>
        <w:rPr>
          <w:rFonts w:asciiTheme="majorHAnsi" w:eastAsiaTheme="majorEastAsia" w:hAnsiTheme="majorHAnsi" w:cstheme="majorBidi"/>
          <w:color w:val="DC4912" w:themeColor="accent1"/>
          <w:sz w:val="36"/>
          <w:szCs w:val="26"/>
          <w:lang w:val="en-US"/>
        </w:rPr>
      </w:pPr>
      <w:bookmarkStart w:id="21" w:name="_Toc477454866"/>
      <w:r>
        <w:rPr>
          <w:lang w:val="en-US"/>
        </w:rPr>
        <w:br w:type="page"/>
      </w:r>
    </w:p>
    <w:p w:rsidR="003320DF" w:rsidRPr="0086127B" w:rsidRDefault="003320DF" w:rsidP="003320DF">
      <w:pPr>
        <w:pStyle w:val="Titre2"/>
        <w:rPr>
          <w:lang w:val="en-US"/>
        </w:rPr>
      </w:pPr>
      <w:bookmarkStart w:id="22" w:name="_Toc479064208"/>
      <w:r w:rsidRPr="0086127B">
        <w:rPr>
          <w:lang w:val="en-US"/>
        </w:rPr>
        <w:t>Transition</w:t>
      </w:r>
      <w:r>
        <w:rPr>
          <w:lang w:val="en-US"/>
        </w:rPr>
        <w:t xml:space="preserve"> Rules</w:t>
      </w:r>
      <w:bookmarkEnd w:id="21"/>
      <w:bookmarkEnd w:id="22"/>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introduction of the new system also led to changes in the </w:t>
      </w:r>
      <w:r w:rsidRPr="00055486">
        <w:rPr>
          <w:rFonts w:ascii="Calibri" w:hAnsi="Calibri" w:cs="Calibri"/>
          <w:i/>
          <w:lang w:val="en-US"/>
        </w:rPr>
        <w:t>ATP system</w:t>
      </w:r>
      <w:r w:rsidRPr="00055486">
        <w:rPr>
          <w:rFonts w:ascii="Calibri" w:hAnsi="Calibri" w:cs="Calibri"/>
          <w:lang w:val="en-US"/>
        </w:rPr>
        <w:t xml:space="preserve">. The indexation of pensions is the same for </w:t>
      </w:r>
      <w:r w:rsidRPr="00055486">
        <w:rPr>
          <w:rFonts w:ascii="Calibri" w:hAnsi="Calibri" w:cs="Calibri"/>
          <w:i/>
          <w:lang w:val="en-US"/>
        </w:rPr>
        <w:t>ATP</w:t>
      </w:r>
      <w:r w:rsidRPr="00055486">
        <w:rPr>
          <w:rFonts w:ascii="Calibri" w:hAnsi="Calibri" w:cs="Calibri"/>
          <w:lang w:val="en-US"/>
        </w:rPr>
        <w:t xml:space="preserve"> and </w:t>
      </w:r>
      <w:r w:rsidRPr="00055486">
        <w:rPr>
          <w:rFonts w:ascii="Calibri" w:hAnsi="Calibri" w:cs="Calibri"/>
          <w:i/>
          <w:lang w:val="en-US"/>
        </w:rPr>
        <w:t>inkomstpension</w:t>
      </w:r>
      <w:r w:rsidRPr="00055486">
        <w:rPr>
          <w:rFonts w:ascii="Calibri" w:hAnsi="Calibri" w:cs="Calibri"/>
          <w:lang w:val="en-US"/>
        </w:rPr>
        <w:t xml:space="preserve">. The </w:t>
      </w:r>
      <w:r w:rsidRPr="00055486">
        <w:rPr>
          <w:rFonts w:ascii="Calibri" w:hAnsi="Calibri" w:cs="Calibri"/>
          <w:i/>
          <w:lang w:val="en-US"/>
        </w:rPr>
        <w:t>adjustment</w:t>
      </w:r>
      <w:r w:rsidRPr="00055486">
        <w:rPr>
          <w:rFonts w:ascii="Calibri" w:hAnsi="Calibri" w:cs="Calibri"/>
          <w:lang w:val="en-US"/>
        </w:rPr>
        <w:t xml:space="preserve"> </w:t>
      </w:r>
      <w:r w:rsidRPr="00055486">
        <w:rPr>
          <w:rFonts w:ascii="Calibri" w:hAnsi="Calibri" w:cs="Calibri"/>
          <w:i/>
          <w:lang w:val="en-US"/>
        </w:rPr>
        <w:t>indexation</w:t>
      </w:r>
      <w:r w:rsidRPr="00055486">
        <w:rPr>
          <w:rFonts w:ascii="Calibri" w:hAnsi="Calibri" w:cs="Calibri"/>
          <w:lang w:val="en-US"/>
        </w:rPr>
        <w:t xml:space="preserve"> is a consequence of the advance interest in the </w:t>
      </w:r>
      <w:r w:rsidRPr="00055486">
        <w:rPr>
          <w:rFonts w:ascii="Calibri" w:hAnsi="Calibri" w:cs="Calibri"/>
          <w:i/>
          <w:lang w:val="en-US"/>
        </w:rPr>
        <w:t>annuity divisor</w:t>
      </w:r>
      <w:r w:rsidRPr="00055486">
        <w:rPr>
          <w:rFonts w:ascii="Calibri" w:hAnsi="Calibri" w:cs="Calibri"/>
          <w:lang w:val="en-US"/>
        </w:rPr>
        <w:t xml:space="preserve"> used in the </w:t>
      </w:r>
      <w:r w:rsidRPr="00055486">
        <w:rPr>
          <w:rFonts w:ascii="Calibri" w:hAnsi="Calibri" w:cs="Calibri"/>
          <w:i/>
          <w:lang w:val="en-US"/>
        </w:rPr>
        <w:t>inkomstpension</w:t>
      </w:r>
      <w:r w:rsidRPr="00055486">
        <w:rPr>
          <w:rFonts w:ascii="Calibri" w:hAnsi="Calibri" w:cs="Calibri"/>
          <w:lang w:val="en-US"/>
        </w:rPr>
        <w:t>, which does however not affect the ATP-pension.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ceiling for earning </w:t>
      </w:r>
      <w:r w:rsidRPr="00055486">
        <w:rPr>
          <w:rFonts w:ascii="Calibri" w:hAnsi="Calibri" w:cs="Calibri"/>
          <w:i/>
          <w:lang w:val="en-US"/>
        </w:rPr>
        <w:t>pension points</w:t>
      </w:r>
      <w:r w:rsidRPr="00055486">
        <w:rPr>
          <w:rFonts w:ascii="Calibri" w:hAnsi="Calibri" w:cs="Calibri"/>
          <w:lang w:val="en-US"/>
        </w:rPr>
        <w:t xml:space="preserve"> in the </w:t>
      </w:r>
      <w:r w:rsidRPr="00055486">
        <w:rPr>
          <w:rFonts w:ascii="Calibri" w:hAnsi="Calibri" w:cs="Calibri"/>
          <w:i/>
          <w:lang w:val="en-US"/>
        </w:rPr>
        <w:t>ATP system</w:t>
      </w:r>
      <w:r w:rsidRPr="00055486">
        <w:rPr>
          <w:rFonts w:ascii="Calibri" w:hAnsi="Calibri" w:cs="Calibri"/>
          <w:lang w:val="en-US"/>
        </w:rPr>
        <w:t xml:space="preserve"> is the same as the ceiling for earning </w:t>
      </w:r>
      <w:r w:rsidRPr="00055486">
        <w:rPr>
          <w:rFonts w:ascii="Calibri" w:hAnsi="Calibri" w:cs="Calibri"/>
          <w:i/>
          <w:lang w:val="en-US"/>
        </w:rPr>
        <w:t>pension credit</w:t>
      </w:r>
      <w:r w:rsidRPr="00055486">
        <w:rPr>
          <w:rFonts w:ascii="Calibri" w:hAnsi="Calibri" w:cs="Calibri"/>
          <w:lang w:val="en-US"/>
        </w:rPr>
        <w:t xml:space="preserve"> in the new system. The maximum number of </w:t>
      </w:r>
      <w:r w:rsidRPr="00055486">
        <w:rPr>
          <w:rFonts w:ascii="Calibri" w:hAnsi="Calibri" w:cs="Calibri"/>
          <w:i/>
          <w:lang w:val="en-US"/>
        </w:rPr>
        <w:t>pension points</w:t>
      </w:r>
      <w:r w:rsidRPr="00055486">
        <w:rPr>
          <w:rFonts w:ascii="Calibri" w:hAnsi="Calibri" w:cs="Calibri"/>
          <w:lang w:val="en-US"/>
        </w:rPr>
        <w:t xml:space="preserve"> per year used to be 6.5 but with the income indexation of the ceiling, t</w:t>
      </w:r>
      <w:r w:rsidR="001844FA" w:rsidRPr="00055486">
        <w:rPr>
          <w:rFonts w:ascii="Calibri" w:hAnsi="Calibri" w:cs="Calibri"/>
          <w:lang w:val="en-US"/>
        </w:rPr>
        <w:t xml:space="preserve">his number is no longer fixed. </w:t>
      </w:r>
    </w:p>
    <w:p w:rsidR="003320DF" w:rsidRPr="00055486" w:rsidRDefault="003320DF" w:rsidP="00055486">
      <w:pPr>
        <w:jc w:val="both"/>
        <w:rPr>
          <w:rFonts w:ascii="Calibri" w:hAnsi="Calibri" w:cs="Calibri"/>
          <w:lang w:val="en-US"/>
        </w:rPr>
      </w:pPr>
      <w:r w:rsidRPr="00055486">
        <w:rPr>
          <w:rFonts w:ascii="Calibri" w:hAnsi="Calibri" w:cs="Calibri"/>
          <w:i/>
          <w:lang w:val="en-US"/>
        </w:rPr>
        <w:t>Pension credit</w:t>
      </w:r>
      <w:r w:rsidRPr="00055486">
        <w:rPr>
          <w:rFonts w:ascii="Calibri" w:hAnsi="Calibri" w:cs="Calibri"/>
          <w:lang w:val="en-US"/>
        </w:rPr>
        <w:t xml:space="preserve"> has been credited retroactively as far back as 1960, this also applies for childcare years. </w:t>
      </w:r>
      <w:r w:rsidRPr="00055486">
        <w:rPr>
          <w:rFonts w:ascii="Calibri" w:hAnsi="Calibri" w:cs="Calibri"/>
          <w:i/>
          <w:lang w:val="en-US"/>
        </w:rPr>
        <w:t>Pension credit</w:t>
      </w:r>
      <w:r w:rsidRPr="00055486">
        <w:rPr>
          <w:rFonts w:ascii="Calibri" w:hAnsi="Calibri" w:cs="Calibri"/>
          <w:lang w:val="en-US"/>
        </w:rPr>
        <w:t xml:space="preserve"> for compulsory national service and for studies has been retroactively calculated back to 1995. These conversio</w:t>
      </w:r>
      <w:r w:rsidR="001844FA" w:rsidRPr="00055486">
        <w:rPr>
          <w:rFonts w:ascii="Calibri" w:hAnsi="Calibri" w:cs="Calibri"/>
          <w:lang w:val="en-US"/>
        </w:rPr>
        <w:t>ns were made in the year 2000</w:t>
      </w:r>
      <w:r w:rsidR="00F46814" w:rsidRPr="00055486">
        <w:rPr>
          <w:rFonts w:ascii="Calibri" w:hAnsi="Calibri" w:cs="Calibri"/>
          <w:lang w:val="en-US"/>
        </w:rPr>
        <w:t xml:space="preserve"> [4]</w:t>
      </w:r>
      <w:r w:rsidR="001844FA"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income index</w:t>
      </w:r>
      <w:r w:rsidRPr="00055486">
        <w:rPr>
          <w:rFonts w:ascii="Calibri" w:hAnsi="Calibri" w:cs="Calibri"/>
          <w:lang w:val="en-US"/>
        </w:rPr>
        <w:t xml:space="preserve"> also had to be retroactively calculated in order to index </w:t>
      </w:r>
      <w:r w:rsidRPr="00055486">
        <w:rPr>
          <w:rFonts w:ascii="Calibri" w:hAnsi="Calibri" w:cs="Calibri"/>
          <w:i/>
          <w:lang w:val="en-US"/>
        </w:rPr>
        <w:t>pensionable incomes</w:t>
      </w:r>
      <w:r w:rsidR="001844FA" w:rsidRPr="00055486">
        <w:rPr>
          <w:rFonts w:ascii="Calibri" w:hAnsi="Calibri" w:cs="Calibri"/>
          <w:lang w:val="en-US"/>
        </w:rPr>
        <w:t>.</w:t>
      </w:r>
    </w:p>
    <w:p w:rsidR="003320DF" w:rsidRPr="00055486" w:rsidRDefault="003320DF" w:rsidP="00055486">
      <w:pPr>
        <w:jc w:val="both"/>
        <w:rPr>
          <w:rFonts w:ascii="Calibri" w:hAnsi="Calibri" w:cs="Calibri"/>
          <w:lang w:val="en-US"/>
        </w:rPr>
      </w:pPr>
      <w:r w:rsidRPr="00055486">
        <w:rPr>
          <w:rFonts w:ascii="Calibri" w:hAnsi="Calibri" w:cs="Calibri"/>
          <w:lang w:val="en-US"/>
        </w:rPr>
        <w:t>With the separation of the old age pension from the state budget costs of early retirement is still financed through the central government budget. As a consequence financial transfers from the AP-fund to the centra</w:t>
      </w:r>
      <w:r w:rsidR="001844FA" w:rsidRPr="00055486">
        <w:rPr>
          <w:rFonts w:ascii="Calibri" w:hAnsi="Calibri" w:cs="Calibri"/>
          <w:lang w:val="en-US"/>
        </w:rPr>
        <w:t xml:space="preserve">l government budget were made. </w:t>
      </w:r>
    </w:p>
    <w:p w:rsidR="003320DF" w:rsidRPr="00055486" w:rsidRDefault="003320DF" w:rsidP="00055486">
      <w:pPr>
        <w:autoSpaceDE w:val="0"/>
        <w:autoSpaceDN w:val="0"/>
        <w:adjustRightInd w:val="0"/>
        <w:jc w:val="both"/>
        <w:rPr>
          <w:rFonts w:ascii="Calibri" w:hAnsi="Calibri" w:cs="Calibri"/>
          <w:lang w:val="en-US"/>
        </w:rPr>
      </w:pPr>
      <w:r w:rsidRPr="00055486">
        <w:rPr>
          <w:rFonts w:ascii="Calibri" w:hAnsi="Calibri" w:cs="Calibri"/>
          <w:lang w:val="en-US"/>
        </w:rPr>
        <w:t xml:space="preserve">For the transitional generations a special guarantee rule also applies, ensuring that they will not receive a pension lower than the one they earned in the </w:t>
      </w:r>
      <w:r w:rsidRPr="00055486">
        <w:rPr>
          <w:rFonts w:ascii="Calibri" w:hAnsi="Calibri" w:cs="Calibri"/>
          <w:i/>
          <w:lang w:val="en-US"/>
        </w:rPr>
        <w:t>ATP system</w:t>
      </w:r>
      <w:r w:rsidRPr="00055486">
        <w:rPr>
          <w:rFonts w:ascii="Calibri" w:hAnsi="Calibri" w:cs="Calibri"/>
          <w:lang w:val="en-US"/>
        </w:rPr>
        <w:t xml:space="preserve"> up to 1994.</w:t>
      </w:r>
      <w:r w:rsidR="00EE1C28" w:rsidRPr="00055486">
        <w:rPr>
          <w:rFonts w:ascii="Calibri" w:hAnsi="Calibri" w:cs="Calibri"/>
          <w:lang w:val="en-US"/>
        </w:rPr>
        <w:t xml:space="preserve"> The transitional generations are cohorts 1938-1953, </w:t>
      </w:r>
      <w:r w:rsidR="00587AE5" w:rsidRPr="00055486">
        <w:rPr>
          <w:rFonts w:ascii="Calibri" w:hAnsi="Calibri" w:cs="Calibri"/>
          <w:lang w:val="en-US"/>
        </w:rPr>
        <w:t xml:space="preserve">where those born in 1938 have 4/20 in the new system, this proportion is increased by 1/20 per cohort and consequently cohort 1953 have 19/20 and the rest in the </w:t>
      </w:r>
      <w:r w:rsidR="00587AE5" w:rsidRPr="00055486">
        <w:rPr>
          <w:rFonts w:ascii="Calibri" w:hAnsi="Calibri" w:cs="Calibri"/>
          <w:i/>
          <w:lang w:val="en-US"/>
        </w:rPr>
        <w:t>ATP system</w:t>
      </w:r>
      <w:r w:rsidR="00EE1C28" w:rsidRPr="00055486">
        <w:rPr>
          <w:rFonts w:ascii="Calibri" w:hAnsi="Calibri" w:cs="Calibri"/>
          <w:lang w:val="en-US"/>
        </w:rPr>
        <w:t>.</w:t>
      </w:r>
    </w:p>
    <w:p w:rsidR="003320DF" w:rsidRDefault="003320DF" w:rsidP="003320DF">
      <w:pPr>
        <w:rPr>
          <w:lang w:val="en-US"/>
        </w:rPr>
      </w:pPr>
    </w:p>
    <w:p w:rsidR="003320DF" w:rsidRPr="002333FB" w:rsidRDefault="003320DF" w:rsidP="003320DF">
      <w:pPr>
        <w:rPr>
          <w:rFonts w:ascii="Verdana" w:hAnsi="Verdana"/>
          <w:b/>
          <w:sz w:val="20"/>
          <w:szCs w:val="20"/>
          <w:lang w:val="en-US"/>
        </w:rPr>
      </w:pPr>
      <w:r w:rsidRPr="008E190D">
        <w:rPr>
          <w:lang w:val="en-US"/>
        </w:rPr>
        <w:br w:type="page"/>
      </w:r>
    </w:p>
    <w:p w:rsidR="003320DF" w:rsidRDefault="003320DF" w:rsidP="003320DF">
      <w:pPr>
        <w:pStyle w:val="Titre1"/>
        <w:rPr>
          <w:lang w:val="en-US"/>
        </w:rPr>
      </w:pPr>
      <w:bookmarkStart w:id="23" w:name="_Toc477454867"/>
      <w:bookmarkStart w:id="24" w:name="_Toc479064209"/>
      <w:r>
        <w:rPr>
          <w:lang w:val="en-US"/>
        </w:rPr>
        <w:t>Details</w:t>
      </w:r>
      <w:bookmarkEnd w:id="23"/>
      <w:bookmarkEnd w:id="24"/>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In an autonomous system, which in principle is self-regulating according to set rules largely based on data and formulas, the details are important (and interesting). The following is just some of the details that can be of interest.</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Indexation of contributions and benefits are an obvious such case after the principle has been set as to what the index is to mimic. The method for calculating the </w:t>
      </w:r>
      <w:r w:rsidRPr="00055486">
        <w:rPr>
          <w:rFonts w:ascii="Calibri" w:hAnsi="Calibri" w:cs="Calibri"/>
          <w:i/>
          <w:lang w:val="en-US"/>
        </w:rPr>
        <w:t>income index</w:t>
      </w:r>
      <w:r w:rsidRPr="00055486">
        <w:rPr>
          <w:rFonts w:ascii="Calibri" w:hAnsi="Calibri" w:cs="Calibri"/>
          <w:lang w:val="en-US"/>
        </w:rPr>
        <w:t xml:space="preserve"> was changed for the computation of the index of 2017. Extensive research on how the previous index had performed especially in terms of volatility found that a simplification of the formula improved the result in that respect</w:t>
      </w:r>
      <w:r w:rsidR="00F46814" w:rsidRPr="00055486">
        <w:rPr>
          <w:rFonts w:ascii="Calibri" w:hAnsi="Calibri" w:cs="Calibri"/>
          <w:lang w:val="en-US"/>
        </w:rPr>
        <w:t xml:space="preserve"> [5]</w:t>
      </w:r>
      <w:r w:rsidRPr="00055486">
        <w:rPr>
          <w:rFonts w:ascii="Calibri" w:hAnsi="Calibri" w:cs="Calibri"/>
          <w:lang w:val="en-US"/>
        </w:rPr>
        <w:t xml:space="preserve"> (DS2015:6).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In the </w:t>
      </w:r>
      <w:r w:rsidRPr="00055486">
        <w:rPr>
          <w:rFonts w:ascii="Calibri" w:hAnsi="Calibri" w:cs="Calibri"/>
          <w:i/>
          <w:lang w:val="en-US"/>
        </w:rPr>
        <w:t>premium pension</w:t>
      </w:r>
      <w:r w:rsidRPr="00055486">
        <w:rPr>
          <w:rFonts w:ascii="Calibri" w:hAnsi="Calibri" w:cs="Calibri"/>
          <w:lang w:val="en-US"/>
        </w:rPr>
        <w:t xml:space="preserve"> system the resolution is daily (transactions and valuation of assets) whereas it is monthly or yearly in the </w:t>
      </w:r>
      <w:r w:rsidRPr="00055486">
        <w:rPr>
          <w:rFonts w:ascii="Calibri" w:hAnsi="Calibri" w:cs="Calibri"/>
          <w:i/>
          <w:lang w:val="en-US"/>
        </w:rPr>
        <w:t>inkomstpension</w:t>
      </w:r>
      <w:r w:rsidRPr="00055486">
        <w:rPr>
          <w:rFonts w:ascii="Calibri" w:hAnsi="Calibri" w:cs="Calibri"/>
          <w:lang w:val="en-US"/>
        </w:rPr>
        <w:t xml:space="preserve"> system. Indexation is a yearly operation in the </w:t>
      </w:r>
      <w:r w:rsidRPr="00055486">
        <w:rPr>
          <w:rFonts w:ascii="Calibri" w:hAnsi="Calibri" w:cs="Calibri"/>
          <w:i/>
          <w:lang w:val="en-US"/>
        </w:rPr>
        <w:t>inkomstpension</w:t>
      </w:r>
      <w:r w:rsidRPr="00055486">
        <w:rPr>
          <w:rFonts w:ascii="Calibri" w:hAnsi="Calibri" w:cs="Calibri"/>
          <w:lang w:val="en-US"/>
        </w:rPr>
        <w:t xml:space="preserve">. The date of the indexation is in some respect fictional but basically the indexation occurs over the year-end. The valuation of the liability will therefore be different whether it be measured prior to or after the indexation and it could still be considered to have been measured at the year-end. In fact the valuation of the liability for the economically active was measured after the indexation up to and including 2014 when it was changed to be measured prior to indexation. The change also led to that the liability in respect to the economically active and the retired were inline in terms of indexation.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The exchange rate for one SEK to one </w:t>
      </w:r>
      <w:r w:rsidRPr="00055486">
        <w:rPr>
          <w:rFonts w:ascii="Calibri" w:hAnsi="Calibri" w:cs="Calibri"/>
          <w:i/>
          <w:lang w:val="en-US"/>
        </w:rPr>
        <w:t>pension credit</w:t>
      </w:r>
      <w:r w:rsidRPr="00055486">
        <w:rPr>
          <w:rFonts w:ascii="Calibri" w:hAnsi="Calibri" w:cs="Calibri"/>
          <w:lang w:val="en-US"/>
        </w:rPr>
        <w:t xml:space="preserve"> was originally one-to-one and still is except under a balancing period. Under a balancing period, the one SEK will get less than one </w:t>
      </w:r>
      <w:r w:rsidRPr="00055486">
        <w:rPr>
          <w:rFonts w:ascii="Calibri" w:hAnsi="Calibri" w:cs="Calibri"/>
          <w:i/>
          <w:lang w:val="en-US"/>
        </w:rPr>
        <w:t>pension credit</w:t>
      </w:r>
      <w:r w:rsidRPr="00055486">
        <w:rPr>
          <w:rFonts w:ascii="Calibri" w:hAnsi="Calibri" w:cs="Calibri"/>
          <w:lang w:val="en-US"/>
        </w:rPr>
        <w:t xml:space="preserve"> because of the “accelerated” indexing that will follow (given that, the </w:t>
      </w:r>
      <w:r w:rsidRPr="00055486">
        <w:rPr>
          <w:rFonts w:ascii="Calibri" w:hAnsi="Calibri" w:cs="Calibri"/>
          <w:i/>
          <w:lang w:val="en-US"/>
        </w:rPr>
        <w:t>balance index</w:t>
      </w:r>
      <w:r w:rsidRPr="00055486">
        <w:rPr>
          <w:rFonts w:ascii="Calibri" w:hAnsi="Calibri" w:cs="Calibri"/>
          <w:lang w:val="en-US"/>
        </w:rPr>
        <w:t xml:space="preserve"> reaches the </w:t>
      </w:r>
      <w:r w:rsidRPr="00055486">
        <w:rPr>
          <w:rFonts w:ascii="Calibri" w:hAnsi="Calibri" w:cs="Calibri"/>
          <w:i/>
          <w:lang w:val="en-US"/>
        </w:rPr>
        <w:t>income index</w:t>
      </w:r>
      <w:r w:rsidRPr="00055486">
        <w:rPr>
          <w:rFonts w:ascii="Calibri" w:hAnsi="Calibri" w:cs="Calibri"/>
          <w:lang w:val="en-US"/>
        </w:rPr>
        <w:t>). This was a known fact from the beginning but was not implemented until 2015</w:t>
      </w:r>
      <w:r w:rsidR="00D869D8" w:rsidRPr="00055486">
        <w:rPr>
          <w:rFonts w:ascii="Calibri" w:hAnsi="Calibri" w:cs="Calibri"/>
          <w:lang w:val="en-US"/>
        </w:rPr>
        <w:t xml:space="preserve"> [6]</w:t>
      </w:r>
      <w:r w:rsidRPr="00055486">
        <w:rPr>
          <w:rFonts w:ascii="Calibri" w:hAnsi="Calibri" w:cs="Calibri"/>
          <w:lang w:val="en-US"/>
        </w:rPr>
        <w:t xml:space="preserve"> (SFS 2014:1548).</w:t>
      </w:r>
    </w:p>
    <w:p w:rsidR="003320DF" w:rsidRPr="00055486" w:rsidRDefault="003320DF" w:rsidP="00055486">
      <w:pPr>
        <w:pStyle w:val="Corpsdetexte"/>
        <w:jc w:val="both"/>
        <w:rPr>
          <w:rFonts w:ascii="Calibri" w:hAnsi="Calibri" w:cs="Calibri"/>
          <w:color w:val="FF0000"/>
          <w:lang w:val="en-US"/>
        </w:rPr>
      </w:pPr>
      <w:r w:rsidRPr="00055486">
        <w:rPr>
          <w:rFonts w:ascii="Calibri" w:hAnsi="Calibri" w:cs="Calibri"/>
          <w:lang w:val="en-US"/>
        </w:rPr>
        <w:t>How should the buffer fund be valued? Initially the market value was based on the 31 of December, this was then changed to be an average over the last three years in order to mitigate the balancing effects for the calculation of the balance ratio of 2010</w:t>
      </w:r>
      <w:r w:rsidR="004E23C4" w:rsidRPr="00055486">
        <w:rPr>
          <w:rFonts w:ascii="Calibri" w:hAnsi="Calibri" w:cs="Calibri"/>
          <w:lang w:val="en-US"/>
        </w:rPr>
        <w:t xml:space="preserve"> [7]</w:t>
      </w:r>
      <w:r w:rsidRPr="00055486">
        <w:rPr>
          <w:rFonts w:ascii="Calibri" w:hAnsi="Calibri" w:cs="Calibri"/>
          <w:lang w:val="en-US"/>
        </w:rPr>
        <w:t xml:space="preserve"> (proposition 2008/09:219). This was changed to the previous definition for the balance ratio of 2017</w:t>
      </w:r>
      <w:r w:rsidR="004E23C4" w:rsidRPr="00055486">
        <w:rPr>
          <w:rFonts w:ascii="Calibri" w:hAnsi="Calibri" w:cs="Calibri"/>
          <w:lang w:val="en-US"/>
        </w:rPr>
        <w:t xml:space="preserve"> [5]</w:t>
      </w:r>
      <w:r w:rsidRPr="00055486">
        <w:rPr>
          <w:rFonts w:ascii="Calibri" w:hAnsi="Calibri" w:cs="Calibri"/>
          <w:lang w:val="en-US"/>
        </w:rPr>
        <w:t xml:space="preserve"> (DS2015:6). </w:t>
      </w:r>
    </w:p>
    <w:p w:rsidR="003320DF" w:rsidRPr="00055486" w:rsidRDefault="003320DF" w:rsidP="00055486">
      <w:pPr>
        <w:pStyle w:val="Corpsdetexte"/>
        <w:jc w:val="both"/>
        <w:rPr>
          <w:rFonts w:ascii="Calibri" w:hAnsi="Calibri" w:cs="Calibri"/>
          <w:lang w:val="en-US"/>
        </w:rPr>
      </w:pPr>
      <w:r w:rsidRPr="00055486">
        <w:rPr>
          <w:rFonts w:ascii="Calibri" w:hAnsi="Calibri" w:cs="Calibri"/>
          <w:lang w:val="en-US"/>
        </w:rPr>
        <w:t xml:space="preserve">Life expectancy can be measured in many ways and within the national public pension system there are three types of measures in terms of </w:t>
      </w:r>
      <w:r w:rsidRPr="00055486">
        <w:rPr>
          <w:rFonts w:ascii="Calibri" w:hAnsi="Calibri" w:cs="Calibri"/>
          <w:i/>
          <w:lang w:val="en-US"/>
        </w:rPr>
        <w:t>annuity divisors</w:t>
      </w:r>
      <w:r w:rsidRPr="00055486">
        <w:rPr>
          <w:rFonts w:ascii="Calibri" w:hAnsi="Calibri" w:cs="Calibri"/>
          <w:lang w:val="en-US"/>
        </w:rPr>
        <w:t xml:space="preserve">. In the </w:t>
      </w:r>
      <w:r w:rsidRPr="00055486">
        <w:rPr>
          <w:rFonts w:ascii="Calibri" w:hAnsi="Calibri" w:cs="Calibri"/>
          <w:i/>
          <w:lang w:val="en-US"/>
        </w:rPr>
        <w:t>inkomstpension</w:t>
      </w:r>
      <w:r w:rsidRPr="00055486">
        <w:rPr>
          <w:rFonts w:ascii="Calibri" w:hAnsi="Calibri" w:cs="Calibri"/>
          <w:lang w:val="en-US"/>
        </w:rPr>
        <w:t xml:space="preserve"> and </w:t>
      </w:r>
      <w:r w:rsidRPr="00055486">
        <w:rPr>
          <w:rFonts w:ascii="Calibri" w:hAnsi="Calibri" w:cs="Calibri"/>
          <w:i/>
          <w:lang w:val="en-US"/>
        </w:rPr>
        <w:t>premium pension</w:t>
      </w:r>
      <w:r w:rsidRPr="00055486">
        <w:rPr>
          <w:rFonts w:ascii="Calibri" w:hAnsi="Calibri" w:cs="Calibri"/>
          <w:lang w:val="en-US"/>
        </w:rPr>
        <w:t xml:space="preserve"> there are different formulas as well as underlying data </w:t>
      </w:r>
      <w:r w:rsidRPr="00055486">
        <w:rPr>
          <w:rFonts w:ascii="Calibri" w:hAnsi="Calibri" w:cs="Calibri"/>
          <w:i/>
          <w:lang w:val="en-US"/>
        </w:rPr>
        <w:t>for annuity divisors</w:t>
      </w:r>
      <w:r w:rsidRPr="00055486">
        <w:rPr>
          <w:rFonts w:ascii="Calibri" w:hAnsi="Calibri" w:cs="Calibri"/>
          <w:lang w:val="en-US"/>
        </w:rPr>
        <w:t xml:space="preserve"> used in order to determine the benefits. There is also an </w:t>
      </w:r>
      <w:r w:rsidRPr="00055486">
        <w:rPr>
          <w:rFonts w:ascii="Calibri" w:hAnsi="Calibri" w:cs="Calibri"/>
          <w:i/>
          <w:lang w:val="en-US"/>
        </w:rPr>
        <w:t>economic annuity divisor</w:t>
      </w:r>
      <w:r w:rsidRPr="00055486">
        <w:rPr>
          <w:rFonts w:ascii="Calibri" w:hAnsi="Calibri" w:cs="Calibri"/>
          <w:lang w:val="en-US"/>
        </w:rPr>
        <w:t xml:space="preserve"> used for determining the liability in the </w:t>
      </w:r>
      <w:r w:rsidRPr="00055486">
        <w:rPr>
          <w:rFonts w:ascii="Calibri" w:hAnsi="Calibri" w:cs="Calibri"/>
          <w:i/>
          <w:lang w:val="en-US"/>
        </w:rPr>
        <w:t>inkomstpension</w:t>
      </w:r>
      <w:r w:rsidRPr="00055486">
        <w:rPr>
          <w:rFonts w:ascii="Calibri" w:hAnsi="Calibri" w:cs="Calibri"/>
          <w:lang w:val="en-US"/>
        </w:rPr>
        <w:t xml:space="preserve"> system. The </w:t>
      </w:r>
      <w:r w:rsidRPr="00055486">
        <w:rPr>
          <w:rFonts w:ascii="Calibri" w:hAnsi="Calibri" w:cs="Calibri"/>
          <w:i/>
          <w:lang w:val="en-US"/>
        </w:rPr>
        <w:t xml:space="preserve">contribution asset </w:t>
      </w:r>
      <w:r w:rsidRPr="00055486">
        <w:rPr>
          <w:rFonts w:ascii="Calibri" w:hAnsi="Calibri" w:cs="Calibri"/>
          <w:lang w:val="en-US"/>
        </w:rPr>
        <w:t xml:space="preserve">is also affected by the change in life expectancy. In the </w:t>
      </w:r>
      <w:r w:rsidRPr="00055486">
        <w:rPr>
          <w:rFonts w:ascii="Calibri" w:hAnsi="Calibri" w:cs="Calibri"/>
          <w:i/>
          <w:lang w:val="en-US"/>
        </w:rPr>
        <w:t>premium pension</w:t>
      </w:r>
      <w:r w:rsidRPr="00055486">
        <w:rPr>
          <w:rFonts w:ascii="Calibri" w:hAnsi="Calibri" w:cs="Calibri"/>
          <w:lang w:val="en-US"/>
        </w:rPr>
        <w:t xml:space="preserve"> the underlying data is based on a prognosis whereas historical data is used within the </w:t>
      </w:r>
      <w:r w:rsidRPr="00055486">
        <w:rPr>
          <w:rFonts w:ascii="Calibri" w:hAnsi="Calibri" w:cs="Calibri"/>
          <w:i/>
          <w:lang w:val="en-US"/>
        </w:rPr>
        <w:t>inkoms</w:t>
      </w:r>
      <w:r w:rsidR="006C1F1B" w:rsidRPr="00055486">
        <w:rPr>
          <w:rFonts w:ascii="Calibri" w:hAnsi="Calibri" w:cs="Calibri"/>
          <w:i/>
          <w:lang w:val="en-US"/>
        </w:rPr>
        <w:t>t</w:t>
      </w:r>
      <w:r w:rsidRPr="00055486">
        <w:rPr>
          <w:rFonts w:ascii="Calibri" w:hAnsi="Calibri" w:cs="Calibri"/>
          <w:i/>
          <w:lang w:val="en-US"/>
        </w:rPr>
        <w:t>pension</w:t>
      </w:r>
      <w:r w:rsidRPr="00055486">
        <w:rPr>
          <w:rFonts w:ascii="Calibri" w:hAnsi="Calibri" w:cs="Calibri"/>
          <w:lang w:val="en-US"/>
        </w:rPr>
        <w:t>.</w:t>
      </w:r>
    </w:p>
    <w:p w:rsidR="003320DF" w:rsidRPr="00055486" w:rsidRDefault="003320DF" w:rsidP="00055486">
      <w:pPr>
        <w:jc w:val="both"/>
        <w:rPr>
          <w:rFonts w:ascii="Calibri" w:hAnsi="Calibri" w:cs="Calibri"/>
          <w:lang w:val="en-US"/>
        </w:rPr>
      </w:pPr>
      <w:r w:rsidRPr="00055486">
        <w:rPr>
          <w:rFonts w:ascii="Calibri" w:hAnsi="Calibri" w:cs="Calibri"/>
          <w:lang w:val="en-US"/>
        </w:rPr>
        <w:br w:type="page"/>
      </w:r>
    </w:p>
    <w:p w:rsidR="003320DF" w:rsidRDefault="003320DF" w:rsidP="003320DF">
      <w:pPr>
        <w:pStyle w:val="Titre1"/>
        <w:rPr>
          <w:lang w:val="en-US"/>
        </w:rPr>
      </w:pPr>
      <w:bookmarkStart w:id="25" w:name="_Toc477454868"/>
      <w:bookmarkStart w:id="26" w:name="_Toc479064210"/>
      <w:r>
        <w:rPr>
          <w:lang w:val="en-US"/>
        </w:rPr>
        <w:t>Public Debate</w:t>
      </w:r>
      <w:bookmarkEnd w:id="25"/>
      <w:bookmarkEnd w:id="26"/>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The existence and the form of the </w:t>
      </w:r>
      <w:r w:rsidRPr="00055486">
        <w:rPr>
          <w:rFonts w:ascii="Calibri" w:hAnsi="Calibri" w:cs="Calibri"/>
          <w:i/>
          <w:lang w:val="en-US"/>
        </w:rPr>
        <w:t>premium pension</w:t>
      </w:r>
      <w:r w:rsidRPr="00055486">
        <w:rPr>
          <w:rFonts w:ascii="Calibri" w:hAnsi="Calibri" w:cs="Calibri"/>
          <w:lang w:val="en-US"/>
        </w:rPr>
        <w:t xml:space="preserve"> have been a topic for debate over the years. Common topics and criticism have regarded the large number of funds (currently more than 800), the low level of activity and interest from the average person and the exploitation of a compulsory sa</w:t>
      </w:r>
      <w:r w:rsidR="001844FA" w:rsidRPr="00055486">
        <w:rPr>
          <w:rFonts w:ascii="Calibri" w:hAnsi="Calibri" w:cs="Calibri"/>
          <w:lang w:val="en-US"/>
        </w:rPr>
        <w:t>ving system by some companies. </w:t>
      </w:r>
      <w:r w:rsidR="007B695D" w:rsidRPr="00055486">
        <w:rPr>
          <w:rFonts w:ascii="Calibri" w:hAnsi="Calibri" w:cs="Calibri"/>
          <w:lang w:val="en-US"/>
        </w:rPr>
        <w:t xml:space="preserve">The </w:t>
      </w:r>
      <w:r w:rsidR="007B695D" w:rsidRPr="00055486">
        <w:rPr>
          <w:rFonts w:ascii="Calibri" w:hAnsi="Calibri" w:cs="Calibri"/>
          <w:i/>
          <w:lang w:val="en-US"/>
        </w:rPr>
        <w:t>premium pension</w:t>
      </w:r>
      <w:r w:rsidR="007B695D" w:rsidRPr="00055486">
        <w:rPr>
          <w:rFonts w:ascii="Calibri" w:hAnsi="Calibri" w:cs="Calibri"/>
          <w:lang w:val="en-US"/>
        </w:rPr>
        <w:t xml:space="preserve"> is more volatile but have </w:t>
      </w:r>
      <w:r w:rsidR="00B03D68" w:rsidRPr="00055486">
        <w:rPr>
          <w:rFonts w:ascii="Calibri" w:hAnsi="Calibri" w:cs="Calibri"/>
          <w:lang w:val="en-US"/>
        </w:rPr>
        <w:t xml:space="preserve">in general </w:t>
      </w:r>
      <w:r w:rsidR="007B695D" w:rsidRPr="00055486">
        <w:rPr>
          <w:rFonts w:ascii="Calibri" w:hAnsi="Calibri" w:cs="Calibri"/>
          <w:lang w:val="en-US"/>
        </w:rPr>
        <w:t>(</w:t>
      </w:r>
      <w:r w:rsidR="00240015" w:rsidRPr="00055486">
        <w:rPr>
          <w:rFonts w:ascii="Calibri" w:hAnsi="Calibri" w:cs="Calibri"/>
          <w:lang w:val="en-US"/>
        </w:rPr>
        <w:t>up until now had</w:t>
      </w:r>
      <w:r w:rsidR="007B695D" w:rsidRPr="00055486">
        <w:rPr>
          <w:rFonts w:ascii="Calibri" w:hAnsi="Calibri" w:cs="Calibri"/>
          <w:lang w:val="en-US"/>
        </w:rPr>
        <w:t>) a higher return on investe</w:t>
      </w:r>
      <w:r w:rsidR="0069495E" w:rsidRPr="00055486">
        <w:rPr>
          <w:rFonts w:ascii="Calibri" w:hAnsi="Calibri" w:cs="Calibri"/>
          <w:lang w:val="en-US"/>
        </w:rPr>
        <w:t>d capital;</w:t>
      </w:r>
      <w:r w:rsidR="007B695D" w:rsidRPr="00055486">
        <w:rPr>
          <w:rFonts w:ascii="Calibri" w:hAnsi="Calibri" w:cs="Calibri"/>
          <w:lang w:val="en-US"/>
        </w:rPr>
        <w:t xml:space="preserve"> in </w:t>
      </w:r>
      <w:r w:rsidR="0069495E" w:rsidRPr="00055486">
        <w:rPr>
          <w:rFonts w:ascii="Calibri" w:hAnsi="Calibri" w:cs="Calibri"/>
          <w:lang w:val="en-US"/>
        </w:rPr>
        <w:fldChar w:fldCharType="begin"/>
      </w:r>
      <w:r w:rsidR="0069495E" w:rsidRPr="00055486">
        <w:rPr>
          <w:rFonts w:ascii="Calibri" w:hAnsi="Calibri" w:cs="Calibri"/>
          <w:lang w:val="en-US"/>
        </w:rPr>
        <w:instrText xml:space="preserve"> REF _Ref480903507 \h </w:instrText>
      </w:r>
      <w:r w:rsidR="00055486" w:rsidRPr="00055486">
        <w:rPr>
          <w:rFonts w:ascii="Calibri" w:hAnsi="Calibri" w:cs="Calibri"/>
          <w:lang w:val="en-US"/>
        </w:rPr>
        <w:instrText xml:space="preserve"> \* MERGEFORMAT </w:instrText>
      </w:r>
      <w:r w:rsidR="0069495E" w:rsidRPr="00055486">
        <w:rPr>
          <w:rFonts w:ascii="Calibri" w:hAnsi="Calibri" w:cs="Calibri"/>
          <w:lang w:val="en-US"/>
        </w:rPr>
      </w:r>
      <w:r w:rsidR="0069495E" w:rsidRPr="00055486">
        <w:rPr>
          <w:rFonts w:ascii="Calibri" w:hAnsi="Calibri" w:cs="Calibri"/>
          <w:lang w:val="en-US"/>
        </w:rPr>
        <w:fldChar w:fldCharType="separate"/>
      </w:r>
      <w:r w:rsidR="0057135D" w:rsidRPr="00055486">
        <w:rPr>
          <w:rFonts w:ascii="Calibri" w:hAnsi="Calibri" w:cs="Calibri"/>
          <w:szCs w:val="24"/>
          <w:lang w:val="en-US"/>
        </w:rPr>
        <w:t xml:space="preserve">Figure </w:t>
      </w:r>
      <w:r w:rsidR="0057135D" w:rsidRPr="00055486">
        <w:rPr>
          <w:rFonts w:ascii="Calibri" w:hAnsi="Calibri" w:cs="Calibri"/>
          <w:noProof/>
          <w:szCs w:val="24"/>
          <w:lang w:val="en-US"/>
        </w:rPr>
        <w:t>2</w:t>
      </w:r>
      <w:r w:rsidR="0069495E" w:rsidRPr="00055486">
        <w:rPr>
          <w:rFonts w:ascii="Calibri" w:hAnsi="Calibri" w:cs="Calibri"/>
          <w:lang w:val="en-US"/>
        </w:rPr>
        <w:fldChar w:fldCharType="end"/>
      </w:r>
      <w:r w:rsidR="0069495E" w:rsidRPr="00055486">
        <w:rPr>
          <w:rFonts w:ascii="Calibri" w:hAnsi="Calibri" w:cs="Calibri"/>
          <w:lang w:val="en-US"/>
        </w:rPr>
        <w:t xml:space="preserve"> </w:t>
      </w:r>
      <w:r w:rsidR="007B695D" w:rsidRPr="00055486">
        <w:rPr>
          <w:rFonts w:ascii="Calibri" w:hAnsi="Calibri" w:cs="Calibri"/>
          <w:lang w:val="en-US"/>
        </w:rPr>
        <w:t xml:space="preserve">the average rate of return on invested capital in comparison to if the capital had instead been invested in the </w:t>
      </w:r>
      <w:r w:rsidR="007B695D" w:rsidRPr="00055486">
        <w:rPr>
          <w:rFonts w:ascii="Calibri" w:hAnsi="Calibri" w:cs="Calibri"/>
          <w:i/>
          <w:lang w:val="en-US"/>
        </w:rPr>
        <w:t>income/balance index</w:t>
      </w:r>
      <w:r w:rsidR="007B695D" w:rsidRPr="00055486">
        <w:rPr>
          <w:rFonts w:ascii="Calibri" w:hAnsi="Calibri" w:cs="Calibri"/>
          <w:lang w:val="en-US"/>
        </w:rPr>
        <w:t xml:space="preserve"> is presented.</w:t>
      </w:r>
    </w:p>
    <w:p w:rsidR="0069495E" w:rsidRDefault="0069495E" w:rsidP="0069495E">
      <w:pPr>
        <w:keepNext/>
      </w:pPr>
      <w:r>
        <w:rPr>
          <w:noProof/>
          <w:lang w:val="fr-FR" w:eastAsia="zh-CN"/>
        </w:rPr>
        <w:drawing>
          <wp:inline distT="0" distB="0" distL="0" distR="0" wp14:anchorId="0D8F6A66" wp14:editId="02B5778B">
            <wp:extent cx="4679950" cy="2160270"/>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79950" cy="2160270"/>
                    </a:xfrm>
                    <a:prstGeom prst="rect">
                      <a:avLst/>
                    </a:prstGeom>
                  </pic:spPr>
                </pic:pic>
              </a:graphicData>
            </a:graphic>
          </wp:inline>
        </w:drawing>
      </w:r>
    </w:p>
    <w:p w:rsidR="0069495E" w:rsidRPr="00055486" w:rsidRDefault="0069495E" w:rsidP="0069495E">
      <w:pPr>
        <w:tabs>
          <w:tab w:val="clear" w:pos="170"/>
        </w:tabs>
        <w:autoSpaceDE w:val="0"/>
        <w:autoSpaceDN w:val="0"/>
        <w:adjustRightInd w:val="0"/>
        <w:spacing w:after="0" w:line="240" w:lineRule="auto"/>
        <w:rPr>
          <w:rFonts w:ascii="Calibri" w:hAnsi="Calibri" w:cs="Calibri"/>
          <w:sz w:val="20"/>
          <w:szCs w:val="20"/>
          <w:lang w:val="en-US"/>
        </w:rPr>
      </w:pPr>
      <w:bookmarkStart w:id="27" w:name="_Ref480903507"/>
      <w:r w:rsidRPr="00055486">
        <w:rPr>
          <w:rFonts w:ascii="Calibri" w:hAnsi="Calibri" w:cs="Calibri"/>
          <w:szCs w:val="24"/>
          <w:lang w:val="en-US"/>
        </w:rPr>
        <w:t xml:space="preserve">Figure </w:t>
      </w:r>
      <w:r w:rsidRPr="00055486">
        <w:rPr>
          <w:rFonts w:ascii="Calibri" w:hAnsi="Calibri" w:cs="Calibri"/>
          <w:szCs w:val="24"/>
        </w:rPr>
        <w:fldChar w:fldCharType="begin"/>
      </w:r>
      <w:r w:rsidRPr="00055486">
        <w:rPr>
          <w:rFonts w:ascii="Calibri" w:hAnsi="Calibri" w:cs="Calibri"/>
          <w:szCs w:val="24"/>
          <w:lang w:val="en-US"/>
        </w:rPr>
        <w:instrText xml:space="preserve"> SEQ Figur \* ARABIC </w:instrText>
      </w:r>
      <w:r w:rsidRPr="00055486">
        <w:rPr>
          <w:rFonts w:ascii="Calibri" w:hAnsi="Calibri" w:cs="Calibri"/>
          <w:szCs w:val="24"/>
        </w:rPr>
        <w:fldChar w:fldCharType="separate"/>
      </w:r>
      <w:r w:rsidR="0057135D" w:rsidRPr="00055486">
        <w:rPr>
          <w:rFonts w:ascii="Calibri" w:hAnsi="Calibri" w:cs="Calibri"/>
          <w:noProof/>
          <w:szCs w:val="24"/>
          <w:lang w:val="en-US"/>
        </w:rPr>
        <w:t>2</w:t>
      </w:r>
      <w:r w:rsidRPr="00055486">
        <w:rPr>
          <w:rFonts w:ascii="Calibri" w:hAnsi="Calibri" w:cs="Calibri"/>
          <w:szCs w:val="24"/>
        </w:rPr>
        <w:fldChar w:fldCharType="end"/>
      </w:r>
      <w:bookmarkEnd w:id="27"/>
      <w:r w:rsidRPr="00055486">
        <w:rPr>
          <w:rFonts w:ascii="Calibri" w:hAnsi="Calibri" w:cs="Calibri"/>
          <w:szCs w:val="24"/>
          <w:lang w:val="en-US"/>
        </w:rPr>
        <w:t>.</w:t>
      </w:r>
      <w:r w:rsidRPr="00055486">
        <w:rPr>
          <w:rFonts w:ascii="Calibri" w:hAnsi="Calibri" w:cs="Calibri"/>
          <w:b/>
          <w:sz w:val="22"/>
          <w:lang w:val="en-US"/>
        </w:rPr>
        <w:t xml:space="preserve"> Average Capital-Weighted Rate of Return for All Premium Pension Savers up to Different Points in Time during the Years 2000–2016.</w:t>
      </w:r>
      <w:r w:rsidRPr="00055486">
        <w:rPr>
          <w:rFonts w:ascii="Calibri" w:hAnsi="Calibri" w:cs="Calibri"/>
          <w:sz w:val="17"/>
          <w:szCs w:val="17"/>
          <w:lang w:val="en-US"/>
        </w:rPr>
        <w:t xml:space="preserve"> </w:t>
      </w:r>
      <w:r w:rsidRPr="00055486">
        <w:rPr>
          <w:rFonts w:ascii="Calibri" w:hAnsi="Calibri" w:cs="Calibri"/>
          <w:sz w:val="20"/>
          <w:szCs w:val="20"/>
          <w:lang w:val="en-US"/>
        </w:rPr>
        <w:t>Each point on the curve shows the average annual internal rate of return (after 1995) until the time concerned. Source: Orange Report 2016.</w:t>
      </w:r>
    </w:p>
    <w:p w:rsidR="0069495E" w:rsidRPr="0069495E" w:rsidRDefault="0069495E" w:rsidP="0069495E">
      <w:pPr>
        <w:tabs>
          <w:tab w:val="clear" w:pos="170"/>
        </w:tabs>
        <w:autoSpaceDE w:val="0"/>
        <w:autoSpaceDN w:val="0"/>
        <w:adjustRightInd w:val="0"/>
        <w:spacing w:after="0" w:line="240" w:lineRule="auto"/>
        <w:rPr>
          <w:rFonts w:ascii="NeoSansPro-Medium" w:hAnsi="NeoSansPro-Medium" w:cs="NeoSansPro-Medium"/>
          <w:sz w:val="17"/>
          <w:szCs w:val="17"/>
          <w:lang w:val="en-US"/>
        </w:rPr>
      </w:pP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Over the years some companies have specialized in </w:t>
      </w:r>
      <w:r w:rsidRPr="00055486">
        <w:rPr>
          <w:rFonts w:ascii="Calibri" w:hAnsi="Calibri" w:cs="Calibri"/>
          <w:i/>
          <w:lang w:val="en-US"/>
        </w:rPr>
        <w:t>premium pension</w:t>
      </w:r>
      <w:r w:rsidRPr="00055486">
        <w:rPr>
          <w:rFonts w:ascii="Calibri" w:hAnsi="Calibri" w:cs="Calibri"/>
          <w:lang w:val="en-US"/>
        </w:rPr>
        <w:t xml:space="preserve"> telemarketing often with high fees. Currently there are even criminal investigations and over a billion SEK is currently missing in the Falcon Funds case. Over the years there have been several reports on the </w:t>
      </w:r>
      <w:r w:rsidRPr="00055486">
        <w:rPr>
          <w:rFonts w:ascii="Calibri" w:hAnsi="Calibri" w:cs="Calibri"/>
          <w:i/>
          <w:lang w:val="en-US"/>
        </w:rPr>
        <w:t>premium pension</w:t>
      </w:r>
      <w:r w:rsidRPr="00055486">
        <w:rPr>
          <w:rFonts w:ascii="Calibri" w:hAnsi="Calibri" w:cs="Calibri"/>
          <w:lang w:val="en-US"/>
        </w:rPr>
        <w:t xml:space="preserve"> and the most recent </w:t>
      </w:r>
      <w:r w:rsidRPr="00055486">
        <w:rPr>
          <w:rFonts w:ascii="Calibri" w:hAnsi="Calibri" w:cs="Calibri"/>
          <w:i/>
          <w:lang w:val="en-US"/>
        </w:rPr>
        <w:t>Official Report of the Swedish Government</w:t>
      </w:r>
      <w:r w:rsidRPr="00055486">
        <w:rPr>
          <w:rFonts w:ascii="Calibri" w:hAnsi="Calibri" w:cs="Calibri"/>
          <w:lang w:val="en-US"/>
        </w:rPr>
        <w:t xml:space="preserve"> was published in 2016</w:t>
      </w:r>
      <w:r w:rsidR="0024297C" w:rsidRPr="00055486">
        <w:rPr>
          <w:rFonts w:ascii="Calibri" w:hAnsi="Calibri" w:cs="Calibri"/>
          <w:lang w:val="en-US"/>
        </w:rPr>
        <w:t xml:space="preserve"> [8]</w:t>
      </w:r>
      <w:r w:rsidRPr="00055486">
        <w:rPr>
          <w:rFonts w:ascii="Calibri" w:hAnsi="Calibri" w:cs="Calibri"/>
          <w:lang w:val="en-US"/>
        </w:rPr>
        <w:t xml:space="preserve"> (SOU 2016:61). The report did not cover the more recent problems such as Falcon Funds and more work in </w:t>
      </w:r>
      <w:r w:rsidR="0024297C" w:rsidRPr="00055486">
        <w:rPr>
          <w:rFonts w:ascii="Calibri" w:hAnsi="Calibri" w:cs="Calibri"/>
          <w:lang w:val="en-US"/>
        </w:rPr>
        <w:t>this area can be expected [9</w:t>
      </w:r>
      <w:r w:rsidR="001844FA"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Recently (March 1, 2017) the prime minister of Sweden Stefan Löfven said that no one should risk being deceived within the public pension system</w:t>
      </w:r>
      <w:r w:rsidR="0024297C" w:rsidRPr="00055486">
        <w:rPr>
          <w:rFonts w:ascii="Calibri" w:hAnsi="Calibri" w:cs="Calibri"/>
          <w:lang w:val="en-US"/>
        </w:rPr>
        <w:t xml:space="preserve"> [10</w:t>
      </w:r>
      <w:r w:rsidRPr="00055486">
        <w:rPr>
          <w:rFonts w:ascii="Calibri" w:hAnsi="Calibri" w:cs="Calibri"/>
          <w:lang w:val="en-US"/>
        </w:rPr>
        <w:t xml:space="preserve">]. He continues to suggest that the </w:t>
      </w:r>
      <w:r w:rsidRPr="00055486">
        <w:rPr>
          <w:rFonts w:ascii="Calibri" w:hAnsi="Calibri" w:cs="Calibri"/>
          <w:i/>
          <w:lang w:val="en-US"/>
        </w:rPr>
        <w:t>premium pension</w:t>
      </w:r>
      <w:r w:rsidRPr="00055486">
        <w:rPr>
          <w:rFonts w:ascii="Calibri" w:hAnsi="Calibri" w:cs="Calibri"/>
          <w:lang w:val="en-US"/>
        </w:rPr>
        <w:t xml:space="preserve"> system is in need of changes. Usually these statements are not that common and discussions are kept within the </w:t>
      </w:r>
      <w:r w:rsidRPr="00055486">
        <w:rPr>
          <w:rFonts w:ascii="Calibri" w:hAnsi="Calibri" w:cs="Calibri"/>
          <w:i/>
          <w:lang w:val="en-US"/>
        </w:rPr>
        <w:t>Pension Group</w:t>
      </w:r>
      <w:r w:rsidRPr="00055486">
        <w:rPr>
          <w:rFonts w:ascii="Calibri" w:hAnsi="Calibri" w:cs="Calibri"/>
          <w:lang w:val="en-US"/>
        </w:rPr>
        <w:t>.</w:t>
      </w:r>
      <w:r w:rsidR="001844FA" w:rsidRPr="00055486">
        <w:rPr>
          <w:rFonts w:ascii="Calibri" w:hAnsi="Calibri" w:cs="Calibri"/>
          <w:lang w:val="en-US"/>
        </w:rPr>
        <w:t xml:space="preserve"> </w:t>
      </w:r>
    </w:p>
    <w:p w:rsidR="006A43EE" w:rsidRPr="00055486" w:rsidRDefault="003320DF" w:rsidP="00055486">
      <w:pPr>
        <w:autoSpaceDE w:val="0"/>
        <w:autoSpaceDN w:val="0"/>
        <w:adjustRightInd w:val="0"/>
        <w:jc w:val="both"/>
        <w:rPr>
          <w:rFonts w:ascii="Calibri" w:hAnsi="Calibri" w:cs="Calibri"/>
          <w:lang w:val="en-US"/>
        </w:rPr>
      </w:pPr>
      <w:r w:rsidRPr="00055486">
        <w:rPr>
          <w:rFonts w:ascii="Calibri" w:hAnsi="Calibri" w:cs="Calibri"/>
          <w:lang w:val="en-US"/>
        </w:rPr>
        <w:t xml:space="preserve">The </w:t>
      </w:r>
      <w:r w:rsidRPr="00055486">
        <w:rPr>
          <w:rFonts w:ascii="Calibri" w:hAnsi="Calibri" w:cs="Calibri"/>
          <w:i/>
          <w:lang w:val="en-US"/>
        </w:rPr>
        <w:t>automatic balancing mechanism</w:t>
      </w:r>
      <w:r w:rsidRPr="00055486">
        <w:rPr>
          <w:rFonts w:ascii="Calibri" w:hAnsi="Calibri" w:cs="Calibri"/>
          <w:lang w:val="en-US"/>
        </w:rPr>
        <w:t xml:space="preserve"> (the “brake” as it is commonly referred to) have been a topic of debate and is generally disliked by pensioner interest groups. In a report from 2013, five major pensioner interest groups publicized a report with a suggestion of how to abolish the mechanism while ma</w:t>
      </w:r>
      <w:r w:rsidR="0024297C" w:rsidRPr="00055486">
        <w:rPr>
          <w:rFonts w:ascii="Calibri" w:hAnsi="Calibri" w:cs="Calibri"/>
          <w:lang w:val="en-US"/>
        </w:rPr>
        <w:t>intaining financial stability [11</w:t>
      </w:r>
      <w:r w:rsidRPr="00055486">
        <w:rPr>
          <w:rFonts w:ascii="Calibri" w:hAnsi="Calibri" w:cs="Calibri"/>
          <w:lang w:val="en-US"/>
        </w:rPr>
        <w:t xml:space="preserve">]. A dismantling of the </w:t>
      </w:r>
      <w:r w:rsidRPr="00055486">
        <w:rPr>
          <w:rFonts w:ascii="Calibri" w:hAnsi="Calibri" w:cs="Calibri"/>
          <w:i/>
          <w:lang w:val="en-US"/>
        </w:rPr>
        <w:t>premium pension</w:t>
      </w:r>
      <w:r w:rsidRPr="00055486">
        <w:rPr>
          <w:rFonts w:ascii="Calibri" w:hAnsi="Calibri" w:cs="Calibri"/>
          <w:lang w:val="en-US"/>
        </w:rPr>
        <w:t xml:space="preserve"> is the main suggestion of how to achieve this and the full contribution should be credited to the </w:t>
      </w:r>
      <w:r w:rsidRPr="00055486">
        <w:rPr>
          <w:rFonts w:ascii="Calibri" w:hAnsi="Calibri" w:cs="Calibri"/>
          <w:i/>
          <w:lang w:val="en-US"/>
        </w:rPr>
        <w:t>inkomstpension</w:t>
      </w:r>
      <w:r w:rsidRPr="00055486">
        <w:rPr>
          <w:rFonts w:ascii="Calibri" w:hAnsi="Calibri" w:cs="Calibri"/>
          <w:lang w:val="en-US"/>
        </w:rPr>
        <w:t xml:space="preserve">. There are however support of the mechanism as well and as a general statement Robert Holzmann have written </w:t>
      </w:r>
      <w:r w:rsidRPr="00055486">
        <w:rPr>
          <w:rFonts w:ascii="Calibri" w:hAnsi="Calibri" w:cs="Calibri"/>
          <w:i/>
          <w:lang w:val="en-US"/>
        </w:rPr>
        <w:t>“Any reserve fund smoothes the impact of shocks across cohorts and generations but does not eliminate the need of a well designed balancing mechanism working through the notional interest rate and indexing mechanism.”</w:t>
      </w:r>
      <w:r w:rsidRPr="00055486">
        <w:rPr>
          <w:rFonts w:ascii="Calibri" w:hAnsi="Calibri" w:cs="Calibri"/>
          <w:lang w:val="en-US"/>
        </w:rPr>
        <w:t xml:space="preserve"> </w:t>
      </w:r>
      <w:r w:rsidR="0024297C" w:rsidRPr="00055486">
        <w:rPr>
          <w:rFonts w:ascii="Calibri" w:hAnsi="Calibri" w:cs="Calibri"/>
          <w:lang w:val="en-US"/>
        </w:rPr>
        <w:t>[12</w:t>
      </w:r>
      <w:r w:rsidRPr="00055486">
        <w:rPr>
          <w:rFonts w:ascii="Calibri" w:hAnsi="Calibri" w:cs="Calibri"/>
          <w:lang w:val="en-US"/>
        </w:rPr>
        <w:t>]</w:t>
      </w:r>
      <w:r w:rsidR="0024297C" w:rsidRPr="00055486">
        <w:rPr>
          <w:rFonts w:ascii="Calibri" w:hAnsi="Calibri" w:cs="Calibri"/>
          <w:lang w:val="en-US"/>
        </w:rPr>
        <w:t>.</w:t>
      </w:r>
    </w:p>
    <w:p w:rsidR="006A43EE" w:rsidRPr="00055486" w:rsidRDefault="006A43EE" w:rsidP="00055486">
      <w:pPr>
        <w:jc w:val="both"/>
        <w:rPr>
          <w:rFonts w:ascii="Calibri" w:hAnsi="Calibri" w:cs="Calibri"/>
          <w:lang w:val="en-US"/>
        </w:rPr>
      </w:pPr>
      <w:r w:rsidRPr="00055486">
        <w:rPr>
          <w:rFonts w:ascii="Calibri" w:hAnsi="Calibri" w:cs="Calibri"/>
          <w:lang w:val="en-US"/>
        </w:rPr>
        <w:t xml:space="preserve">In the </w:t>
      </w:r>
      <w:r w:rsidRPr="00055486">
        <w:rPr>
          <w:rFonts w:ascii="Calibri" w:hAnsi="Calibri" w:cs="Calibri"/>
          <w:sz w:val="22"/>
          <w:lang w:val="en-US"/>
        </w:rPr>
        <w:t>comprehensive</w:t>
      </w:r>
      <w:r w:rsidRPr="00055486">
        <w:rPr>
          <w:rFonts w:ascii="Calibri" w:hAnsi="Calibri" w:cs="Calibri"/>
          <w:lang w:val="en-US"/>
        </w:rPr>
        <w:t xml:space="preserve"> report </w:t>
      </w:r>
      <w:proofErr w:type="gramStart"/>
      <w:r w:rsidRPr="00055486">
        <w:rPr>
          <w:rFonts w:ascii="Calibri" w:hAnsi="Calibri" w:cs="Calibri"/>
          <w:i/>
          <w:lang w:val="en-US"/>
        </w:rPr>
        <w:t>The</w:t>
      </w:r>
      <w:proofErr w:type="gramEnd"/>
      <w:r w:rsidRPr="00055486">
        <w:rPr>
          <w:rFonts w:ascii="Calibri" w:hAnsi="Calibri" w:cs="Calibri"/>
          <w:i/>
          <w:lang w:val="en-US"/>
        </w:rPr>
        <w:t xml:space="preserve"> pension system in Sweden</w:t>
      </w:r>
      <w:r w:rsidRPr="00055486">
        <w:rPr>
          <w:rFonts w:ascii="Calibri" w:hAnsi="Calibri" w:cs="Calibri"/>
          <w:lang w:val="en-US"/>
        </w:rPr>
        <w:t xml:space="preserve"> </w:t>
      </w:r>
      <w:r w:rsidR="0024297C" w:rsidRPr="00055486">
        <w:rPr>
          <w:rFonts w:ascii="Calibri" w:hAnsi="Calibri" w:cs="Calibri"/>
          <w:lang w:val="en-US"/>
        </w:rPr>
        <w:t xml:space="preserve">[13] </w:t>
      </w:r>
      <w:r w:rsidRPr="00055486">
        <w:rPr>
          <w:rFonts w:ascii="Calibri" w:hAnsi="Calibri" w:cs="Calibri"/>
          <w:lang w:val="en-US"/>
        </w:rPr>
        <w:t xml:space="preserve">by Nicholas Barr from 2013 a number of interesting aspects of the pension system is covered. The author’s view of the system is in general positive but possible improvements and topics of discussion are brought up. It is pointed out that financial stability </w:t>
      </w:r>
      <w:r w:rsidR="000A4376" w:rsidRPr="00055486">
        <w:rPr>
          <w:rFonts w:ascii="Calibri" w:hAnsi="Calibri" w:cs="Calibri"/>
          <w:lang w:val="en-US"/>
        </w:rPr>
        <w:t>have precedence over</w:t>
      </w:r>
      <w:r w:rsidRPr="00055486">
        <w:rPr>
          <w:rFonts w:ascii="Calibri" w:hAnsi="Calibri" w:cs="Calibri"/>
          <w:lang w:val="en-US"/>
        </w:rPr>
        <w:t xml:space="preserve"> adequacy of benefits in the current system and that this may have been a natural choice at the time of the reform but it may not be the optimal solution today. </w:t>
      </w:r>
    </w:p>
    <w:p w:rsidR="00153345" w:rsidRPr="00055486" w:rsidRDefault="006A43EE" w:rsidP="00055486">
      <w:pPr>
        <w:jc w:val="both"/>
        <w:rPr>
          <w:rFonts w:ascii="Calibri" w:hAnsi="Calibri" w:cs="Calibri"/>
          <w:lang w:val="en-US"/>
        </w:rPr>
      </w:pPr>
      <w:r w:rsidRPr="00055486">
        <w:rPr>
          <w:rFonts w:ascii="Calibri" w:hAnsi="Calibri" w:cs="Calibri"/>
          <w:lang w:val="en-US"/>
        </w:rPr>
        <w:t xml:space="preserve">The possibility of drawing only a part of pension is praised and the benefit tie to longevity (annuity divisor) is considered necessary in terms of sustainability, the author however mention concerns on adequacy. There is international experience that many people retire as soon as possible whether or not it is in their own long-run best interest or not, therefore a raise of the earliest eligible age of pension withdrawal need to be considered. This work is currently ongoing and possibly a </w:t>
      </w:r>
      <w:r w:rsidRPr="00055486">
        <w:rPr>
          <w:rFonts w:ascii="Calibri" w:hAnsi="Calibri" w:cs="Calibri"/>
          <w:i/>
          <w:lang w:val="en-US"/>
        </w:rPr>
        <w:t>riktålder</w:t>
      </w:r>
      <w:r w:rsidRPr="00055486">
        <w:rPr>
          <w:rFonts w:ascii="Calibri" w:hAnsi="Calibri" w:cs="Calibri"/>
          <w:lang w:val="en-US"/>
        </w:rPr>
        <w:t xml:space="preserve"> will be introduced which will be connected to changes in life expectancy and which will gradually raise the age of earliest pension withdrawal (currently 61), the minimum age for </w:t>
      </w:r>
      <w:r w:rsidRPr="00055486">
        <w:rPr>
          <w:rFonts w:ascii="Calibri" w:hAnsi="Calibri" w:cs="Calibri"/>
          <w:i/>
          <w:lang w:val="en-US"/>
        </w:rPr>
        <w:t xml:space="preserve">guarantee pension </w:t>
      </w:r>
      <w:r w:rsidRPr="00055486">
        <w:rPr>
          <w:rFonts w:ascii="Calibri" w:hAnsi="Calibri" w:cs="Calibri"/>
          <w:lang w:val="en-US"/>
        </w:rPr>
        <w:t>(currently 65) and the age of protection</w:t>
      </w:r>
      <w:r w:rsidR="0024297C" w:rsidRPr="00055486">
        <w:rPr>
          <w:rFonts w:ascii="Calibri" w:hAnsi="Calibri" w:cs="Calibri"/>
          <w:lang w:val="en-US"/>
        </w:rPr>
        <w:t xml:space="preserve"> of employment (currently 67)</w:t>
      </w:r>
      <w:r w:rsidR="005C75D6" w:rsidRPr="00055486">
        <w:rPr>
          <w:rFonts w:ascii="Calibri" w:hAnsi="Calibri" w:cs="Calibri"/>
          <w:lang w:val="en-US"/>
        </w:rPr>
        <w:t xml:space="preserve"> [14]</w:t>
      </w:r>
      <w:r w:rsidR="0024297C" w:rsidRPr="00055486">
        <w:rPr>
          <w:rFonts w:ascii="Calibri" w:hAnsi="Calibri" w:cs="Calibri"/>
          <w:lang w:val="en-US"/>
        </w:rPr>
        <w:t>.</w:t>
      </w:r>
      <w:r w:rsidR="00D3685B" w:rsidRPr="00055486">
        <w:rPr>
          <w:rFonts w:ascii="Calibri" w:hAnsi="Calibri" w:cs="Calibri"/>
          <w:lang w:val="en-US"/>
        </w:rPr>
        <w:t xml:space="preserve"> In </w:t>
      </w:r>
      <w:r w:rsidR="00D3685B" w:rsidRPr="00055486">
        <w:rPr>
          <w:rFonts w:ascii="Calibri" w:hAnsi="Calibri" w:cs="Calibri"/>
          <w:lang w:val="en-US"/>
        </w:rPr>
        <w:fldChar w:fldCharType="begin"/>
      </w:r>
      <w:r w:rsidR="00D3685B" w:rsidRPr="00055486">
        <w:rPr>
          <w:rFonts w:ascii="Calibri" w:hAnsi="Calibri" w:cs="Calibri"/>
          <w:lang w:val="en-US"/>
        </w:rPr>
        <w:instrText xml:space="preserve"> REF _Ref480896290 \h </w:instrText>
      </w:r>
      <w:r w:rsidR="00055486">
        <w:rPr>
          <w:rFonts w:ascii="Calibri" w:hAnsi="Calibri" w:cs="Calibri"/>
          <w:lang w:val="en-US"/>
        </w:rPr>
        <w:instrText xml:space="preserve"> \* MERGEFORMAT </w:instrText>
      </w:r>
      <w:r w:rsidR="00D3685B" w:rsidRPr="00055486">
        <w:rPr>
          <w:rFonts w:ascii="Calibri" w:hAnsi="Calibri" w:cs="Calibri"/>
          <w:lang w:val="en-US"/>
        </w:rPr>
      </w:r>
      <w:r w:rsidR="00D3685B" w:rsidRPr="00055486">
        <w:rPr>
          <w:rFonts w:ascii="Calibri" w:hAnsi="Calibri" w:cs="Calibri"/>
          <w:lang w:val="en-US"/>
        </w:rPr>
        <w:fldChar w:fldCharType="separate"/>
      </w:r>
      <w:r w:rsidR="0057135D" w:rsidRPr="00055486">
        <w:rPr>
          <w:rFonts w:ascii="Calibri" w:hAnsi="Calibri" w:cs="Calibri"/>
          <w:szCs w:val="24"/>
          <w:lang w:val="en-US"/>
        </w:rPr>
        <w:t xml:space="preserve">Figure </w:t>
      </w:r>
      <w:r w:rsidR="0057135D" w:rsidRPr="00055486">
        <w:rPr>
          <w:rFonts w:ascii="Calibri" w:hAnsi="Calibri" w:cs="Calibri"/>
          <w:noProof/>
          <w:szCs w:val="24"/>
          <w:lang w:val="en-US"/>
        </w:rPr>
        <w:t>3</w:t>
      </w:r>
      <w:r w:rsidR="00D3685B" w:rsidRPr="00055486">
        <w:rPr>
          <w:rFonts w:ascii="Calibri" w:hAnsi="Calibri" w:cs="Calibri"/>
          <w:lang w:val="en-US"/>
        </w:rPr>
        <w:fldChar w:fldCharType="end"/>
      </w:r>
      <w:r w:rsidR="00D3685B" w:rsidRPr="00055486">
        <w:rPr>
          <w:rFonts w:ascii="Calibri" w:hAnsi="Calibri" w:cs="Calibri"/>
          <w:lang w:val="en-US"/>
        </w:rPr>
        <w:t xml:space="preserve"> the proportion of individuals</w:t>
      </w:r>
      <w:r w:rsidR="00486079" w:rsidRPr="00055486">
        <w:rPr>
          <w:rFonts w:ascii="Calibri" w:hAnsi="Calibri" w:cs="Calibri"/>
          <w:lang w:val="en-US"/>
        </w:rPr>
        <w:t xml:space="preserve"> who for the first time are</w:t>
      </w:r>
      <w:r w:rsidR="00D3685B" w:rsidRPr="00055486">
        <w:rPr>
          <w:rFonts w:ascii="Calibri" w:hAnsi="Calibri" w:cs="Calibri"/>
          <w:lang w:val="en-US"/>
        </w:rPr>
        <w:t xml:space="preserve"> </w:t>
      </w:r>
      <w:r w:rsidR="00486079" w:rsidRPr="00055486">
        <w:rPr>
          <w:rFonts w:ascii="Calibri" w:hAnsi="Calibri" w:cs="Calibri"/>
          <w:lang w:val="en-US"/>
        </w:rPr>
        <w:t>granted</w:t>
      </w:r>
      <w:r w:rsidR="00D3685B" w:rsidRPr="00055486">
        <w:rPr>
          <w:rFonts w:ascii="Calibri" w:hAnsi="Calibri" w:cs="Calibri"/>
          <w:lang w:val="en-US"/>
        </w:rPr>
        <w:t xml:space="preserve"> full </w:t>
      </w:r>
      <w:r w:rsidR="00486079" w:rsidRPr="00055486">
        <w:rPr>
          <w:rFonts w:ascii="Calibri" w:hAnsi="Calibri" w:cs="Calibri"/>
          <w:lang w:val="en-US"/>
        </w:rPr>
        <w:t xml:space="preserve">national </w:t>
      </w:r>
      <w:r w:rsidR="00D3685B" w:rsidRPr="00055486">
        <w:rPr>
          <w:rFonts w:ascii="Calibri" w:hAnsi="Calibri" w:cs="Calibri"/>
          <w:lang w:val="en-US"/>
        </w:rPr>
        <w:t xml:space="preserve">pension </w:t>
      </w:r>
      <w:r w:rsidR="00486079" w:rsidRPr="00055486">
        <w:rPr>
          <w:rFonts w:ascii="Calibri" w:hAnsi="Calibri" w:cs="Calibri"/>
          <w:lang w:val="en-US"/>
        </w:rPr>
        <w:t xml:space="preserve">per age and cohort </w:t>
      </w:r>
      <w:r w:rsidR="00151FB2" w:rsidRPr="00055486">
        <w:rPr>
          <w:rFonts w:ascii="Calibri" w:hAnsi="Calibri" w:cs="Calibri"/>
          <w:lang w:val="en-US"/>
        </w:rPr>
        <w:t>is shown</w:t>
      </w:r>
      <w:r w:rsidR="00486079" w:rsidRPr="00055486">
        <w:rPr>
          <w:rFonts w:ascii="Calibri" w:hAnsi="Calibri" w:cs="Calibri"/>
          <w:lang w:val="en-US"/>
        </w:rPr>
        <w:t xml:space="preserve">. </w:t>
      </w:r>
      <w:r w:rsidR="00151FB2" w:rsidRPr="00055486">
        <w:rPr>
          <w:rFonts w:ascii="Calibri" w:hAnsi="Calibri" w:cs="Calibri"/>
          <w:lang w:val="en-US"/>
        </w:rPr>
        <w:t xml:space="preserve">As can be seen the age 65 still dominates but the spread over ages have increased. </w:t>
      </w:r>
    </w:p>
    <w:p w:rsidR="00D3685B" w:rsidRDefault="00E85D74" w:rsidP="00D3685B">
      <w:pPr>
        <w:keepNext/>
      </w:pPr>
      <w:r>
        <w:rPr>
          <w:noProof/>
          <w:lang w:val="fr-FR" w:eastAsia="zh-CN"/>
        </w:rPr>
        <w:drawing>
          <wp:inline distT="0" distB="0" distL="0" distR="0" wp14:anchorId="7147B2F9" wp14:editId="148EEBD4">
            <wp:extent cx="4700905" cy="2311879"/>
            <wp:effectExtent l="0" t="0" r="444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08090" cy="2315413"/>
                    </a:xfrm>
                    <a:prstGeom prst="rect">
                      <a:avLst/>
                    </a:prstGeom>
                  </pic:spPr>
                </pic:pic>
              </a:graphicData>
            </a:graphic>
          </wp:inline>
        </w:drawing>
      </w:r>
    </w:p>
    <w:p w:rsidR="00153345" w:rsidRPr="00055486" w:rsidRDefault="00D3685B" w:rsidP="00E85D74">
      <w:pPr>
        <w:tabs>
          <w:tab w:val="clear" w:pos="170"/>
        </w:tabs>
        <w:autoSpaceDE w:val="0"/>
        <w:autoSpaceDN w:val="0"/>
        <w:adjustRightInd w:val="0"/>
        <w:spacing w:after="0" w:line="240" w:lineRule="auto"/>
        <w:rPr>
          <w:rFonts w:ascii="Calibri" w:hAnsi="Calibri" w:cs="Calibri"/>
          <w:sz w:val="20"/>
          <w:szCs w:val="20"/>
          <w:lang w:val="en-US"/>
        </w:rPr>
      </w:pPr>
      <w:bookmarkStart w:id="28" w:name="_Ref480896290"/>
      <w:r w:rsidRPr="00055486">
        <w:rPr>
          <w:rFonts w:ascii="Calibri" w:hAnsi="Calibri" w:cs="Calibri"/>
          <w:szCs w:val="24"/>
          <w:lang w:val="en-US"/>
        </w:rPr>
        <w:t xml:space="preserve">Figure </w:t>
      </w:r>
      <w:r w:rsidRPr="00055486">
        <w:rPr>
          <w:rFonts w:ascii="Calibri" w:hAnsi="Calibri" w:cs="Calibri"/>
          <w:szCs w:val="24"/>
        </w:rPr>
        <w:fldChar w:fldCharType="begin"/>
      </w:r>
      <w:r w:rsidRPr="00055486">
        <w:rPr>
          <w:rFonts w:ascii="Calibri" w:hAnsi="Calibri" w:cs="Calibri"/>
          <w:szCs w:val="24"/>
          <w:lang w:val="en-US"/>
        </w:rPr>
        <w:instrText xml:space="preserve"> SEQ Figur \* ARABIC </w:instrText>
      </w:r>
      <w:r w:rsidRPr="00055486">
        <w:rPr>
          <w:rFonts w:ascii="Calibri" w:hAnsi="Calibri" w:cs="Calibri"/>
          <w:szCs w:val="24"/>
        </w:rPr>
        <w:fldChar w:fldCharType="separate"/>
      </w:r>
      <w:r w:rsidR="0057135D" w:rsidRPr="00055486">
        <w:rPr>
          <w:rFonts w:ascii="Calibri" w:hAnsi="Calibri" w:cs="Calibri"/>
          <w:noProof/>
          <w:szCs w:val="24"/>
          <w:lang w:val="en-US"/>
        </w:rPr>
        <w:t>3</w:t>
      </w:r>
      <w:r w:rsidRPr="00055486">
        <w:rPr>
          <w:rFonts w:ascii="Calibri" w:hAnsi="Calibri" w:cs="Calibri"/>
          <w:szCs w:val="24"/>
        </w:rPr>
        <w:fldChar w:fldCharType="end"/>
      </w:r>
      <w:bookmarkEnd w:id="28"/>
      <w:r w:rsidR="00E85D74" w:rsidRPr="00055486">
        <w:rPr>
          <w:rFonts w:ascii="Calibri" w:hAnsi="Calibri" w:cs="Calibri"/>
          <w:szCs w:val="24"/>
          <w:lang w:val="en-US"/>
        </w:rPr>
        <w:t>.</w:t>
      </w:r>
      <w:r w:rsidR="00E85D74" w:rsidRPr="00055486">
        <w:rPr>
          <w:rFonts w:ascii="Calibri" w:hAnsi="Calibri" w:cs="Calibri"/>
          <w:b/>
          <w:sz w:val="22"/>
          <w:lang w:val="en-US"/>
        </w:rPr>
        <w:t xml:space="preserve"> Proportion Granted a National Pension at Ages 61–75.</w:t>
      </w:r>
      <w:r w:rsidR="00E85D74" w:rsidRPr="00055486">
        <w:rPr>
          <w:rFonts w:ascii="Calibri" w:hAnsi="Calibri" w:cs="Calibri"/>
          <w:sz w:val="17"/>
          <w:szCs w:val="17"/>
          <w:lang w:val="en-US"/>
        </w:rPr>
        <w:t xml:space="preserve"> </w:t>
      </w:r>
      <w:r w:rsidR="00E85D74" w:rsidRPr="00055486">
        <w:rPr>
          <w:rFonts w:ascii="Calibri" w:hAnsi="Calibri" w:cs="Calibri"/>
          <w:sz w:val="20"/>
          <w:szCs w:val="20"/>
          <w:lang w:val="en-US"/>
        </w:rPr>
        <w:t>The proportions are for new retirees in relation to the potential number o</w:t>
      </w:r>
      <w:r w:rsidR="00BA15DD" w:rsidRPr="00055486">
        <w:rPr>
          <w:rFonts w:ascii="Calibri" w:hAnsi="Calibri" w:cs="Calibri"/>
          <w:sz w:val="20"/>
          <w:szCs w:val="20"/>
          <w:lang w:val="en-US"/>
        </w:rPr>
        <w:t xml:space="preserve">f retirees as of December 2016. Ages are as of </w:t>
      </w:r>
      <w:r w:rsidR="00E85D74" w:rsidRPr="00055486">
        <w:rPr>
          <w:rFonts w:ascii="Calibri" w:hAnsi="Calibri" w:cs="Calibri"/>
          <w:sz w:val="20"/>
          <w:szCs w:val="20"/>
          <w:lang w:val="en-US"/>
        </w:rPr>
        <w:t>December 31 of the year when</w:t>
      </w:r>
      <w:r w:rsidR="00BA15DD" w:rsidRPr="00055486">
        <w:rPr>
          <w:rFonts w:ascii="Calibri" w:hAnsi="Calibri" w:cs="Calibri"/>
          <w:sz w:val="20"/>
          <w:szCs w:val="20"/>
          <w:lang w:val="en-US"/>
        </w:rPr>
        <w:t xml:space="preserve"> the pensioner began drawing an </w:t>
      </w:r>
      <w:r w:rsidR="00E85D74" w:rsidRPr="00055486">
        <w:rPr>
          <w:rFonts w:ascii="Calibri" w:hAnsi="Calibri" w:cs="Calibri"/>
          <w:sz w:val="20"/>
          <w:szCs w:val="20"/>
          <w:lang w:val="en-US"/>
        </w:rPr>
        <w:t>inkomstpension/guaranteed pension. Forecast for the highest age groups, forecast in italics.</w:t>
      </w:r>
      <w:r w:rsidR="00BA15DD" w:rsidRPr="00055486">
        <w:rPr>
          <w:rFonts w:ascii="Calibri" w:hAnsi="Calibri" w:cs="Calibri"/>
          <w:sz w:val="20"/>
          <w:szCs w:val="20"/>
          <w:lang w:val="en-US"/>
        </w:rPr>
        <w:t xml:space="preserve"> Source: Orange Report 2016.</w:t>
      </w:r>
    </w:p>
    <w:p w:rsidR="00E85D74" w:rsidRPr="00BA15DD" w:rsidRDefault="00E85D74" w:rsidP="00E85D74">
      <w:pPr>
        <w:tabs>
          <w:tab w:val="clear" w:pos="170"/>
        </w:tabs>
        <w:autoSpaceDE w:val="0"/>
        <w:autoSpaceDN w:val="0"/>
        <w:adjustRightInd w:val="0"/>
        <w:spacing w:after="0" w:line="240" w:lineRule="auto"/>
        <w:rPr>
          <w:rFonts w:ascii="NeoSansPro-Regular" w:hAnsi="NeoSansPro-Regular" w:cs="NeoSansPro-Regular"/>
          <w:sz w:val="14"/>
          <w:szCs w:val="14"/>
          <w:lang w:val="en-US"/>
        </w:rPr>
      </w:pPr>
    </w:p>
    <w:p w:rsidR="006A43EE" w:rsidRPr="00055486" w:rsidRDefault="006A43EE" w:rsidP="00055486">
      <w:pPr>
        <w:jc w:val="both"/>
        <w:rPr>
          <w:rFonts w:ascii="Calibri" w:hAnsi="Calibri" w:cs="Calibri"/>
          <w:lang w:val="en-US"/>
        </w:rPr>
      </w:pPr>
      <w:r w:rsidRPr="00055486">
        <w:rPr>
          <w:rFonts w:ascii="Calibri" w:hAnsi="Calibri" w:cs="Calibri"/>
          <w:lang w:val="en-US"/>
        </w:rPr>
        <w:t xml:space="preserve">It is pointed out that the </w:t>
      </w:r>
      <w:r w:rsidRPr="00055486">
        <w:rPr>
          <w:rFonts w:ascii="Calibri" w:hAnsi="Calibri" w:cs="Calibri"/>
          <w:i/>
          <w:lang w:val="en-US"/>
        </w:rPr>
        <w:t>balancing mechanism</w:t>
      </w:r>
      <w:r w:rsidRPr="00055486">
        <w:rPr>
          <w:rFonts w:ascii="Calibri" w:hAnsi="Calibri" w:cs="Calibri"/>
          <w:lang w:val="en-US"/>
        </w:rPr>
        <w:t xml:space="preserve"> may be too sharp and that a balancing period may benefit the active population. These areas have been remedied by the introduction of the </w:t>
      </w:r>
      <w:r w:rsidRPr="00055486">
        <w:rPr>
          <w:rFonts w:ascii="Calibri" w:hAnsi="Calibri" w:cs="Calibri"/>
          <w:i/>
          <w:lang w:val="en-US"/>
        </w:rPr>
        <w:t>damped balance ratio</w:t>
      </w:r>
      <w:r w:rsidRPr="00055486">
        <w:rPr>
          <w:rFonts w:ascii="Calibri" w:hAnsi="Calibri" w:cs="Calibri"/>
          <w:lang w:val="en-US"/>
        </w:rPr>
        <w:t xml:space="preserve"> and by reducing the </w:t>
      </w:r>
      <w:r w:rsidRPr="00055486">
        <w:rPr>
          <w:rFonts w:ascii="Calibri" w:hAnsi="Calibri" w:cs="Calibri"/>
          <w:i/>
          <w:lang w:val="en-US"/>
        </w:rPr>
        <w:t>pension credit</w:t>
      </w:r>
      <w:r w:rsidRPr="00055486">
        <w:rPr>
          <w:rFonts w:ascii="Calibri" w:hAnsi="Calibri" w:cs="Calibri"/>
          <w:lang w:val="en-US"/>
        </w:rPr>
        <w:t xml:space="preserve"> earned during a balancing period as described under the section </w:t>
      </w:r>
      <w:r w:rsidRPr="00055486">
        <w:rPr>
          <w:rFonts w:ascii="Calibri" w:hAnsi="Calibri" w:cs="Calibri"/>
          <w:i/>
          <w:lang w:val="en-US"/>
        </w:rPr>
        <w:t>Details</w:t>
      </w:r>
      <w:r w:rsidRPr="00055486">
        <w:rPr>
          <w:rFonts w:ascii="Calibri" w:hAnsi="Calibri" w:cs="Calibri"/>
          <w:lang w:val="en-US"/>
        </w:rPr>
        <w:t xml:space="preserve">. </w:t>
      </w:r>
    </w:p>
    <w:p w:rsidR="006A43EE" w:rsidRPr="00055486" w:rsidRDefault="006A43EE" w:rsidP="00055486">
      <w:pPr>
        <w:jc w:val="both"/>
        <w:rPr>
          <w:rFonts w:ascii="Calibri" w:hAnsi="Calibri" w:cs="Calibri"/>
          <w:lang w:val="en-US"/>
        </w:rPr>
      </w:pPr>
      <w:r w:rsidRPr="00055486">
        <w:rPr>
          <w:rFonts w:ascii="Calibri" w:hAnsi="Calibri" w:cs="Calibri"/>
          <w:lang w:val="en-US"/>
        </w:rPr>
        <w:t>Barr points out indexation as a topic of debate, and he argues that the risk exposures of the retirees is too great by facing the full yearly variation of wage changes in the economy reduced by the advance interest rate of 1.6 percent. A mixture of price and wage indexation is presented as a possible alternative</w:t>
      </w:r>
      <w:r w:rsidR="00BF0EC4" w:rsidRPr="00055486">
        <w:rPr>
          <w:rFonts w:ascii="Calibri" w:hAnsi="Calibri" w:cs="Calibri"/>
          <w:lang w:val="en-US"/>
        </w:rPr>
        <w:t>.</w:t>
      </w:r>
      <w:r w:rsidR="00981FFD" w:rsidRPr="00055486">
        <w:rPr>
          <w:rFonts w:ascii="Calibri" w:hAnsi="Calibri" w:cs="Calibri"/>
          <w:lang w:val="en-US"/>
        </w:rPr>
        <w:t xml:space="preserve"> </w:t>
      </w:r>
      <w:r w:rsidR="00BF0EC4" w:rsidRPr="00055486">
        <w:rPr>
          <w:rFonts w:ascii="Calibri" w:hAnsi="Calibri" w:cs="Calibri"/>
          <w:lang w:val="en-US"/>
        </w:rPr>
        <w:t>I</w:t>
      </w:r>
      <w:r w:rsidR="00981FFD" w:rsidRPr="00055486">
        <w:rPr>
          <w:rFonts w:ascii="Calibri" w:hAnsi="Calibri" w:cs="Calibri"/>
          <w:lang w:val="en-US"/>
        </w:rPr>
        <w:t xml:space="preserve">n </w:t>
      </w:r>
      <w:r w:rsidR="00981FFD" w:rsidRPr="00055486">
        <w:rPr>
          <w:rFonts w:ascii="Calibri" w:hAnsi="Calibri" w:cs="Calibri"/>
          <w:lang w:val="en-US"/>
        </w:rPr>
        <w:fldChar w:fldCharType="begin"/>
      </w:r>
      <w:r w:rsidR="00981FFD" w:rsidRPr="00055486">
        <w:rPr>
          <w:rFonts w:ascii="Calibri" w:hAnsi="Calibri" w:cs="Calibri"/>
          <w:lang w:val="en-US"/>
        </w:rPr>
        <w:instrText xml:space="preserve"> REF _Ref480888399 \h </w:instrText>
      </w:r>
      <w:r w:rsidR="00055486">
        <w:rPr>
          <w:rFonts w:ascii="Calibri" w:hAnsi="Calibri" w:cs="Calibri"/>
          <w:lang w:val="en-US"/>
        </w:rPr>
        <w:instrText xml:space="preserve"> \* MERGEFORMAT </w:instrText>
      </w:r>
      <w:r w:rsidR="00981FFD" w:rsidRPr="00055486">
        <w:rPr>
          <w:rFonts w:ascii="Calibri" w:hAnsi="Calibri" w:cs="Calibri"/>
          <w:lang w:val="en-US"/>
        </w:rPr>
      </w:r>
      <w:r w:rsidR="00981FFD" w:rsidRPr="00055486">
        <w:rPr>
          <w:rFonts w:ascii="Calibri" w:hAnsi="Calibri" w:cs="Calibri"/>
          <w:lang w:val="en-US"/>
        </w:rPr>
        <w:fldChar w:fldCharType="separate"/>
      </w:r>
      <w:r w:rsidR="0057135D" w:rsidRPr="00055486">
        <w:rPr>
          <w:rFonts w:ascii="Calibri" w:hAnsi="Calibri" w:cs="Calibri"/>
          <w:szCs w:val="24"/>
          <w:lang w:val="en-US"/>
        </w:rPr>
        <w:t xml:space="preserve">Figure </w:t>
      </w:r>
      <w:r w:rsidR="0057135D" w:rsidRPr="00055486">
        <w:rPr>
          <w:rFonts w:ascii="Calibri" w:hAnsi="Calibri" w:cs="Calibri"/>
          <w:noProof/>
          <w:szCs w:val="24"/>
          <w:lang w:val="en-US"/>
        </w:rPr>
        <w:t>4</w:t>
      </w:r>
      <w:r w:rsidR="00981FFD" w:rsidRPr="00055486">
        <w:rPr>
          <w:rFonts w:ascii="Calibri" w:hAnsi="Calibri" w:cs="Calibri"/>
          <w:lang w:val="en-US"/>
        </w:rPr>
        <w:fldChar w:fldCharType="end"/>
      </w:r>
      <w:r w:rsidR="00981FFD" w:rsidRPr="00055486">
        <w:rPr>
          <w:rFonts w:ascii="Calibri" w:hAnsi="Calibri" w:cs="Calibri"/>
          <w:lang w:val="en-US"/>
        </w:rPr>
        <w:t xml:space="preserve"> </w:t>
      </w:r>
      <w:r w:rsidR="00BF0EC4" w:rsidRPr="00055486">
        <w:rPr>
          <w:rFonts w:ascii="Calibri" w:hAnsi="Calibri" w:cs="Calibri"/>
          <w:lang w:val="en-US"/>
        </w:rPr>
        <w:t xml:space="preserve">the </w:t>
      </w:r>
      <w:r w:rsidR="00BF0EC4" w:rsidRPr="00055486">
        <w:rPr>
          <w:rFonts w:ascii="Calibri" w:hAnsi="Calibri" w:cs="Calibri"/>
          <w:i/>
          <w:lang w:val="en-US"/>
        </w:rPr>
        <w:t>price indexation</w:t>
      </w:r>
      <w:r w:rsidR="00BF0EC4" w:rsidRPr="00055486">
        <w:rPr>
          <w:rFonts w:ascii="Calibri" w:hAnsi="Calibri" w:cs="Calibri"/>
          <w:lang w:val="en-US"/>
        </w:rPr>
        <w:t xml:space="preserve"> is shown together with </w:t>
      </w:r>
      <w:r w:rsidR="00BF0EC4" w:rsidRPr="00055486">
        <w:rPr>
          <w:rFonts w:ascii="Calibri" w:hAnsi="Calibri" w:cs="Calibri"/>
          <w:i/>
          <w:lang w:val="en-US"/>
        </w:rPr>
        <w:t>income and balance indexation</w:t>
      </w:r>
      <w:r w:rsidR="00BF0EC4" w:rsidRPr="00055486">
        <w:rPr>
          <w:rFonts w:ascii="Calibri" w:hAnsi="Calibri" w:cs="Calibri"/>
          <w:lang w:val="en-US"/>
        </w:rPr>
        <w:t xml:space="preserve"> as well as </w:t>
      </w:r>
      <w:r w:rsidR="00BF0EC4" w:rsidRPr="00055486">
        <w:rPr>
          <w:rFonts w:ascii="Calibri" w:hAnsi="Calibri" w:cs="Calibri"/>
          <w:i/>
          <w:lang w:val="en-US"/>
        </w:rPr>
        <w:t>adjustment indexation</w:t>
      </w:r>
      <w:r w:rsidR="00BF0EC4" w:rsidRPr="00055486">
        <w:rPr>
          <w:rFonts w:ascii="Calibri" w:hAnsi="Calibri" w:cs="Calibri"/>
          <w:lang w:val="en-US"/>
        </w:rPr>
        <w:t xml:space="preserve"> that is used for economically active and pensioners respectively</w:t>
      </w:r>
      <w:r w:rsidRPr="00055486">
        <w:rPr>
          <w:rFonts w:ascii="Calibri" w:hAnsi="Calibri" w:cs="Calibri"/>
          <w:lang w:val="en-US"/>
        </w:rPr>
        <w:t xml:space="preserve">. </w:t>
      </w:r>
    </w:p>
    <w:p w:rsidR="00D15541" w:rsidRDefault="00D15541" w:rsidP="00D15541">
      <w:pPr>
        <w:keepNext/>
      </w:pPr>
      <w:r>
        <w:rPr>
          <w:noProof/>
          <w:lang w:val="fr-FR" w:eastAsia="zh-CN"/>
        </w:rPr>
        <w:drawing>
          <wp:inline distT="0" distB="0" distL="0" distR="0" wp14:anchorId="5DA7CCF8" wp14:editId="160F55C7">
            <wp:extent cx="4679950" cy="230759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9950" cy="2307590"/>
                    </a:xfrm>
                    <a:prstGeom prst="rect">
                      <a:avLst/>
                    </a:prstGeom>
                  </pic:spPr>
                </pic:pic>
              </a:graphicData>
            </a:graphic>
          </wp:inline>
        </w:drawing>
      </w:r>
    </w:p>
    <w:p w:rsidR="00D15541" w:rsidRPr="00981FFD" w:rsidRDefault="00D15541" w:rsidP="00981FFD">
      <w:pPr>
        <w:tabs>
          <w:tab w:val="clear" w:pos="170"/>
        </w:tabs>
        <w:autoSpaceDE w:val="0"/>
        <w:autoSpaceDN w:val="0"/>
        <w:adjustRightInd w:val="0"/>
        <w:spacing w:after="0" w:line="240" w:lineRule="auto"/>
        <w:rPr>
          <w:rFonts w:ascii="NeoSansPro-Regular" w:hAnsi="NeoSansPro-Regular" w:cs="NeoSansPro-Regular"/>
          <w:sz w:val="16"/>
          <w:szCs w:val="16"/>
          <w:lang w:val="en-US"/>
        </w:rPr>
      </w:pPr>
      <w:bookmarkStart w:id="29" w:name="_Ref480888399"/>
      <w:r w:rsidRPr="008D7135">
        <w:rPr>
          <w:rFonts w:cstheme="minorHAnsi"/>
          <w:szCs w:val="24"/>
          <w:lang w:val="en-US"/>
        </w:rPr>
        <w:t xml:space="preserve">Figure </w:t>
      </w:r>
      <w:r w:rsidRPr="008D7135">
        <w:rPr>
          <w:rFonts w:cstheme="minorHAnsi"/>
          <w:szCs w:val="24"/>
        </w:rPr>
        <w:fldChar w:fldCharType="begin"/>
      </w:r>
      <w:r w:rsidRPr="008D7135">
        <w:rPr>
          <w:rFonts w:cstheme="minorHAnsi"/>
          <w:szCs w:val="24"/>
          <w:lang w:val="en-US"/>
        </w:rPr>
        <w:instrText xml:space="preserve"> SEQ Figur \* ARABIC </w:instrText>
      </w:r>
      <w:r w:rsidRPr="008D7135">
        <w:rPr>
          <w:rFonts w:cstheme="minorHAnsi"/>
          <w:szCs w:val="24"/>
        </w:rPr>
        <w:fldChar w:fldCharType="separate"/>
      </w:r>
      <w:r w:rsidR="0057135D">
        <w:rPr>
          <w:rFonts w:cstheme="minorHAnsi"/>
          <w:noProof/>
          <w:szCs w:val="24"/>
          <w:lang w:val="en-US"/>
        </w:rPr>
        <w:t>4</w:t>
      </w:r>
      <w:r w:rsidRPr="008D7135">
        <w:rPr>
          <w:rFonts w:cstheme="minorHAnsi"/>
          <w:szCs w:val="24"/>
        </w:rPr>
        <w:fldChar w:fldCharType="end"/>
      </w:r>
      <w:bookmarkEnd w:id="29"/>
      <w:r w:rsidRPr="008D7135">
        <w:rPr>
          <w:rFonts w:cstheme="minorHAnsi"/>
          <w:szCs w:val="24"/>
          <w:lang w:val="en-US"/>
        </w:rPr>
        <w:t>.</w:t>
      </w:r>
      <w:r w:rsidRPr="003E5FAD">
        <w:rPr>
          <w:rFonts w:cstheme="minorHAnsi"/>
          <w:b/>
          <w:sz w:val="22"/>
          <w:lang w:val="en-US"/>
        </w:rPr>
        <w:t xml:space="preserve"> </w:t>
      </w:r>
      <w:r w:rsidR="00240015">
        <w:rPr>
          <w:rFonts w:cstheme="minorHAnsi"/>
          <w:b/>
          <w:sz w:val="22"/>
          <w:lang w:val="en-US"/>
        </w:rPr>
        <w:t xml:space="preserve">Yearly indexation. </w:t>
      </w:r>
      <w:r w:rsidRPr="00240015">
        <w:rPr>
          <w:rFonts w:cstheme="minorHAnsi"/>
          <w:sz w:val="20"/>
          <w:szCs w:val="20"/>
          <w:lang w:val="en-US"/>
        </w:rPr>
        <w:t xml:space="preserve">The point between the vertical lines is the median value. </w:t>
      </w:r>
      <w:r w:rsidRPr="003E5FAD">
        <w:rPr>
          <w:rFonts w:cstheme="minorHAnsi"/>
          <w:sz w:val="20"/>
          <w:szCs w:val="20"/>
          <w:lang w:val="en-US"/>
        </w:rPr>
        <w:t>The starting point for</w:t>
      </w:r>
      <w:r w:rsidR="00981FFD" w:rsidRPr="003E5FAD">
        <w:rPr>
          <w:rFonts w:cstheme="minorHAnsi"/>
          <w:sz w:val="20"/>
          <w:szCs w:val="20"/>
          <w:lang w:val="en-US"/>
        </w:rPr>
        <w:t xml:space="preserve"> the upper vertical line is the </w:t>
      </w:r>
      <w:r w:rsidRPr="003E5FAD">
        <w:rPr>
          <w:rFonts w:cstheme="minorHAnsi"/>
          <w:sz w:val="20"/>
          <w:szCs w:val="20"/>
          <w:lang w:val="en-US"/>
        </w:rPr>
        <w:t xml:space="preserve">75th percentile; the ending point is the maximum value. The starting point for the </w:t>
      </w:r>
      <w:r w:rsidR="00981FFD" w:rsidRPr="003E5FAD">
        <w:rPr>
          <w:rFonts w:cstheme="minorHAnsi"/>
          <w:sz w:val="20"/>
          <w:szCs w:val="20"/>
          <w:lang w:val="en-US"/>
        </w:rPr>
        <w:t xml:space="preserve">lower vertical line is the 25th </w:t>
      </w:r>
      <w:r w:rsidRPr="003E5FAD">
        <w:rPr>
          <w:rFonts w:cstheme="minorHAnsi"/>
          <w:sz w:val="20"/>
          <w:szCs w:val="20"/>
          <w:lang w:val="en-US"/>
        </w:rPr>
        <w:t>percentile; the ending point is the minimum value.</w:t>
      </w:r>
      <w:r w:rsidR="00F63A20">
        <w:rPr>
          <w:rFonts w:cstheme="minorHAnsi"/>
          <w:sz w:val="20"/>
          <w:szCs w:val="20"/>
          <w:lang w:val="en-US"/>
        </w:rPr>
        <w:t xml:space="preserve"> Source: Orange Report 2016.</w:t>
      </w:r>
    </w:p>
    <w:p w:rsidR="006A43EE" w:rsidRDefault="006A43EE" w:rsidP="006A43EE">
      <w:pPr>
        <w:rPr>
          <w:lang w:val="en-US"/>
        </w:rPr>
      </w:pPr>
    </w:p>
    <w:p w:rsidR="006A43EE" w:rsidRDefault="006A43EE" w:rsidP="006A43EE">
      <w:pPr>
        <w:rPr>
          <w:lang w:val="en-US"/>
        </w:rPr>
      </w:pPr>
    </w:p>
    <w:p w:rsidR="006A43EE" w:rsidRDefault="006A43EE" w:rsidP="006A43EE">
      <w:pPr>
        <w:rPr>
          <w:lang w:val="en-US"/>
        </w:rPr>
      </w:pPr>
    </w:p>
    <w:p w:rsidR="006A43EE" w:rsidRPr="00FB7CB2" w:rsidRDefault="006A43EE" w:rsidP="003320DF">
      <w:pPr>
        <w:autoSpaceDE w:val="0"/>
        <w:autoSpaceDN w:val="0"/>
        <w:adjustRightInd w:val="0"/>
        <w:rPr>
          <w:lang w:val="en-US"/>
        </w:rPr>
      </w:pPr>
    </w:p>
    <w:p w:rsidR="003320DF" w:rsidRPr="00C5197D" w:rsidRDefault="003320DF" w:rsidP="003320DF">
      <w:pPr>
        <w:rPr>
          <w:lang w:val="en-US"/>
        </w:rPr>
      </w:pPr>
    </w:p>
    <w:p w:rsidR="003320DF" w:rsidRPr="00C5197D" w:rsidRDefault="003320DF" w:rsidP="003320DF">
      <w:pPr>
        <w:rPr>
          <w:lang w:val="en-US"/>
        </w:rPr>
      </w:pPr>
    </w:p>
    <w:p w:rsidR="003320DF" w:rsidRDefault="003320DF" w:rsidP="003320DF">
      <w:pPr>
        <w:rPr>
          <w:rFonts w:ascii="Verdana" w:hAnsi="Verdana"/>
          <w:szCs w:val="24"/>
          <w:lang w:val="en-US"/>
        </w:rPr>
      </w:pPr>
      <w:r>
        <w:rPr>
          <w:rFonts w:ascii="Verdana" w:hAnsi="Verdana"/>
          <w:szCs w:val="24"/>
          <w:lang w:val="en-US"/>
        </w:rPr>
        <w:br w:type="page"/>
      </w:r>
    </w:p>
    <w:p w:rsidR="003320DF" w:rsidRDefault="003320DF" w:rsidP="003320DF">
      <w:pPr>
        <w:pStyle w:val="Titre1"/>
        <w:rPr>
          <w:lang w:val="en-US"/>
        </w:rPr>
      </w:pPr>
      <w:bookmarkStart w:id="30" w:name="_Toc477454869"/>
      <w:bookmarkStart w:id="31" w:name="_Toc479064211"/>
      <w:r>
        <w:rPr>
          <w:lang w:val="en-US"/>
        </w:rPr>
        <w:t>Evaluation</w:t>
      </w:r>
      <w:bookmarkEnd w:id="30"/>
      <w:bookmarkEnd w:id="31"/>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Quite some time has passed since the reform and there has been changes since but the basic design of the system remains. The idea of a self-regulating system is largely true even though there have been changes in tax levels for pensions, which can be seen as political interference (a negative indexation can be compensated by a lower tax rate).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A negative indexation of the </w:t>
      </w:r>
      <w:r w:rsidRPr="00055486">
        <w:rPr>
          <w:rFonts w:ascii="Calibri" w:hAnsi="Calibri" w:cs="Calibri"/>
          <w:i/>
          <w:lang w:val="en-US"/>
        </w:rPr>
        <w:t>inkomstpension</w:t>
      </w:r>
      <w:r w:rsidRPr="00055486">
        <w:rPr>
          <w:rFonts w:ascii="Calibri" w:hAnsi="Calibri" w:cs="Calibri"/>
          <w:lang w:val="en-US"/>
        </w:rPr>
        <w:t xml:space="preserve"> system will reduce the liability and thus strengthen the autonomous system, the central government budget will however bear some of the burden as the </w:t>
      </w:r>
      <w:r w:rsidRPr="00055486">
        <w:rPr>
          <w:rFonts w:ascii="Calibri" w:hAnsi="Calibri" w:cs="Calibri"/>
          <w:i/>
          <w:lang w:val="en-US"/>
        </w:rPr>
        <w:t>guaranteed pension</w:t>
      </w:r>
      <w:r w:rsidRPr="00055486">
        <w:rPr>
          <w:rFonts w:ascii="Calibri" w:hAnsi="Calibri" w:cs="Calibri"/>
          <w:lang w:val="en-US"/>
        </w:rPr>
        <w:t xml:space="preserve"> will limit the decrease</w:t>
      </w:r>
      <w:r w:rsidR="001844FA" w:rsidRPr="00055486">
        <w:rPr>
          <w:rFonts w:ascii="Calibri" w:hAnsi="Calibri" w:cs="Calibri"/>
          <w:lang w:val="en-US"/>
        </w:rPr>
        <w:t xml:space="preserve"> for those with lower pensions.</w:t>
      </w:r>
    </w:p>
    <w:p w:rsidR="003320DF" w:rsidRPr="00055486" w:rsidRDefault="003320DF" w:rsidP="00055486">
      <w:pPr>
        <w:jc w:val="both"/>
        <w:rPr>
          <w:rFonts w:ascii="Calibri" w:hAnsi="Calibri" w:cs="Calibri"/>
          <w:lang w:val="en-US"/>
        </w:rPr>
      </w:pPr>
      <w:r w:rsidRPr="00055486">
        <w:rPr>
          <w:rFonts w:ascii="Calibri" w:hAnsi="Calibri" w:cs="Calibri"/>
          <w:lang w:val="en-US"/>
        </w:rPr>
        <w:t>In a recent report [1</w:t>
      </w:r>
      <w:r w:rsidR="0024297C" w:rsidRPr="00055486">
        <w:rPr>
          <w:rFonts w:ascii="Calibri" w:hAnsi="Calibri" w:cs="Calibri"/>
          <w:lang w:val="en-US"/>
        </w:rPr>
        <w:t>5</w:t>
      </w:r>
      <w:r w:rsidRPr="00055486">
        <w:rPr>
          <w:rFonts w:ascii="Calibri" w:hAnsi="Calibri" w:cs="Calibri"/>
          <w:lang w:val="en-US"/>
        </w:rPr>
        <w:t xml:space="preserve">] from 2017 the transitional generations with benefits from both system are analyzed. The </w:t>
      </w:r>
      <w:r w:rsidRPr="00055486">
        <w:rPr>
          <w:rFonts w:ascii="Calibri" w:hAnsi="Calibri" w:cs="Calibri"/>
          <w:i/>
          <w:lang w:val="en-US"/>
        </w:rPr>
        <w:t>ATP system</w:t>
      </w:r>
      <w:r w:rsidRPr="00055486">
        <w:rPr>
          <w:rFonts w:ascii="Calibri" w:hAnsi="Calibri" w:cs="Calibri"/>
          <w:lang w:val="en-US"/>
        </w:rPr>
        <w:t xml:space="preserve"> have for most been more beneficial and especially for women. The change in life expectancy is a main source as it did not affect benefits of the old system. When the life expectancy at the time of the reform is used (cohort 1930) both systems provide approximately the same for men whereas the old system is still more beneficial for women. The rise in lif</w:t>
      </w:r>
      <w:r w:rsidR="001844FA" w:rsidRPr="00055486">
        <w:rPr>
          <w:rFonts w:ascii="Calibri" w:hAnsi="Calibri" w:cs="Calibri"/>
          <w:lang w:val="en-US"/>
        </w:rPr>
        <w:t>e expectancy is not unexpected.</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Short-term financial forecasts can be found on the </w:t>
      </w:r>
      <w:r w:rsidRPr="00055486">
        <w:rPr>
          <w:rFonts w:ascii="Calibri" w:hAnsi="Calibri" w:cs="Calibri"/>
          <w:i/>
          <w:lang w:val="en-US"/>
        </w:rPr>
        <w:t>Swedish Pensions Agency</w:t>
      </w:r>
      <w:r w:rsidRPr="00055486">
        <w:rPr>
          <w:rFonts w:ascii="Calibri" w:hAnsi="Calibri" w:cs="Calibri"/>
          <w:lang w:val="en-US"/>
        </w:rPr>
        <w:t>’s webpage currently up until 2021, the balance ratio is predicted to be slightly above one but the risk of a new balancing period remains [</w:t>
      </w:r>
      <w:r w:rsidR="0035092B" w:rsidRPr="00055486">
        <w:rPr>
          <w:rFonts w:ascii="Calibri" w:hAnsi="Calibri" w:cs="Calibri"/>
          <w:lang w:val="en-US"/>
        </w:rPr>
        <w:t>1</w:t>
      </w:r>
      <w:r w:rsidRPr="00055486">
        <w:rPr>
          <w:rFonts w:ascii="Calibri" w:hAnsi="Calibri" w:cs="Calibri"/>
          <w:lang w:val="en-US"/>
        </w:rPr>
        <w:t xml:space="preserve">6]. Long-term scenarios where demographic development, change in income and rate or return and its effect on the financial stability of the system is published in chapter 7 of the </w:t>
      </w:r>
      <w:r w:rsidRPr="00055486">
        <w:rPr>
          <w:rFonts w:ascii="Calibri" w:hAnsi="Calibri" w:cs="Calibri"/>
          <w:i/>
          <w:lang w:val="en-US"/>
        </w:rPr>
        <w:t>Annual Report of the Swedish Pension System</w:t>
      </w:r>
      <w:r w:rsidR="0035092B" w:rsidRPr="00055486">
        <w:rPr>
          <w:rFonts w:ascii="Calibri" w:hAnsi="Calibri" w:cs="Calibri"/>
          <w:i/>
          <w:lang w:val="en-US"/>
        </w:rPr>
        <w:t xml:space="preserve"> </w:t>
      </w:r>
      <w:r w:rsidR="0035092B" w:rsidRPr="00055486">
        <w:rPr>
          <w:rFonts w:ascii="Calibri" w:hAnsi="Calibri" w:cs="Calibri"/>
          <w:lang w:val="en-US"/>
        </w:rPr>
        <w:t>[1]</w:t>
      </w:r>
      <w:r w:rsidRPr="00055486">
        <w:rPr>
          <w:rFonts w:ascii="Calibri" w:hAnsi="Calibri" w:cs="Calibri"/>
          <w:lang w:val="en-US"/>
        </w:rPr>
        <w:t xml:space="preserve">. </w:t>
      </w:r>
    </w:p>
    <w:p w:rsidR="003320DF" w:rsidRPr="00055486" w:rsidRDefault="003320DF" w:rsidP="00055486">
      <w:pPr>
        <w:jc w:val="both"/>
        <w:rPr>
          <w:rFonts w:ascii="Calibri" w:hAnsi="Calibri" w:cs="Calibri"/>
          <w:lang w:val="en-US"/>
        </w:rPr>
      </w:pPr>
      <w:r w:rsidRPr="00055486">
        <w:rPr>
          <w:rFonts w:ascii="Calibri" w:hAnsi="Calibri" w:cs="Calibri"/>
          <w:lang w:val="en-US"/>
        </w:rPr>
        <w:t xml:space="preserve">Since the reform there have been changes in the pension system and perhaps evaluation and modification will be an ongoing process. It is hard to foresee the issues that can arise in the future. </w:t>
      </w:r>
    </w:p>
    <w:p w:rsidR="003320DF" w:rsidRDefault="003320DF" w:rsidP="003320DF">
      <w:pPr>
        <w:rPr>
          <w:lang w:val="en-US"/>
        </w:rPr>
      </w:pPr>
      <w:r>
        <w:rPr>
          <w:lang w:val="en-US"/>
        </w:rPr>
        <w:t xml:space="preserve"> </w:t>
      </w:r>
    </w:p>
    <w:p w:rsidR="003320DF" w:rsidRDefault="003320DF" w:rsidP="003320DF">
      <w:pPr>
        <w:rPr>
          <w:lang w:val="en-US"/>
        </w:rPr>
      </w:pPr>
      <w:r>
        <w:rPr>
          <w:lang w:val="en-US"/>
        </w:rPr>
        <w:br w:type="page"/>
      </w:r>
    </w:p>
    <w:p w:rsidR="003320DF" w:rsidRDefault="003320DF" w:rsidP="003320DF">
      <w:pPr>
        <w:rPr>
          <w:lang w:val="en-US"/>
        </w:rPr>
      </w:pPr>
    </w:p>
    <w:p w:rsidR="003320DF" w:rsidRDefault="003320DF" w:rsidP="003320DF">
      <w:pPr>
        <w:rPr>
          <w:lang w:val="en-US"/>
        </w:rPr>
      </w:pPr>
    </w:p>
    <w:p w:rsidR="003320DF" w:rsidRPr="00050272" w:rsidRDefault="003320DF" w:rsidP="003320DF">
      <w:pPr>
        <w:pStyle w:val="Titre1"/>
        <w:rPr>
          <w:lang w:val="en-US"/>
        </w:rPr>
      </w:pPr>
      <w:bookmarkStart w:id="32" w:name="_Toc477454870"/>
      <w:bookmarkStart w:id="33" w:name="_Toc479064212"/>
      <w:r w:rsidRPr="00050272">
        <w:rPr>
          <w:lang w:val="en-US"/>
        </w:rPr>
        <w:t>References</w:t>
      </w:r>
      <w:bookmarkEnd w:id="32"/>
      <w:bookmarkEnd w:id="33"/>
    </w:p>
    <w:p w:rsidR="00E665E5" w:rsidRPr="00055486" w:rsidRDefault="00E665E5" w:rsidP="001F1B13">
      <w:pPr>
        <w:spacing w:after="0"/>
        <w:jc w:val="both"/>
        <w:rPr>
          <w:rFonts w:ascii="Calibri" w:hAnsi="Calibri" w:cs="Calibri"/>
          <w:i/>
          <w:lang w:val="en-US"/>
        </w:rPr>
      </w:pPr>
      <w:r w:rsidRPr="00055486">
        <w:rPr>
          <w:rFonts w:ascii="Calibri" w:hAnsi="Calibri" w:cs="Calibri"/>
          <w:lang w:val="en-US"/>
        </w:rPr>
        <w:t xml:space="preserve">[1] Pensionsmyndigheten. </w:t>
      </w:r>
      <w:r w:rsidRPr="00055486">
        <w:rPr>
          <w:rFonts w:ascii="Calibri" w:hAnsi="Calibri" w:cs="Calibri"/>
          <w:i/>
          <w:lang w:val="en-US"/>
        </w:rPr>
        <w:t>Orange Report - Annual Report of the Swedish Pension System 2015</w:t>
      </w:r>
    </w:p>
    <w:p w:rsidR="00E665E5" w:rsidRPr="00055486" w:rsidRDefault="004C73C2" w:rsidP="001F1B13">
      <w:pPr>
        <w:spacing w:after="0"/>
        <w:jc w:val="both"/>
        <w:rPr>
          <w:rFonts w:ascii="Calibri" w:hAnsi="Calibri" w:cs="Calibri"/>
        </w:rPr>
      </w:pPr>
      <w:r w:rsidRPr="00055486">
        <w:rPr>
          <w:rFonts w:ascii="Calibri" w:hAnsi="Calibri" w:cs="Calibri"/>
        </w:rPr>
        <w:t xml:space="preserve">[2] </w:t>
      </w:r>
      <w:r w:rsidR="00E665E5" w:rsidRPr="00055486">
        <w:rPr>
          <w:rFonts w:ascii="Calibri" w:hAnsi="Calibri" w:cs="Calibri"/>
        </w:rPr>
        <w:t xml:space="preserve">Regeringen. </w:t>
      </w:r>
      <w:r w:rsidR="00E665E5" w:rsidRPr="00055486">
        <w:rPr>
          <w:rFonts w:ascii="Calibri" w:hAnsi="Calibri" w:cs="Calibri"/>
          <w:i/>
        </w:rPr>
        <w:t>proposition 1993/94:250</w:t>
      </w:r>
      <w:r w:rsidR="00E665E5" w:rsidRPr="00055486">
        <w:rPr>
          <w:rFonts w:ascii="Calibri" w:hAnsi="Calibri" w:cs="Calibri"/>
        </w:rPr>
        <w:t xml:space="preserve"> </w:t>
      </w:r>
      <w:r w:rsidR="00E665E5" w:rsidRPr="00055486">
        <w:rPr>
          <w:rFonts w:ascii="Calibri" w:hAnsi="Calibri" w:cs="Calibri"/>
          <w:i/>
        </w:rPr>
        <w:t>Reformering av det allmänna pensionssystemet</w:t>
      </w:r>
      <w:r w:rsidR="00E665E5" w:rsidRPr="00055486">
        <w:rPr>
          <w:rFonts w:ascii="Calibri" w:hAnsi="Calibri" w:cs="Calibri"/>
        </w:rPr>
        <w:t>; 1994 </w:t>
      </w:r>
    </w:p>
    <w:p w:rsidR="00E665E5" w:rsidRPr="00055486" w:rsidRDefault="004C73C2" w:rsidP="001F1B13">
      <w:pPr>
        <w:spacing w:after="0"/>
        <w:jc w:val="both"/>
        <w:rPr>
          <w:rFonts w:ascii="Calibri" w:hAnsi="Calibri" w:cs="Calibri"/>
        </w:rPr>
      </w:pPr>
      <w:r w:rsidRPr="00055486">
        <w:rPr>
          <w:rFonts w:ascii="Calibri" w:hAnsi="Calibri" w:cs="Calibri"/>
        </w:rPr>
        <w:t xml:space="preserve">[3] </w:t>
      </w:r>
      <w:r w:rsidR="00E665E5" w:rsidRPr="00055486">
        <w:rPr>
          <w:rFonts w:ascii="Calibri" w:hAnsi="Calibri" w:cs="Calibri"/>
        </w:rPr>
        <w:t xml:space="preserve">Könberg. </w:t>
      </w:r>
      <w:r w:rsidR="00E665E5" w:rsidRPr="00055486">
        <w:rPr>
          <w:rFonts w:ascii="Calibri" w:hAnsi="Calibri" w:cs="Calibri"/>
          <w:i/>
        </w:rPr>
        <w:t>Först i v</w:t>
      </w:r>
      <w:r w:rsidR="00050272" w:rsidRPr="00055486">
        <w:rPr>
          <w:rFonts w:ascii="Calibri" w:hAnsi="Calibri" w:cs="Calibri"/>
          <w:i/>
        </w:rPr>
        <w:t>ärlden med nytt pensionssystem H</w:t>
      </w:r>
      <w:r w:rsidR="00E665E5" w:rsidRPr="00055486">
        <w:rPr>
          <w:rFonts w:ascii="Calibri" w:hAnsi="Calibri" w:cs="Calibri"/>
          <w:i/>
        </w:rPr>
        <w:t>ur gick d</w:t>
      </w:r>
      <w:r w:rsidRPr="00055486">
        <w:rPr>
          <w:rFonts w:ascii="Calibri" w:hAnsi="Calibri" w:cs="Calibri"/>
          <w:i/>
        </w:rPr>
        <w:t>et till?</w:t>
      </w:r>
      <w:r w:rsidRPr="00055486">
        <w:rPr>
          <w:rFonts w:ascii="Calibri" w:hAnsi="Calibri" w:cs="Calibri"/>
        </w:rPr>
        <w:t>. Frisinnad Tidsskrift</w:t>
      </w:r>
    </w:p>
    <w:p w:rsidR="004C73C2" w:rsidRPr="00055486" w:rsidRDefault="00A27BA6" w:rsidP="001F1B13">
      <w:pPr>
        <w:tabs>
          <w:tab w:val="clear" w:pos="170"/>
        </w:tabs>
        <w:autoSpaceDE w:val="0"/>
        <w:autoSpaceDN w:val="0"/>
        <w:adjustRightInd w:val="0"/>
        <w:spacing w:after="0" w:line="240" w:lineRule="auto"/>
        <w:jc w:val="both"/>
        <w:rPr>
          <w:rFonts w:ascii="Calibri" w:hAnsi="Calibri" w:cs="Calibri"/>
        </w:rPr>
      </w:pPr>
      <w:r w:rsidRPr="00055486">
        <w:rPr>
          <w:rFonts w:ascii="Calibri" w:hAnsi="Calibri" w:cs="Calibri"/>
        </w:rPr>
        <w:t>[4] Socialdepartementet.</w:t>
      </w:r>
      <w:r w:rsidR="004C73C2" w:rsidRPr="00055486">
        <w:rPr>
          <w:rFonts w:ascii="Calibri" w:hAnsi="Calibri" w:cs="Calibri"/>
        </w:rPr>
        <w:t xml:space="preserve"> </w:t>
      </w:r>
      <w:r w:rsidR="004C73C2" w:rsidRPr="00055486">
        <w:rPr>
          <w:rFonts w:ascii="Calibri" w:hAnsi="Calibri" w:cs="Calibri"/>
          <w:i/>
        </w:rPr>
        <w:t>The Swedish Pension Agreement and Pension Reform: Translation of Ds 2009:53</w:t>
      </w:r>
      <w:r w:rsidR="004C73C2" w:rsidRPr="00055486">
        <w:rPr>
          <w:rFonts w:ascii="Calibri" w:hAnsi="Calibri" w:cs="Calibri"/>
        </w:rPr>
        <w:t>; 2010</w:t>
      </w:r>
    </w:p>
    <w:p w:rsidR="004C73C2" w:rsidRPr="00055486" w:rsidRDefault="00A27BA6" w:rsidP="001F1B13">
      <w:pPr>
        <w:spacing w:after="0"/>
        <w:jc w:val="both"/>
        <w:rPr>
          <w:rFonts w:ascii="Calibri" w:hAnsi="Calibri" w:cs="Calibri"/>
        </w:rPr>
      </w:pPr>
      <w:r w:rsidRPr="00055486">
        <w:rPr>
          <w:rFonts w:ascii="Calibri" w:hAnsi="Calibri" w:cs="Calibri"/>
        </w:rPr>
        <w:t>[5] Socialdepartementet.</w:t>
      </w:r>
      <w:r w:rsidR="004C73C2" w:rsidRPr="00055486">
        <w:rPr>
          <w:rFonts w:ascii="Calibri" w:hAnsi="Calibri" w:cs="Calibri"/>
        </w:rPr>
        <w:t xml:space="preserve"> </w:t>
      </w:r>
      <w:r w:rsidR="004C73C2" w:rsidRPr="00055486">
        <w:rPr>
          <w:rFonts w:ascii="Calibri" w:hAnsi="Calibri" w:cs="Calibri"/>
          <w:i/>
        </w:rPr>
        <w:t>DS 2015:6 En jämnare och mer aktuell utveckling av inkomstpensionerna</w:t>
      </w:r>
      <w:r w:rsidR="004C73C2" w:rsidRPr="00055486">
        <w:rPr>
          <w:rFonts w:ascii="Calibri" w:hAnsi="Calibri" w:cs="Calibri"/>
        </w:rPr>
        <w:t>; 2015</w:t>
      </w:r>
    </w:p>
    <w:p w:rsidR="004C73C2" w:rsidRPr="00055486" w:rsidRDefault="00A27BA6" w:rsidP="001F1B13">
      <w:pPr>
        <w:spacing w:after="0"/>
        <w:jc w:val="both"/>
        <w:rPr>
          <w:rFonts w:ascii="Calibri" w:hAnsi="Calibri" w:cs="Calibri"/>
        </w:rPr>
      </w:pPr>
      <w:r w:rsidRPr="00055486">
        <w:rPr>
          <w:rFonts w:ascii="Calibri" w:hAnsi="Calibri" w:cs="Calibri"/>
        </w:rPr>
        <w:t>[6] Socialdepartementet.</w:t>
      </w:r>
      <w:r w:rsidR="004C73C2" w:rsidRPr="00055486">
        <w:rPr>
          <w:rFonts w:ascii="Calibri" w:hAnsi="Calibri" w:cs="Calibri"/>
        </w:rPr>
        <w:t xml:space="preserve"> </w:t>
      </w:r>
      <w:r w:rsidR="004C73C2" w:rsidRPr="00055486">
        <w:rPr>
          <w:rFonts w:ascii="Calibri" w:hAnsi="Calibri" w:cs="Calibri"/>
          <w:i/>
        </w:rPr>
        <w:t>SFS 2014:1548</w:t>
      </w:r>
      <w:r w:rsidR="004C73C2" w:rsidRPr="00055486">
        <w:rPr>
          <w:rFonts w:ascii="Calibri" w:hAnsi="Calibri" w:cs="Calibri"/>
        </w:rPr>
        <w:t>; 2014</w:t>
      </w:r>
    </w:p>
    <w:p w:rsidR="004C73C2" w:rsidRPr="00055486" w:rsidRDefault="00A27BA6" w:rsidP="001F1B13">
      <w:pPr>
        <w:spacing w:after="0"/>
        <w:jc w:val="both"/>
        <w:rPr>
          <w:rFonts w:ascii="Calibri" w:hAnsi="Calibri" w:cs="Calibri"/>
        </w:rPr>
      </w:pPr>
      <w:r w:rsidRPr="00055486">
        <w:rPr>
          <w:rFonts w:ascii="Calibri" w:hAnsi="Calibri" w:cs="Calibri"/>
        </w:rPr>
        <w:t>[7] Socialdepartementet.</w:t>
      </w:r>
      <w:r w:rsidR="004C73C2" w:rsidRPr="00055486">
        <w:rPr>
          <w:rFonts w:ascii="Calibri" w:hAnsi="Calibri" w:cs="Calibri"/>
        </w:rPr>
        <w:t xml:space="preserve"> </w:t>
      </w:r>
      <w:r w:rsidR="004C73C2" w:rsidRPr="00055486">
        <w:rPr>
          <w:rFonts w:ascii="Calibri" w:hAnsi="Calibri" w:cs="Calibri"/>
          <w:i/>
        </w:rPr>
        <w:t>Prop.2008/09:219 Utjämnat värde för buffertfonden vid beräkning av balanstalet</w:t>
      </w:r>
      <w:r w:rsidR="004C73C2" w:rsidRPr="00055486">
        <w:rPr>
          <w:rFonts w:ascii="Calibri" w:hAnsi="Calibri" w:cs="Calibri"/>
        </w:rPr>
        <w:t>; 2009</w:t>
      </w:r>
    </w:p>
    <w:p w:rsidR="004C73C2" w:rsidRPr="00055486" w:rsidRDefault="004C73C2" w:rsidP="001F1B13">
      <w:pPr>
        <w:spacing w:after="0"/>
        <w:jc w:val="both"/>
        <w:rPr>
          <w:rFonts w:ascii="Calibri" w:hAnsi="Calibri" w:cs="Calibri"/>
        </w:rPr>
      </w:pPr>
      <w:r w:rsidRPr="00055486">
        <w:rPr>
          <w:rFonts w:ascii="Calibri" w:hAnsi="Calibri" w:cs="Calibri"/>
        </w:rPr>
        <w:t xml:space="preserve">[8] Thomsson, Billberg. </w:t>
      </w:r>
      <w:r w:rsidRPr="00055486">
        <w:rPr>
          <w:rFonts w:ascii="Calibri" w:hAnsi="Calibri" w:cs="Calibri"/>
          <w:i/>
        </w:rPr>
        <w:t>SOU 2016:61 Fokus premiepension</w:t>
      </w:r>
      <w:r w:rsidRPr="00055486">
        <w:rPr>
          <w:rFonts w:ascii="Calibri" w:hAnsi="Calibri" w:cs="Calibri"/>
        </w:rPr>
        <w:t>; 2016</w:t>
      </w:r>
    </w:p>
    <w:p w:rsidR="004C73C2" w:rsidRPr="00055486" w:rsidRDefault="00A27BA6" w:rsidP="001F1B13">
      <w:pPr>
        <w:spacing w:after="0"/>
        <w:jc w:val="both"/>
        <w:rPr>
          <w:rFonts w:ascii="Calibri" w:hAnsi="Calibri" w:cs="Calibri"/>
        </w:rPr>
      </w:pPr>
      <w:r w:rsidRPr="00055486">
        <w:rPr>
          <w:rFonts w:ascii="Calibri" w:hAnsi="Calibri" w:cs="Calibri"/>
        </w:rPr>
        <w:t>[9] Pensionsmyndigheten.</w:t>
      </w:r>
      <w:r w:rsidR="004C73C2" w:rsidRPr="00055486">
        <w:rPr>
          <w:rFonts w:ascii="Calibri" w:hAnsi="Calibri" w:cs="Calibri"/>
        </w:rPr>
        <w:t xml:space="preserve"> </w:t>
      </w:r>
      <w:r w:rsidR="004C73C2" w:rsidRPr="00055486">
        <w:rPr>
          <w:rFonts w:ascii="Calibri" w:hAnsi="Calibri" w:cs="Calibri"/>
          <w:i/>
        </w:rPr>
        <w:t>Remissvar på betänkandet Fokus premiepension (SOU 2016:61)</w:t>
      </w:r>
      <w:r w:rsidR="004C73C2" w:rsidRPr="00055486">
        <w:rPr>
          <w:rFonts w:ascii="Calibri" w:hAnsi="Calibri" w:cs="Calibri"/>
        </w:rPr>
        <w:t>; 2017</w:t>
      </w:r>
    </w:p>
    <w:p w:rsidR="004C73C2" w:rsidRPr="00055486" w:rsidRDefault="004C73C2" w:rsidP="001F1B13">
      <w:pPr>
        <w:spacing w:after="0"/>
        <w:jc w:val="both"/>
        <w:rPr>
          <w:rFonts w:ascii="Calibri" w:hAnsi="Calibri" w:cs="Calibri"/>
        </w:rPr>
      </w:pPr>
      <w:r w:rsidRPr="00055486">
        <w:rPr>
          <w:rFonts w:ascii="Calibri" w:hAnsi="Calibri" w:cs="Calibri"/>
        </w:rPr>
        <w:t>[10] Svenska Dagbladet.</w:t>
      </w:r>
      <w:r w:rsidR="00E214D3" w:rsidRPr="00055486">
        <w:rPr>
          <w:rFonts w:ascii="Calibri" w:hAnsi="Calibri" w:cs="Calibri"/>
        </w:rPr>
        <w:t xml:space="preserve"> </w:t>
      </w:r>
      <w:r w:rsidR="00E214D3" w:rsidRPr="00055486">
        <w:rPr>
          <w:rFonts w:ascii="Calibri" w:hAnsi="Calibri" w:cs="Calibri"/>
          <w:i/>
        </w:rPr>
        <w:t>Efter skandalerna:</w:t>
      </w:r>
      <w:r w:rsidR="00E214D3" w:rsidRPr="00055486">
        <w:rPr>
          <w:rFonts w:ascii="Calibri" w:hAnsi="Calibri" w:cs="Calibri"/>
        </w:rPr>
        <w:t xml:space="preserve"> </w:t>
      </w:r>
      <w:r w:rsidR="00E214D3" w:rsidRPr="00055486">
        <w:rPr>
          <w:rFonts w:ascii="Calibri" w:hAnsi="Calibri" w:cs="Calibri"/>
          <w:i/>
        </w:rPr>
        <w:t>S redo överge premiepensionen.</w:t>
      </w:r>
      <w:r w:rsidRPr="00055486">
        <w:rPr>
          <w:rFonts w:ascii="Calibri" w:hAnsi="Calibri" w:cs="Calibri"/>
        </w:rPr>
        <w:t xml:space="preserve"> </w:t>
      </w:r>
      <w:hyperlink r:id="rId18" w:history="1">
        <w:r w:rsidRPr="00055486">
          <w:rPr>
            <w:rStyle w:val="Lienhypertexte"/>
            <w:rFonts w:ascii="Calibri" w:hAnsi="Calibri" w:cs="Calibri"/>
            <w:i w:val="0"/>
          </w:rPr>
          <w:t>https://www.svd.se/s-redo-overge-premiepensionen</w:t>
        </w:r>
      </w:hyperlink>
      <w:r w:rsidRPr="00055486">
        <w:rPr>
          <w:rFonts w:ascii="Calibri" w:hAnsi="Calibri" w:cs="Calibri"/>
          <w:i/>
        </w:rPr>
        <w:t>;</w:t>
      </w:r>
      <w:r w:rsidRPr="00055486">
        <w:rPr>
          <w:rFonts w:ascii="Calibri" w:hAnsi="Calibri" w:cs="Calibri"/>
        </w:rPr>
        <w:t xml:space="preserve"> 2017</w:t>
      </w:r>
    </w:p>
    <w:p w:rsidR="00037B32" w:rsidRPr="00055486" w:rsidRDefault="00037B32" w:rsidP="001F1B13">
      <w:pPr>
        <w:spacing w:after="0"/>
        <w:jc w:val="both"/>
        <w:rPr>
          <w:rFonts w:ascii="Calibri" w:hAnsi="Calibri" w:cs="Calibri"/>
        </w:rPr>
      </w:pPr>
      <w:r w:rsidRPr="00055486">
        <w:rPr>
          <w:rFonts w:ascii="Calibri" w:hAnsi="Calibri" w:cs="Calibri"/>
        </w:rPr>
        <w:t xml:space="preserve">[11] Sibbmark et al. </w:t>
      </w:r>
      <w:r w:rsidRPr="00055486">
        <w:rPr>
          <w:rFonts w:ascii="Calibri" w:hAnsi="Calibri" w:cs="Calibri"/>
          <w:i/>
        </w:rPr>
        <w:t>En modell för finansiering av pensionssystemet utan automatisk balansering</w:t>
      </w:r>
      <w:r w:rsidRPr="00055486">
        <w:rPr>
          <w:rFonts w:ascii="Calibri" w:hAnsi="Calibri" w:cs="Calibri"/>
        </w:rPr>
        <w:t>; 2013</w:t>
      </w:r>
    </w:p>
    <w:p w:rsidR="00037B32" w:rsidRPr="00055486" w:rsidRDefault="00037B32" w:rsidP="001F1B13">
      <w:pPr>
        <w:spacing w:after="0"/>
        <w:jc w:val="both"/>
        <w:rPr>
          <w:rFonts w:ascii="Calibri" w:hAnsi="Calibri" w:cs="Calibri"/>
          <w:lang w:val="en-US"/>
        </w:rPr>
      </w:pPr>
      <w:r w:rsidRPr="00055486">
        <w:rPr>
          <w:rFonts w:ascii="Calibri" w:hAnsi="Calibri" w:cs="Calibri"/>
          <w:lang w:val="en-US"/>
        </w:rPr>
        <w:t>[12] Holzmann</w:t>
      </w:r>
      <w:r w:rsidRPr="00055486">
        <w:rPr>
          <w:rFonts w:ascii="Calibri" w:hAnsi="Calibri" w:cs="Calibri"/>
          <w:i/>
          <w:lang w:val="en-US"/>
        </w:rPr>
        <w:t>. Toward a Pan-European Pension Reform Approach: The promises and perspectives of unfunded individual account systems</w:t>
      </w:r>
      <w:r w:rsidRPr="00055486">
        <w:rPr>
          <w:rFonts w:ascii="Calibri" w:hAnsi="Calibri" w:cs="Calibri"/>
          <w:lang w:val="en-US"/>
        </w:rPr>
        <w:t>; 2007</w:t>
      </w:r>
    </w:p>
    <w:p w:rsidR="00037B32" w:rsidRPr="00055486" w:rsidRDefault="00037B32" w:rsidP="001F1B13">
      <w:pPr>
        <w:spacing w:after="0"/>
        <w:jc w:val="both"/>
        <w:rPr>
          <w:rFonts w:ascii="Calibri" w:hAnsi="Calibri" w:cs="Calibri"/>
          <w:lang w:val="en-US"/>
        </w:rPr>
      </w:pPr>
      <w:r w:rsidRPr="00055486">
        <w:rPr>
          <w:rFonts w:ascii="Calibri" w:hAnsi="Calibri" w:cs="Calibri"/>
          <w:lang w:val="en-US"/>
        </w:rPr>
        <w:t xml:space="preserve">[13] Barr. </w:t>
      </w:r>
      <w:r w:rsidRPr="00055486">
        <w:rPr>
          <w:rFonts w:ascii="Calibri" w:hAnsi="Calibri" w:cs="Calibri"/>
          <w:i/>
          <w:lang w:val="en-US"/>
        </w:rPr>
        <w:t>The pension system in Sweden. Report to the Expert Group on Public Economics</w:t>
      </w:r>
      <w:r w:rsidRPr="00055486">
        <w:rPr>
          <w:rFonts w:ascii="Calibri" w:hAnsi="Calibri" w:cs="Calibri"/>
          <w:lang w:val="en-US"/>
        </w:rPr>
        <w:t>; 2013</w:t>
      </w:r>
    </w:p>
    <w:p w:rsidR="009E3A1F" w:rsidRPr="00055486" w:rsidRDefault="009E3A1F" w:rsidP="001F1B13">
      <w:pPr>
        <w:spacing w:after="0"/>
        <w:jc w:val="both"/>
        <w:rPr>
          <w:rFonts w:ascii="Calibri" w:hAnsi="Calibri" w:cs="Calibri"/>
        </w:rPr>
      </w:pPr>
      <w:r w:rsidRPr="00055486">
        <w:rPr>
          <w:rFonts w:ascii="Calibri" w:hAnsi="Calibri" w:cs="Calibri"/>
        </w:rPr>
        <w:t>[14] Socialdepartementet</w:t>
      </w:r>
      <w:r w:rsidR="00A27BA6" w:rsidRPr="00055486">
        <w:rPr>
          <w:rFonts w:ascii="Calibri" w:hAnsi="Calibri" w:cs="Calibri"/>
        </w:rPr>
        <w:t>.</w:t>
      </w:r>
      <w:r w:rsidRPr="00055486">
        <w:rPr>
          <w:rFonts w:ascii="Calibri" w:hAnsi="Calibri" w:cs="Calibri"/>
        </w:rPr>
        <w:t xml:space="preserve"> </w:t>
      </w:r>
      <w:r w:rsidR="0063510A" w:rsidRPr="00055486">
        <w:rPr>
          <w:rFonts w:ascii="Calibri" w:hAnsi="Calibri" w:cs="Calibri"/>
          <w:i/>
        </w:rPr>
        <w:t>Ekonomiska effekter av ett längre arbetsliv Långsiktiga ekonomiska effekter av Pensionsåldersutredningens förslag</w:t>
      </w:r>
      <w:r w:rsidR="0063510A" w:rsidRPr="00055486">
        <w:rPr>
          <w:rFonts w:ascii="Calibri" w:hAnsi="Calibri" w:cs="Calibri"/>
        </w:rPr>
        <w:t>; 2014</w:t>
      </w:r>
    </w:p>
    <w:p w:rsidR="0002364E" w:rsidRPr="00055486" w:rsidRDefault="0002364E" w:rsidP="001F1B13">
      <w:pPr>
        <w:spacing w:after="0"/>
        <w:jc w:val="both"/>
        <w:rPr>
          <w:rFonts w:ascii="Calibri" w:hAnsi="Calibri" w:cs="Calibri"/>
        </w:rPr>
      </w:pPr>
      <w:r w:rsidRPr="00055486">
        <w:rPr>
          <w:rFonts w:ascii="Calibri" w:hAnsi="Calibri" w:cs="Calibri"/>
        </w:rPr>
        <w:t xml:space="preserve">[15] Granbom, Pensionsmyndigheten. </w:t>
      </w:r>
      <w:r w:rsidRPr="00055486">
        <w:rPr>
          <w:rFonts w:ascii="Calibri" w:hAnsi="Calibri" w:cs="Calibri"/>
          <w:i/>
        </w:rPr>
        <w:t>Jämförelse i utfall av inkomstgrundad allmän pension i det nya och gamla pensionssystemet för födda 1938-1945</w:t>
      </w:r>
      <w:r w:rsidRPr="00055486">
        <w:rPr>
          <w:rFonts w:ascii="Calibri" w:hAnsi="Calibri" w:cs="Calibri"/>
        </w:rPr>
        <w:t>; 2017</w:t>
      </w:r>
    </w:p>
    <w:p w:rsidR="0002364E" w:rsidRPr="00055486" w:rsidRDefault="00A27BA6" w:rsidP="001F1B13">
      <w:pPr>
        <w:spacing w:after="0"/>
        <w:jc w:val="both"/>
        <w:rPr>
          <w:rFonts w:ascii="Calibri" w:hAnsi="Calibri" w:cs="Calibri"/>
        </w:rPr>
      </w:pPr>
      <w:r w:rsidRPr="00055486">
        <w:rPr>
          <w:rFonts w:ascii="Calibri" w:hAnsi="Calibri" w:cs="Calibri"/>
        </w:rPr>
        <w:t>[16] Pensionsmyndigheten.</w:t>
      </w:r>
      <w:r w:rsidR="0002364E" w:rsidRPr="00055486">
        <w:rPr>
          <w:rFonts w:ascii="Calibri" w:hAnsi="Calibri" w:cs="Calibri"/>
        </w:rPr>
        <w:t xml:space="preserve"> </w:t>
      </w:r>
      <w:r w:rsidR="0002364E" w:rsidRPr="00055486">
        <w:rPr>
          <w:rFonts w:ascii="Calibri" w:hAnsi="Calibri" w:cs="Calibri"/>
          <w:i/>
        </w:rPr>
        <w:t>Anslagsbelastning och prognos för anslag inom Pensionsmyndighetens ansvarsområde budgetåren 2016–2021</w:t>
      </w:r>
      <w:r w:rsidR="0002364E" w:rsidRPr="00055486">
        <w:rPr>
          <w:rFonts w:ascii="Calibri" w:hAnsi="Calibri" w:cs="Calibri"/>
        </w:rPr>
        <w:t>; 2017</w:t>
      </w:r>
    </w:p>
    <w:p w:rsidR="0002364E" w:rsidRPr="00055486" w:rsidRDefault="0002364E" w:rsidP="00055486">
      <w:pPr>
        <w:jc w:val="both"/>
        <w:rPr>
          <w:rFonts w:ascii="Calibri" w:hAnsi="Calibri" w:cs="Calibri"/>
        </w:rPr>
      </w:pPr>
    </w:p>
    <w:p w:rsidR="00037B32" w:rsidRPr="00055486" w:rsidRDefault="00037B32" w:rsidP="00055486">
      <w:pPr>
        <w:jc w:val="both"/>
        <w:rPr>
          <w:rFonts w:ascii="Calibri" w:hAnsi="Calibri" w:cs="Calibri"/>
        </w:rPr>
      </w:pPr>
    </w:p>
    <w:p w:rsidR="00E665E5" w:rsidRPr="00055486" w:rsidRDefault="00E665E5" w:rsidP="00055486">
      <w:pPr>
        <w:jc w:val="both"/>
        <w:rPr>
          <w:rFonts w:ascii="Calibri" w:hAnsi="Calibri" w:cs="Calibri"/>
        </w:rPr>
      </w:pPr>
    </w:p>
    <w:p w:rsidR="00E665E5" w:rsidRPr="00055486" w:rsidRDefault="00E665E5" w:rsidP="00055486">
      <w:pPr>
        <w:jc w:val="both"/>
        <w:rPr>
          <w:rFonts w:ascii="Calibri" w:hAnsi="Calibri" w:cs="Calibri"/>
        </w:rPr>
      </w:pPr>
    </w:p>
    <w:sdt>
      <w:sdtPr>
        <w:rPr>
          <w:i/>
          <w:vanish/>
          <w:color w:val="FF0000"/>
        </w:rPr>
        <w:id w:val="1266343893"/>
        <w:lock w:val="sdtContentLocked"/>
        <w:placeholder>
          <w:docPart w:val="EF41270E3663446A841321EFE8BDC80A"/>
        </w:placeholder>
      </w:sdtPr>
      <w:sdtEndPr/>
      <w:sdtContent>
        <w:p w:rsidR="000E5124" w:rsidRDefault="000E5124" w:rsidP="00A67EF0">
          <w:pPr>
            <w:rPr>
              <w:i/>
              <w:vanish/>
              <w:color w:val="FF0000"/>
            </w:rPr>
          </w:pPr>
          <w:r w:rsidRPr="00245AF3">
            <w:rPr>
              <w:i/>
              <w:vanish/>
              <w:color w:val="FF0000"/>
            </w:rPr>
            <w:t xml:space="preserve">Ta ej bort </w:t>
          </w:r>
          <w:r>
            <w:rPr>
              <w:i/>
              <w:vanish/>
              <w:color w:val="FF0000"/>
            </w:rPr>
            <w:t>nedanstående avsnittsbrytning</w:t>
          </w:r>
          <w:r w:rsidRPr="00245AF3">
            <w:rPr>
              <w:i/>
              <w:vanish/>
              <w:color w:val="FF0000"/>
            </w:rPr>
            <w:t>!!</w:t>
          </w:r>
        </w:p>
      </w:sdtContent>
    </w:sdt>
    <w:sdt>
      <w:sdtPr>
        <w:alias w:val="Avsnittsbrytning"/>
        <w:tag w:val="Avsnittsbrytning"/>
        <w:id w:val="-756591197"/>
        <w:lock w:val="sdtContentLocked"/>
        <w:placeholder>
          <w:docPart w:val="8239B8221EB34D3482DE1320FD2289F1"/>
        </w:placeholder>
      </w:sdtPr>
      <w:sdtEndPr/>
      <w:sdtContent>
        <w:p w:rsidR="00E269A6" w:rsidRDefault="00E269A6" w:rsidP="00052CF1">
          <w:pPr>
            <w:pStyle w:val="Avsnittsbrytning"/>
            <w:sectPr w:rsidR="00E269A6" w:rsidSect="00052CF1">
              <w:footerReference w:type="default" r:id="rId19"/>
              <w:pgSz w:w="11906" w:h="16838" w:code="9"/>
              <w:pgMar w:top="1247" w:right="2268" w:bottom="1701" w:left="2268" w:header="550" w:footer="794" w:gutter="0"/>
              <w:pgNumType w:start="1"/>
              <w:cols w:space="708"/>
              <w:docGrid w:linePitch="360"/>
            </w:sectPr>
          </w:pPr>
          <w:r>
            <w:t xml:space="preserve">    </w:t>
          </w:r>
        </w:p>
        <w:bookmarkStart w:id="34" w:name="_Toc466373384" w:displacedByCustomXml="next"/>
        <w:bookmarkStart w:id="35" w:name="_Toc466374328" w:displacedByCustomXml="next"/>
        <w:bookmarkStart w:id="36" w:name="_Toc466374385" w:displacedByCustomXml="next"/>
        <w:bookmarkStart w:id="37" w:name="_Toc469316260" w:displacedByCustomXml="next"/>
        <w:bookmarkStart w:id="38" w:name="_Toc469316819" w:displacedByCustomXml="next"/>
        <w:bookmarkStart w:id="39" w:name="_Toc469317762" w:displacedByCustomXml="next"/>
      </w:sdtContent>
    </w:sdt>
    <w:bookmarkEnd w:id="34" w:displacedByCustomXml="next"/>
    <w:bookmarkEnd w:id="35" w:displacedByCustomXml="next"/>
    <w:bookmarkEnd w:id="36" w:displacedByCustomXml="next"/>
    <w:bookmarkEnd w:id="37" w:displacedByCustomXml="next"/>
    <w:bookmarkEnd w:id="38" w:displacedByCustomXml="next"/>
    <w:bookmarkEnd w:id="39" w:displacedByCustomXml="next"/>
    <w:sdt>
      <w:sdtPr>
        <w:rPr>
          <w:i/>
          <w:vanish/>
          <w:color w:val="FF0000"/>
        </w:rPr>
        <w:alias w:val="Avsnittsbrytning"/>
        <w:tag w:val="Avsnittsbrytning"/>
        <w:id w:val="-197848994"/>
        <w:lock w:val="sdtContentLocked"/>
        <w:placeholder>
          <w:docPart w:val="AB9E7B1EEF2B470797F321E0503925F4"/>
        </w:placeholder>
      </w:sdtPr>
      <w:sdtEndPr/>
      <w:sdtContent>
        <w:p w:rsidR="000E5124" w:rsidRDefault="000E5124" w:rsidP="00A67EF0">
          <w:pPr>
            <w:rPr>
              <w:i/>
              <w:vanish/>
              <w:color w:val="FF0000"/>
            </w:rPr>
          </w:pPr>
          <w:r w:rsidRPr="00245AF3">
            <w:rPr>
              <w:i/>
              <w:vanish/>
              <w:color w:val="FF0000"/>
            </w:rPr>
            <w:t xml:space="preserve">Ta ej bort </w:t>
          </w:r>
          <w:r>
            <w:rPr>
              <w:i/>
              <w:vanish/>
              <w:color w:val="FF0000"/>
            </w:rPr>
            <w:t>nedanstående avsnittsbrytning</w:t>
          </w:r>
          <w:r w:rsidRPr="00245AF3">
            <w:rPr>
              <w:i/>
              <w:vanish/>
              <w:color w:val="FF0000"/>
            </w:rPr>
            <w:t>!!</w:t>
          </w:r>
          <w:r w:rsidR="002B0214">
            <w:rPr>
              <w:i/>
              <w:vanish/>
              <w:color w:val="FF0000"/>
            </w:rPr>
            <w:t xml:space="preserve"> </w:t>
          </w:r>
          <w:r w:rsidRPr="002B0214">
            <w:rPr>
              <w:b/>
              <w:i/>
              <w:vanish/>
              <w:color w:val="FF0000"/>
            </w:rPr>
            <w:t>OBS!</w:t>
          </w:r>
          <w:r>
            <w:rPr>
              <w:i/>
              <w:vanish/>
              <w:color w:val="FF0000"/>
            </w:rPr>
            <w:t xml:space="preserve"> Skriv ingenting efter denna avsnittsbrytning då den styr </w:t>
          </w:r>
          <w:r w:rsidR="002B0214">
            <w:rPr>
              <w:i/>
              <w:vanish/>
              <w:color w:val="FF0000"/>
            </w:rPr>
            <w:t>avslutnings</w:t>
          </w:r>
          <w:r>
            <w:rPr>
              <w:i/>
              <w:vanish/>
              <w:color w:val="FF0000"/>
            </w:rPr>
            <w:t>sidan.</w:t>
          </w:r>
        </w:p>
      </w:sdtContent>
    </w:sdt>
    <w:sdt>
      <w:sdtPr>
        <w:alias w:val="Avsnittsbrytning"/>
        <w:tag w:val="Avsnittsbrytning"/>
        <w:id w:val="1934157042"/>
        <w:lock w:val="sdtContentLocked"/>
        <w:showingPlcHdr/>
      </w:sdtPr>
      <w:sdtEndPr/>
      <w:sdtContent>
        <w:p w:rsidR="00052CF1" w:rsidRPr="00245AF3" w:rsidRDefault="00052CF1" w:rsidP="00052CF1">
          <w:pPr>
            <w:pStyle w:val="Avsnittsbrytning"/>
            <w:sectPr w:rsidR="00052CF1" w:rsidRPr="00245AF3" w:rsidSect="008C6E57">
              <w:footerReference w:type="default" r:id="rId20"/>
              <w:type w:val="continuous"/>
              <w:pgSz w:w="11906" w:h="16838" w:code="9"/>
              <w:pgMar w:top="1247" w:right="2268" w:bottom="1701" w:left="2268" w:header="550" w:footer="794" w:gutter="0"/>
              <w:cols w:space="708"/>
              <w:docGrid w:linePitch="360"/>
            </w:sectPr>
          </w:pPr>
          <w:r>
            <w:t xml:space="preserve">    </w:t>
          </w:r>
        </w:p>
      </w:sdtContent>
    </w:sdt>
    <w:p w:rsidR="00CC284E" w:rsidRPr="00245AF3" w:rsidRDefault="00CC284E" w:rsidP="001F1B13"/>
    <w:sectPr w:rsidR="00CC284E" w:rsidRPr="00245AF3" w:rsidSect="00B002CC">
      <w:headerReference w:type="default" r:id="rId21"/>
      <w:footerReference w:type="default" r:id="rId22"/>
      <w:pgSz w:w="11906" w:h="16838" w:code="9"/>
      <w:pgMar w:top="1247" w:right="2268" w:bottom="1701" w:left="2268" w:header="55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87" w:rsidRDefault="00781D87" w:rsidP="005B272F">
      <w:pPr>
        <w:spacing w:after="0" w:line="240" w:lineRule="auto"/>
      </w:pPr>
      <w:r>
        <w:separator/>
      </w:r>
    </w:p>
    <w:p w:rsidR="00781D87" w:rsidRDefault="00781D87"/>
  </w:endnote>
  <w:endnote w:type="continuationSeparator" w:id="0">
    <w:p w:rsidR="00781D87" w:rsidRDefault="00781D87" w:rsidP="005B272F">
      <w:pPr>
        <w:spacing w:after="0" w:line="240" w:lineRule="auto"/>
      </w:pPr>
      <w:r>
        <w:continuationSeparator/>
      </w:r>
    </w:p>
    <w:p w:rsidR="00781D87" w:rsidRDefault="00781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ensio Sans Normal">
    <w:altName w:val="Arial"/>
    <w:panose1 w:val="00000000000000000000"/>
    <w:charset w:val="00"/>
    <w:family w:val="modern"/>
    <w:notTrueType/>
    <w:pitch w:val="variable"/>
    <w:sig w:usb0="00000001"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tane">
    <w:altName w:val="Cambria Math"/>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oSansPro-Medium">
    <w:altName w:val="Times New Roman"/>
    <w:panose1 w:val="00000000000000000000"/>
    <w:charset w:val="00"/>
    <w:family w:val="auto"/>
    <w:notTrueType/>
    <w:pitch w:val="default"/>
    <w:sig w:usb0="00000003" w:usb1="00000000" w:usb2="00000000" w:usb3="00000000" w:csb0="00000001" w:csb1="00000000"/>
  </w:font>
  <w:font w:name="NeoSansPr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etableauclaire1"/>
      <w:tblpPr w:leftFromText="142" w:rightFromText="142" w:vertAnchor="page" w:tblpXSpec="center" w:tblpY="1151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4140"/>
    </w:tblGrid>
    <w:tr w:rsidR="00A67EF0" w:rsidTr="00397CE6">
      <w:trPr>
        <w:trHeight w:hRule="exact" w:val="2693"/>
      </w:trPr>
      <w:tc>
        <w:tcPr>
          <w:tcW w:w="7767" w:type="dxa"/>
          <w:shd w:val="clear" w:color="auto" w:fill="DC4912" w:themeFill="accent1"/>
        </w:tcPr>
        <w:p w:rsidR="00A67EF0" w:rsidRDefault="00A67EF0" w:rsidP="00B04C78">
          <w:pPr>
            <w:pStyle w:val="Pieddepage"/>
          </w:pPr>
        </w:p>
      </w:tc>
      <w:tc>
        <w:tcPr>
          <w:tcW w:w="4140" w:type="dxa"/>
          <w:shd w:val="clear" w:color="auto" w:fill="DC4912" w:themeFill="accent1"/>
          <w:vAlign w:val="center"/>
        </w:tcPr>
        <w:p w:rsidR="00A67EF0" w:rsidRDefault="00A67EF0" w:rsidP="00BA1667">
          <w:pPr>
            <w:pStyle w:val="Pieddepage"/>
            <w:jc w:val="left"/>
          </w:pPr>
          <w:r w:rsidRPr="00643FF9">
            <w:rPr>
              <w:noProof/>
              <w:lang w:val="fr-FR" w:eastAsia="zh-CN"/>
            </w:rPr>
            <w:drawing>
              <wp:inline distT="0" distB="0" distL="0" distR="0" wp14:anchorId="27F640C8" wp14:editId="2D1FF640">
                <wp:extent cx="1862017" cy="871268"/>
                <wp:effectExtent l="0" t="0" r="5080" b="508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
                        <a:stretch>
                          <a:fillRect/>
                        </a:stretch>
                      </pic:blipFill>
                      <pic:spPr>
                        <a:xfrm>
                          <a:off x="0" y="0"/>
                          <a:ext cx="1887744" cy="883306"/>
                        </a:xfrm>
                        <a:prstGeom prst="rect">
                          <a:avLst/>
                        </a:prstGeom>
                      </pic:spPr>
                    </pic:pic>
                  </a:graphicData>
                </a:graphic>
              </wp:inline>
            </w:drawing>
          </w:r>
        </w:p>
      </w:tc>
    </w:tr>
    <w:tr w:rsidR="00A67EF0" w:rsidTr="00DD79FF">
      <w:trPr>
        <w:trHeight w:hRule="exact" w:val="238"/>
      </w:trPr>
      <w:tc>
        <w:tcPr>
          <w:tcW w:w="11907" w:type="dxa"/>
          <w:gridSpan w:val="2"/>
          <w:shd w:val="clear" w:color="auto" w:fill="DC4912" w:themeFill="accent1"/>
        </w:tcPr>
        <w:p w:rsidR="00A67EF0" w:rsidRDefault="00A67EF0" w:rsidP="00B04C78">
          <w:pPr>
            <w:pStyle w:val="Pieddepage"/>
          </w:pPr>
        </w:p>
      </w:tc>
    </w:tr>
    <w:tr w:rsidR="00A67EF0" w:rsidTr="00890578">
      <w:trPr>
        <w:trHeight w:hRule="exact" w:val="238"/>
      </w:trPr>
      <w:tc>
        <w:tcPr>
          <w:tcW w:w="11907" w:type="dxa"/>
          <w:gridSpan w:val="2"/>
          <w:shd w:val="clear" w:color="auto" w:fill="auto"/>
        </w:tcPr>
        <w:p w:rsidR="00A67EF0" w:rsidRDefault="00A67EF0" w:rsidP="00B04C78">
          <w:pPr>
            <w:pStyle w:val="Pieddepage"/>
          </w:pPr>
          <w:r>
            <w:rPr>
              <w:noProof/>
              <w:lang w:val="fr-FR" w:eastAsia="zh-CN"/>
            </w:rPr>
            <mc:AlternateContent>
              <mc:Choice Requires="wps">
                <w:drawing>
                  <wp:anchor distT="0" distB="0" distL="114300" distR="114300" simplePos="0" relativeHeight="251669504" behindDoc="0" locked="1" layoutInCell="1" allowOverlap="1" wp14:anchorId="3E36B491" wp14:editId="53B9E4CF">
                    <wp:simplePos x="0" y="0"/>
                    <wp:positionH relativeFrom="column">
                      <wp:posOffset>0</wp:posOffset>
                    </wp:positionH>
                    <wp:positionV relativeFrom="paragraph">
                      <wp:posOffset>-2540</wp:posOffset>
                    </wp:positionV>
                    <wp:extent cx="7559675" cy="0"/>
                    <wp:effectExtent l="0" t="133350" r="60325" b="152400"/>
                    <wp:wrapNone/>
                    <wp:docPr id="10" name="Rak koppling 10"/>
                    <wp:cNvGraphicFramePr/>
                    <a:graphic xmlns:a="http://schemas.openxmlformats.org/drawingml/2006/main">
                      <a:graphicData uri="http://schemas.microsoft.com/office/word/2010/wordprocessingShape">
                        <wps:wsp>
                          <wps:cNvCnPr/>
                          <wps:spPr>
                            <a:xfrm>
                              <a:off x="0" y="0"/>
                              <a:ext cx="7559675" cy="0"/>
                            </a:xfrm>
                            <a:prstGeom prst="line">
                              <a:avLst/>
                            </a:prstGeom>
                            <a:ln w="288036">
                              <a:solidFill>
                                <a:schemeClr val="accent2">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CF065" id="Rak koppling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59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" strokecolor="#ffb70f [3205]" strokeweight="22.68pt">
                    <v:stroke opacity="32896f" joinstyle="miter"/>
                    <w10:anchorlock/>
                  </v:line>
                </w:pict>
              </mc:Fallback>
            </mc:AlternateContent>
          </w:r>
        </w:p>
      </w:tc>
    </w:tr>
  </w:tbl>
  <w:p w:rsidR="00A67EF0" w:rsidRDefault="00A67EF0" w:rsidP="00B04C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01"/>
      <w:tblW w:w="9603" w:type="dxa"/>
      <w:tblLook w:val="0600" w:firstRow="0" w:lastRow="0" w:firstColumn="0" w:lastColumn="0" w:noHBand="1" w:noVBand="1"/>
    </w:tblPr>
    <w:tblGrid>
      <w:gridCol w:w="2835"/>
      <w:gridCol w:w="2551"/>
      <w:gridCol w:w="2516"/>
      <w:gridCol w:w="1701"/>
    </w:tblGrid>
    <w:tr w:rsidR="00A67EF0" w:rsidRPr="00BE110B" w:rsidTr="007C6AA6">
      <w:trPr>
        <w:trHeight w:val="312"/>
      </w:trPr>
      <w:tc>
        <w:tcPr>
          <w:tcW w:w="2835" w:type="dxa"/>
          <w:tcBorders>
            <w:top w:val="single" w:sz="4" w:space="0" w:color="DC4912" w:themeColor="accent1"/>
          </w:tcBorders>
          <w:vAlign w:val="bottom"/>
        </w:tcPr>
        <w:p w:rsidR="00A67EF0" w:rsidRPr="00BE110B" w:rsidRDefault="00A67EF0" w:rsidP="00B04C78">
          <w:pPr>
            <w:pStyle w:val="Pieddepage"/>
          </w:pPr>
          <w:r w:rsidRPr="00BE110B">
            <w:t>Postadress</w:t>
          </w:r>
        </w:p>
      </w:tc>
      <w:tc>
        <w:tcPr>
          <w:tcW w:w="2551" w:type="dxa"/>
          <w:tcBorders>
            <w:top w:val="single" w:sz="4" w:space="0" w:color="DC4912" w:themeColor="accent1"/>
          </w:tcBorders>
          <w:vAlign w:val="bottom"/>
        </w:tcPr>
        <w:p w:rsidR="00A67EF0" w:rsidRPr="00BE110B" w:rsidRDefault="00A67EF0" w:rsidP="00B04C78">
          <w:pPr>
            <w:pStyle w:val="Pieddepage"/>
          </w:pPr>
          <w:r w:rsidRPr="00BE110B">
            <w:t>Kundservice</w:t>
          </w:r>
        </w:p>
      </w:tc>
      <w:tc>
        <w:tcPr>
          <w:tcW w:w="2516" w:type="dxa"/>
          <w:tcBorders>
            <w:top w:val="single" w:sz="4" w:space="0" w:color="DC4912" w:themeColor="accent1"/>
          </w:tcBorders>
          <w:vAlign w:val="bottom"/>
        </w:tcPr>
        <w:p w:rsidR="00A67EF0" w:rsidRPr="00BE110B" w:rsidRDefault="00A67EF0" w:rsidP="00B04C78">
          <w:pPr>
            <w:pStyle w:val="Pieddepage"/>
          </w:pPr>
          <w:r w:rsidRPr="00BE110B">
            <w:t>Webbplats</w:t>
          </w:r>
        </w:p>
      </w:tc>
      <w:tc>
        <w:tcPr>
          <w:tcW w:w="1701" w:type="dxa"/>
          <w:tcBorders>
            <w:top w:val="single" w:sz="4" w:space="0" w:color="DC4912" w:themeColor="accent1"/>
          </w:tcBorders>
          <w:vAlign w:val="bottom"/>
        </w:tcPr>
        <w:p w:rsidR="00A67EF0" w:rsidRPr="00BE110B" w:rsidRDefault="00A67EF0" w:rsidP="00B04C78">
          <w:pPr>
            <w:pStyle w:val="Pieddepage"/>
          </w:pPr>
        </w:p>
      </w:tc>
    </w:tr>
    <w:tr w:rsidR="00A67EF0" w:rsidTr="007C6AA6">
      <w:trPr>
        <w:trHeight w:val="20"/>
      </w:trPr>
      <w:tc>
        <w:tcPr>
          <w:tcW w:w="2835" w:type="dxa"/>
          <w:tcMar>
            <w:top w:w="0" w:type="dxa"/>
          </w:tcMar>
        </w:tcPr>
        <w:p w:rsidR="00A67EF0" w:rsidRDefault="00A67EF0" w:rsidP="00B04C78">
          <w:pPr>
            <w:pStyle w:val="Pieddepage"/>
          </w:pPr>
          <w:r>
            <w:t>Pensionsmyndigheten</w:t>
          </w:r>
        </w:p>
        <w:p w:rsidR="00A67EF0" w:rsidRDefault="00A67EF0" w:rsidP="00B04C78">
          <w:pPr>
            <w:pStyle w:val="Pieddepage"/>
          </w:pPr>
          <w:r>
            <w:t>106 44 Stockholm</w:t>
          </w:r>
        </w:p>
      </w:tc>
      <w:tc>
        <w:tcPr>
          <w:tcW w:w="2551" w:type="dxa"/>
          <w:tcMar>
            <w:top w:w="0" w:type="dxa"/>
          </w:tcMar>
        </w:tcPr>
        <w:p w:rsidR="00A67EF0" w:rsidRDefault="00A67EF0" w:rsidP="00B04C78">
          <w:pPr>
            <w:pStyle w:val="Pieddepage"/>
          </w:pPr>
          <w:r>
            <w:t>0771–776</w:t>
          </w:r>
          <w:r>
            <w:rPr>
              <w:rFonts w:ascii="Calibri" w:hAnsi="Calibri" w:cs="Calibri"/>
            </w:rPr>
            <w:t> </w:t>
          </w:r>
          <w:r>
            <w:t>776</w:t>
          </w:r>
        </w:p>
      </w:tc>
      <w:tc>
        <w:tcPr>
          <w:tcW w:w="2516" w:type="dxa"/>
          <w:tcMar>
            <w:top w:w="0" w:type="dxa"/>
          </w:tcMar>
        </w:tcPr>
        <w:p w:rsidR="00A67EF0" w:rsidRDefault="00A67EF0" w:rsidP="00B04C78">
          <w:pPr>
            <w:pStyle w:val="Pieddepage"/>
          </w:pPr>
          <w:r w:rsidRPr="00BE110B">
            <w:t>www.pensionsmyndigheten.se</w:t>
          </w:r>
          <w:r>
            <w:t xml:space="preserve"> </w:t>
          </w:r>
        </w:p>
      </w:tc>
      <w:tc>
        <w:tcPr>
          <w:tcW w:w="1701" w:type="dxa"/>
          <w:tcMar>
            <w:top w:w="0" w:type="dxa"/>
          </w:tcMar>
        </w:tcPr>
        <w:p w:rsidR="00A67EF0" w:rsidRDefault="00A67EF0" w:rsidP="00B04C78">
          <w:pPr>
            <w:pStyle w:val="Pieddepage"/>
          </w:pPr>
        </w:p>
      </w:tc>
    </w:tr>
  </w:tbl>
  <w:p w:rsidR="00A67EF0" w:rsidRPr="007C6AA6" w:rsidRDefault="00A67EF0" w:rsidP="00B04C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0" w:rsidRPr="00394417" w:rsidRDefault="00A67EF0" w:rsidP="00B04C7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0" w:rsidRPr="00394417" w:rsidRDefault="00A67EF0" w:rsidP="00B04C78">
    <w:pPr>
      <w:pStyle w:val="Pieddepage"/>
    </w:pPr>
    <w:r>
      <w:tab/>
    </w:r>
    <w:r>
      <w:fldChar w:fldCharType="begin"/>
    </w:r>
    <w:r>
      <w:instrText xml:space="preserve"> PAGE  \* Arabic  \* MERGEFORMAT </w:instrText>
    </w:r>
    <w:r>
      <w:fldChar w:fldCharType="separate"/>
    </w:r>
    <w:r w:rsidR="00081122">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0" w:rsidRPr="008C6E57" w:rsidRDefault="00787F5C" w:rsidP="008C6E57">
    <w:pPr>
      <w:pStyle w:val="Pieddepage"/>
    </w:pPr>
    <w:r>
      <w:fldChar w:fldCharType="begin"/>
    </w:r>
    <w:r>
      <w:instrText xml:space="preserve"> STYLEREF  Kapitelrubrik  \* MERGEFORMAT </w:instrText>
    </w:r>
    <w:r>
      <w:fldChar w:fldCharType="separate"/>
    </w:r>
    <w:r w:rsidR="0057135D">
      <w:rPr>
        <w:b/>
        <w:bCs/>
        <w:noProof/>
      </w:rPr>
      <w:t>Fel! Ingen text med angivet format i dokumentet.</w:t>
    </w:r>
    <w:r>
      <w:rPr>
        <w:b/>
        <w:bCs/>
        <w:noProof/>
      </w:rPr>
      <w:fldChar w:fldCharType="end"/>
    </w:r>
    <w:r w:rsidR="00A67EF0">
      <w:t xml:space="preserve"> </w:t>
    </w:r>
    <w:r w:rsidR="00A67EF0">
      <w:tab/>
    </w:r>
    <w:r w:rsidR="00A67EF0">
      <w:fldChar w:fldCharType="begin"/>
    </w:r>
    <w:r w:rsidR="00A67EF0">
      <w:instrText xml:space="preserve"> PAGE  \* Arabic  \* MERGEFORMAT </w:instrText>
    </w:r>
    <w:r w:rsidR="00A67EF0">
      <w:fldChar w:fldCharType="separate"/>
    </w:r>
    <w:r w:rsidR="00E214D3">
      <w:rPr>
        <w:noProof/>
      </w:rPr>
      <w:t>20</w:t>
    </w:r>
    <w:r w:rsidR="00A67EF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etableauclaire1"/>
      <w:tblpPr w:leftFromText="142" w:rightFromText="142" w:vertAnchor="page" w:horzAnchor="margin" w:tblpXSpec="center" w:tblpY="1151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2"/>
      <w:gridCol w:w="10085"/>
    </w:tblGrid>
    <w:tr w:rsidR="00A67EF0" w:rsidTr="00F330B8">
      <w:trPr>
        <w:trHeight w:hRule="exact" w:val="2693"/>
      </w:trPr>
      <w:tc>
        <w:tcPr>
          <w:tcW w:w="1822" w:type="dxa"/>
          <w:shd w:val="clear" w:color="auto" w:fill="DC4912" w:themeFill="accent1"/>
        </w:tcPr>
        <w:p w:rsidR="00A67EF0" w:rsidRDefault="00A67EF0" w:rsidP="00B04C78">
          <w:pPr>
            <w:pStyle w:val="Pieddepage"/>
          </w:pPr>
        </w:p>
      </w:tc>
      <w:tc>
        <w:tcPr>
          <w:tcW w:w="10085" w:type="dxa"/>
          <w:shd w:val="clear" w:color="auto" w:fill="DC4912" w:themeFill="accent1"/>
          <w:vAlign w:val="center"/>
        </w:tcPr>
        <w:p w:rsidR="00A67EF0" w:rsidRPr="00053F44" w:rsidRDefault="00A67EF0" w:rsidP="00053F44">
          <w:pPr>
            <w:pStyle w:val="Pieddepage"/>
            <w:jc w:val="left"/>
            <w:rPr>
              <w:color w:val="FFFFFF" w:themeColor="background1"/>
              <w:sz w:val="20"/>
              <w:szCs w:val="20"/>
            </w:rPr>
          </w:pPr>
          <w:r w:rsidRPr="00053F44">
            <w:rPr>
              <w:color w:val="FFFFFF" w:themeColor="background1"/>
              <w:sz w:val="20"/>
              <w:szCs w:val="20"/>
            </w:rPr>
            <w:t>www.pensionsmyndigheten.se</w:t>
          </w:r>
        </w:p>
      </w:tc>
    </w:tr>
    <w:tr w:rsidR="00A67EF0" w:rsidTr="004801DE">
      <w:trPr>
        <w:trHeight w:hRule="exact" w:val="238"/>
      </w:trPr>
      <w:tc>
        <w:tcPr>
          <w:tcW w:w="11906" w:type="dxa"/>
          <w:gridSpan w:val="2"/>
          <w:shd w:val="clear" w:color="auto" w:fill="DC4912" w:themeFill="accent1"/>
        </w:tcPr>
        <w:p w:rsidR="00A67EF0" w:rsidRDefault="00A67EF0" w:rsidP="00B04C78">
          <w:pPr>
            <w:pStyle w:val="Pieddepage"/>
          </w:pPr>
          <w:r>
            <w:rPr>
              <w:noProof/>
              <w:lang w:val="fr-FR" w:eastAsia="zh-CN"/>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149225</wp:posOffset>
                    </wp:positionV>
                    <wp:extent cx="7559675" cy="0"/>
                    <wp:effectExtent l="0" t="133350" r="60325" b="152400"/>
                    <wp:wrapNone/>
                    <wp:docPr id="19" name="Rak koppling 19"/>
                    <wp:cNvGraphicFramePr/>
                    <a:graphic xmlns:a="http://schemas.openxmlformats.org/drawingml/2006/main">
                      <a:graphicData uri="http://schemas.microsoft.com/office/word/2010/wordprocessingShape">
                        <wps:wsp>
                          <wps:cNvCnPr/>
                          <wps:spPr>
                            <a:xfrm>
                              <a:off x="0" y="0"/>
                              <a:ext cx="7559675" cy="0"/>
                            </a:xfrm>
                            <a:prstGeom prst="line">
                              <a:avLst/>
                            </a:prstGeom>
                            <a:ln w="288036">
                              <a:solidFill>
                                <a:schemeClr val="accent2">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278C6" id="Rak koppling 1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75pt" to="59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" strokecolor="#ffb70f [3205]" strokeweight="22.68pt">
                    <v:stroke opacity="32896f" joinstyle="miter"/>
                    <w10:anchorlock/>
                  </v:line>
                </w:pict>
              </mc:Fallback>
            </mc:AlternateContent>
          </w:r>
        </w:p>
      </w:tc>
    </w:tr>
    <w:tr w:rsidR="00A67EF0" w:rsidTr="00F330B8">
      <w:trPr>
        <w:trHeight w:hRule="exact" w:val="238"/>
      </w:trPr>
      <w:tc>
        <w:tcPr>
          <w:tcW w:w="11906" w:type="dxa"/>
          <w:gridSpan w:val="2"/>
          <w:shd w:val="clear" w:color="auto" w:fill="auto"/>
        </w:tcPr>
        <w:p w:rsidR="00A67EF0" w:rsidRDefault="00A67EF0" w:rsidP="00B04C78">
          <w:pPr>
            <w:pStyle w:val="Pieddepage"/>
          </w:pPr>
        </w:p>
      </w:tc>
    </w:tr>
  </w:tbl>
  <w:p w:rsidR="00A67EF0" w:rsidRPr="00CC284E" w:rsidRDefault="00A67EF0" w:rsidP="00B04C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87" w:rsidRDefault="00781D87" w:rsidP="005B272F">
      <w:pPr>
        <w:spacing w:after="0" w:line="240" w:lineRule="auto"/>
      </w:pPr>
      <w:r>
        <w:separator/>
      </w:r>
    </w:p>
    <w:p w:rsidR="00781D87" w:rsidRDefault="00781D87"/>
  </w:footnote>
  <w:footnote w:type="continuationSeparator" w:id="0">
    <w:p w:rsidR="00781D87" w:rsidRDefault="00781D87" w:rsidP="005B272F">
      <w:pPr>
        <w:spacing w:after="0" w:line="240" w:lineRule="auto"/>
      </w:pPr>
      <w:r>
        <w:continuationSeparator/>
      </w:r>
    </w:p>
    <w:p w:rsidR="00781D87" w:rsidRDefault="00781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01"/>
      <w:tblW w:w="8704" w:type="dxa"/>
      <w:tblLayout w:type="fixed"/>
      <w:tblCellMar>
        <w:top w:w="0" w:type="dxa"/>
      </w:tblCellMar>
      <w:tblLook w:val="0600" w:firstRow="0" w:lastRow="0" w:firstColumn="0" w:lastColumn="0" w:noHBand="1" w:noVBand="1"/>
    </w:tblPr>
    <w:tblGrid>
      <w:gridCol w:w="3402"/>
      <w:gridCol w:w="2835"/>
      <w:gridCol w:w="1238"/>
      <w:gridCol w:w="1229"/>
    </w:tblGrid>
    <w:tr w:rsidR="00A67EF0" w:rsidTr="002B4753">
      <w:trPr>
        <w:trHeight w:val="369"/>
      </w:trPr>
      <w:tc>
        <w:tcPr>
          <w:tcW w:w="3402" w:type="dxa"/>
          <w:vAlign w:val="bottom"/>
        </w:tcPr>
        <w:p w:rsidR="00A67EF0" w:rsidRDefault="00A67EF0" w:rsidP="00DD409A">
          <w:pPr>
            <w:pStyle w:val="En-tte"/>
          </w:pPr>
        </w:p>
      </w:tc>
      <w:tc>
        <w:tcPr>
          <w:tcW w:w="2835" w:type="dxa"/>
          <w:vAlign w:val="bottom"/>
        </w:tcPr>
        <w:p w:rsidR="00A67EF0" w:rsidRPr="00C05093" w:rsidRDefault="00A67EF0" w:rsidP="00DD409A">
          <w:pPr>
            <w:pStyle w:val="En-tte"/>
          </w:pPr>
        </w:p>
      </w:tc>
      <w:tc>
        <w:tcPr>
          <w:tcW w:w="1238" w:type="dxa"/>
        </w:tcPr>
        <w:p w:rsidR="00A67EF0" w:rsidRDefault="00A67EF0" w:rsidP="00DD409A">
          <w:pPr>
            <w:pStyle w:val="En-tte"/>
          </w:pPr>
        </w:p>
      </w:tc>
      <w:tc>
        <w:tcPr>
          <w:tcW w:w="1229" w:type="dxa"/>
          <w:vAlign w:val="bottom"/>
        </w:tcPr>
        <w:p w:rsidR="00A67EF0" w:rsidRDefault="00A67EF0" w:rsidP="00DD409A">
          <w:pPr>
            <w:pStyle w:val="En-tte"/>
          </w:pPr>
        </w:p>
      </w:tc>
    </w:tr>
    <w:tr w:rsidR="00A67EF0" w:rsidTr="002B4753">
      <w:trPr>
        <w:trHeight w:val="283"/>
      </w:trPr>
      <w:tc>
        <w:tcPr>
          <w:tcW w:w="3402" w:type="dxa"/>
        </w:tcPr>
        <w:p w:rsidR="00A67EF0" w:rsidRDefault="00A67EF0" w:rsidP="00DD409A">
          <w:pPr>
            <w:pStyle w:val="En-tte"/>
          </w:pPr>
        </w:p>
      </w:tc>
      <w:tc>
        <w:tcPr>
          <w:tcW w:w="2835" w:type="dxa"/>
          <w:vAlign w:val="bottom"/>
        </w:tcPr>
        <w:p w:rsidR="00A67EF0" w:rsidRDefault="00A67EF0" w:rsidP="00DD409A">
          <w:pPr>
            <w:pStyle w:val="Dokumenttyp"/>
          </w:pPr>
          <w:r w:rsidRPr="00C05093">
            <w:t>Beslut</w:t>
          </w:r>
        </w:p>
      </w:tc>
      <w:tc>
        <w:tcPr>
          <w:tcW w:w="1238" w:type="dxa"/>
        </w:tcPr>
        <w:p w:rsidR="00A67EF0" w:rsidRPr="00C05093" w:rsidRDefault="00A67EF0" w:rsidP="00DD409A">
          <w:pPr>
            <w:pStyle w:val="Sidnr"/>
            <w:rPr>
              <w:rStyle w:val="Numrodepage"/>
            </w:rPr>
          </w:pPr>
        </w:p>
      </w:tc>
      <w:tc>
        <w:tcPr>
          <w:tcW w:w="1229" w:type="dxa"/>
          <w:vAlign w:val="bottom"/>
        </w:tcPr>
        <w:p w:rsidR="00A67EF0" w:rsidRPr="00C05093" w:rsidRDefault="00A67EF0" w:rsidP="00DD409A">
          <w:pPr>
            <w:pStyle w:val="Sidnr"/>
            <w:jc w:val="left"/>
            <w:rPr>
              <w:rStyle w:val="Numrodepage"/>
            </w:rPr>
          </w:pPr>
          <w:r w:rsidRPr="00C05093">
            <w:rPr>
              <w:rStyle w:val="Numrodepage"/>
            </w:rPr>
            <w:t xml:space="preserve">Sid </w:t>
          </w:r>
          <w:r w:rsidRPr="00C05093">
            <w:rPr>
              <w:rStyle w:val="Numrodepage"/>
            </w:rPr>
            <w:fldChar w:fldCharType="begin"/>
          </w:r>
          <w:r w:rsidRPr="00C05093">
            <w:rPr>
              <w:rStyle w:val="Numrodepage"/>
            </w:rPr>
            <w:instrText>PAGE   \* MERGEFORMAT</w:instrText>
          </w:r>
          <w:r w:rsidRPr="00C05093">
            <w:rPr>
              <w:rStyle w:val="Numrodepage"/>
            </w:rPr>
            <w:fldChar w:fldCharType="separate"/>
          </w:r>
          <w:r>
            <w:rPr>
              <w:rStyle w:val="Numrodepage"/>
              <w:noProof/>
            </w:rPr>
            <w:t>4</w:t>
          </w:r>
          <w:r w:rsidRPr="00C05093">
            <w:rPr>
              <w:rStyle w:val="Numrodepage"/>
            </w:rPr>
            <w:fldChar w:fldCharType="end"/>
          </w:r>
          <w:r w:rsidRPr="00C05093">
            <w:rPr>
              <w:rStyle w:val="Numrodepage"/>
            </w:rPr>
            <w:t xml:space="preserve"> (</w:t>
          </w:r>
          <w:r w:rsidRPr="00C05093">
            <w:rPr>
              <w:rStyle w:val="Numrodepage"/>
            </w:rPr>
            <w:fldChar w:fldCharType="begin"/>
          </w:r>
          <w:r w:rsidRPr="00C05093">
            <w:rPr>
              <w:rStyle w:val="Numrodepage"/>
            </w:rPr>
            <w:instrText xml:space="preserve"> NUMPAGES  \* Arabic  \* MERGEFORMAT </w:instrText>
          </w:r>
          <w:r w:rsidRPr="00C05093">
            <w:rPr>
              <w:rStyle w:val="Numrodepage"/>
            </w:rPr>
            <w:fldChar w:fldCharType="separate"/>
          </w:r>
          <w:r w:rsidR="0057135D">
            <w:rPr>
              <w:rStyle w:val="Numrodepage"/>
              <w:noProof/>
            </w:rPr>
            <w:t>24</w:t>
          </w:r>
          <w:r w:rsidRPr="00C05093">
            <w:rPr>
              <w:rStyle w:val="Numrodepage"/>
            </w:rPr>
            <w:fldChar w:fldCharType="end"/>
          </w:r>
          <w:r w:rsidRPr="00C05093">
            <w:rPr>
              <w:rStyle w:val="Numrodepage"/>
            </w:rPr>
            <w:t>)</w:t>
          </w:r>
        </w:p>
      </w:tc>
    </w:tr>
    <w:tr w:rsidR="00A67EF0" w:rsidTr="002B4753">
      <w:trPr>
        <w:trHeight w:val="283"/>
      </w:trPr>
      <w:tc>
        <w:tcPr>
          <w:tcW w:w="3402" w:type="dxa"/>
        </w:tcPr>
        <w:p w:rsidR="00A67EF0" w:rsidRDefault="00A67EF0" w:rsidP="00DD409A">
          <w:pPr>
            <w:pStyle w:val="En-tte"/>
          </w:pPr>
        </w:p>
      </w:tc>
      <w:tc>
        <w:tcPr>
          <w:tcW w:w="2835" w:type="dxa"/>
          <w:vAlign w:val="bottom"/>
        </w:tcPr>
        <w:p w:rsidR="00A67EF0" w:rsidRDefault="00A67EF0" w:rsidP="00DD409A">
          <w:pPr>
            <w:pStyle w:val="En-tte"/>
          </w:pPr>
          <w:r>
            <w:fldChar w:fldCharType="begin"/>
          </w:r>
          <w:r>
            <w:instrText xml:space="preserve"> CREATEDATE  \@ "yyyy-MM-dd"  \* MERGEFORMAT </w:instrText>
          </w:r>
          <w:r>
            <w:fldChar w:fldCharType="separate"/>
          </w:r>
          <w:r w:rsidR="0057135D">
            <w:rPr>
              <w:noProof/>
            </w:rPr>
            <w:t>2017-04-28</w:t>
          </w:r>
          <w:r>
            <w:fldChar w:fldCharType="end"/>
          </w:r>
        </w:p>
      </w:tc>
      <w:tc>
        <w:tcPr>
          <w:tcW w:w="1238" w:type="dxa"/>
        </w:tcPr>
        <w:p w:rsidR="00A67EF0" w:rsidRDefault="00A67EF0" w:rsidP="00DD409A">
          <w:pPr>
            <w:pStyle w:val="En-tte"/>
          </w:pPr>
        </w:p>
      </w:tc>
      <w:tc>
        <w:tcPr>
          <w:tcW w:w="1229" w:type="dxa"/>
        </w:tcPr>
        <w:p w:rsidR="00A67EF0" w:rsidRDefault="00A67EF0" w:rsidP="00DD409A">
          <w:pPr>
            <w:pStyle w:val="En-tte"/>
          </w:pPr>
        </w:p>
      </w:tc>
    </w:tr>
    <w:tr w:rsidR="00A67EF0" w:rsidTr="002B4753">
      <w:trPr>
        <w:trHeight w:val="283"/>
      </w:trPr>
      <w:tc>
        <w:tcPr>
          <w:tcW w:w="3402" w:type="dxa"/>
        </w:tcPr>
        <w:p w:rsidR="00A67EF0" w:rsidRDefault="00A67EF0" w:rsidP="00DD409A">
          <w:pPr>
            <w:pStyle w:val="En-tte"/>
          </w:pPr>
        </w:p>
      </w:tc>
      <w:tc>
        <w:tcPr>
          <w:tcW w:w="2835" w:type="dxa"/>
        </w:tcPr>
        <w:p w:rsidR="00A67EF0" w:rsidRDefault="00A67EF0" w:rsidP="00DD409A">
          <w:pPr>
            <w:pStyle w:val="En-tte"/>
          </w:pPr>
        </w:p>
      </w:tc>
      <w:tc>
        <w:tcPr>
          <w:tcW w:w="1238" w:type="dxa"/>
        </w:tcPr>
        <w:p w:rsidR="00A67EF0" w:rsidRDefault="00A67EF0" w:rsidP="00DD409A">
          <w:pPr>
            <w:pStyle w:val="En-tte"/>
          </w:pPr>
        </w:p>
      </w:tc>
      <w:tc>
        <w:tcPr>
          <w:tcW w:w="1229" w:type="dxa"/>
        </w:tcPr>
        <w:p w:rsidR="00A67EF0" w:rsidRDefault="00A67EF0" w:rsidP="00DD409A">
          <w:pPr>
            <w:pStyle w:val="En-tte"/>
          </w:pPr>
        </w:p>
      </w:tc>
    </w:tr>
  </w:tbl>
  <w:p w:rsidR="00A67EF0" w:rsidRDefault="00A67E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01"/>
      <w:tblW w:w="10297" w:type="dxa"/>
      <w:tblLayout w:type="fixed"/>
      <w:tblCellMar>
        <w:top w:w="0" w:type="dxa"/>
      </w:tblCellMar>
      <w:tblLook w:val="0600" w:firstRow="0" w:lastRow="0" w:firstColumn="0" w:lastColumn="0" w:noHBand="1" w:noVBand="1"/>
    </w:tblPr>
    <w:tblGrid>
      <w:gridCol w:w="5102"/>
      <w:gridCol w:w="3551"/>
      <w:gridCol w:w="536"/>
      <w:gridCol w:w="1108"/>
    </w:tblGrid>
    <w:tr w:rsidR="00A67EF0" w:rsidTr="00644AAC">
      <w:trPr>
        <w:trHeight w:val="369"/>
      </w:trPr>
      <w:tc>
        <w:tcPr>
          <w:tcW w:w="5102" w:type="dxa"/>
          <w:vAlign w:val="bottom"/>
        </w:tcPr>
        <w:p w:rsidR="00A67EF0" w:rsidRDefault="00A67EF0" w:rsidP="00C05093">
          <w:pPr>
            <w:pStyle w:val="En-tte"/>
          </w:pPr>
        </w:p>
      </w:tc>
      <w:tc>
        <w:tcPr>
          <w:tcW w:w="3551" w:type="dxa"/>
          <w:vAlign w:val="bottom"/>
        </w:tcPr>
        <w:p w:rsidR="00A67EF0" w:rsidRPr="00C05093" w:rsidRDefault="00A67EF0" w:rsidP="005837C6">
          <w:pPr>
            <w:pStyle w:val="En-tte"/>
          </w:pPr>
        </w:p>
      </w:tc>
      <w:tc>
        <w:tcPr>
          <w:tcW w:w="536" w:type="dxa"/>
        </w:tcPr>
        <w:p w:rsidR="00A67EF0" w:rsidRDefault="00A67EF0" w:rsidP="00C05093">
          <w:pPr>
            <w:pStyle w:val="En-tte"/>
          </w:pPr>
        </w:p>
      </w:tc>
      <w:tc>
        <w:tcPr>
          <w:tcW w:w="1108" w:type="dxa"/>
          <w:vAlign w:val="bottom"/>
        </w:tcPr>
        <w:p w:rsidR="00A67EF0" w:rsidRDefault="00A67EF0" w:rsidP="00642291">
          <w:pPr>
            <w:pStyle w:val="En-tte"/>
          </w:pPr>
        </w:p>
      </w:tc>
    </w:tr>
    <w:tr w:rsidR="00A67EF0" w:rsidTr="00644AAC">
      <w:trPr>
        <w:trHeight w:val="283"/>
      </w:trPr>
      <w:tc>
        <w:tcPr>
          <w:tcW w:w="5102" w:type="dxa"/>
        </w:tcPr>
        <w:p w:rsidR="00A67EF0" w:rsidRDefault="00A67EF0" w:rsidP="00C05093">
          <w:pPr>
            <w:pStyle w:val="En-tte"/>
          </w:pPr>
        </w:p>
      </w:tc>
      <w:tc>
        <w:tcPr>
          <w:tcW w:w="3551" w:type="dxa"/>
          <w:vAlign w:val="bottom"/>
        </w:tcPr>
        <w:p w:rsidR="00A67EF0" w:rsidRDefault="00A67EF0" w:rsidP="005837C6">
          <w:pPr>
            <w:pStyle w:val="Dokumenttyp"/>
          </w:pPr>
          <w:r w:rsidRPr="00C05093">
            <w:t>Beslut</w:t>
          </w:r>
        </w:p>
      </w:tc>
      <w:tc>
        <w:tcPr>
          <w:tcW w:w="536" w:type="dxa"/>
        </w:tcPr>
        <w:p w:rsidR="00A67EF0" w:rsidRPr="00C05093" w:rsidRDefault="00A67EF0" w:rsidP="005837C6">
          <w:pPr>
            <w:pStyle w:val="Sidnr"/>
            <w:rPr>
              <w:rStyle w:val="Numrodepage"/>
            </w:rPr>
          </w:pPr>
        </w:p>
      </w:tc>
      <w:tc>
        <w:tcPr>
          <w:tcW w:w="1108" w:type="dxa"/>
          <w:vAlign w:val="bottom"/>
        </w:tcPr>
        <w:p w:rsidR="00A67EF0" w:rsidRPr="00C05093" w:rsidRDefault="00A67EF0" w:rsidP="00642291">
          <w:pPr>
            <w:pStyle w:val="Sidnr"/>
            <w:jc w:val="left"/>
            <w:rPr>
              <w:rStyle w:val="Numrodepage"/>
            </w:rPr>
          </w:pPr>
          <w:r w:rsidRPr="00C05093">
            <w:rPr>
              <w:rStyle w:val="Numrodepage"/>
            </w:rPr>
            <w:t xml:space="preserve">Sid </w:t>
          </w:r>
          <w:r w:rsidRPr="00C05093">
            <w:rPr>
              <w:rStyle w:val="Numrodepage"/>
            </w:rPr>
            <w:fldChar w:fldCharType="begin"/>
          </w:r>
          <w:r w:rsidRPr="00C05093">
            <w:rPr>
              <w:rStyle w:val="Numrodepage"/>
            </w:rPr>
            <w:instrText>PAGE   \* MERGEFORMAT</w:instrText>
          </w:r>
          <w:r w:rsidRPr="00C05093">
            <w:rPr>
              <w:rStyle w:val="Numrodepage"/>
            </w:rPr>
            <w:fldChar w:fldCharType="separate"/>
          </w:r>
          <w:r>
            <w:rPr>
              <w:rStyle w:val="Numrodepage"/>
              <w:noProof/>
            </w:rPr>
            <w:t>1</w:t>
          </w:r>
          <w:r w:rsidRPr="00C05093">
            <w:rPr>
              <w:rStyle w:val="Numrodepage"/>
            </w:rPr>
            <w:fldChar w:fldCharType="end"/>
          </w:r>
          <w:r w:rsidRPr="00C05093">
            <w:rPr>
              <w:rStyle w:val="Numrodepage"/>
            </w:rPr>
            <w:t xml:space="preserve"> (</w:t>
          </w:r>
          <w:r w:rsidRPr="00C05093">
            <w:rPr>
              <w:rStyle w:val="Numrodepage"/>
            </w:rPr>
            <w:fldChar w:fldCharType="begin"/>
          </w:r>
          <w:r w:rsidRPr="00C05093">
            <w:rPr>
              <w:rStyle w:val="Numrodepage"/>
            </w:rPr>
            <w:instrText xml:space="preserve"> NUMPAGES  \* Arabic  \* MERGEFORMAT </w:instrText>
          </w:r>
          <w:r w:rsidRPr="00C05093">
            <w:rPr>
              <w:rStyle w:val="Numrodepage"/>
            </w:rPr>
            <w:fldChar w:fldCharType="separate"/>
          </w:r>
          <w:r w:rsidR="0057135D">
            <w:rPr>
              <w:rStyle w:val="Numrodepage"/>
              <w:noProof/>
            </w:rPr>
            <w:t>24</w:t>
          </w:r>
          <w:r w:rsidRPr="00C05093">
            <w:rPr>
              <w:rStyle w:val="Numrodepage"/>
            </w:rPr>
            <w:fldChar w:fldCharType="end"/>
          </w:r>
          <w:r w:rsidRPr="00C05093">
            <w:rPr>
              <w:rStyle w:val="Numrodepage"/>
            </w:rPr>
            <w:t>)</w:t>
          </w:r>
        </w:p>
      </w:tc>
    </w:tr>
    <w:tr w:rsidR="00A67EF0" w:rsidTr="00644AAC">
      <w:trPr>
        <w:trHeight w:val="283"/>
      </w:trPr>
      <w:tc>
        <w:tcPr>
          <w:tcW w:w="5102" w:type="dxa"/>
        </w:tcPr>
        <w:p w:rsidR="00A67EF0" w:rsidRDefault="00A67EF0" w:rsidP="00C05093">
          <w:pPr>
            <w:pStyle w:val="En-tte"/>
          </w:pPr>
          <w:r>
            <w:rPr>
              <w:noProof/>
              <w:lang w:val="fr-FR" w:eastAsia="zh-CN"/>
            </w:rPr>
            <w:drawing>
              <wp:anchor distT="0" distB="0" distL="114300" distR="114300" simplePos="0" relativeHeight="251668480" behindDoc="1" locked="1" layoutInCell="1" allowOverlap="1" wp14:anchorId="1D8BB3A4" wp14:editId="13775746">
                <wp:simplePos x="0" y="0"/>
                <wp:positionH relativeFrom="page">
                  <wp:posOffset>-110490</wp:posOffset>
                </wp:positionH>
                <wp:positionV relativeFrom="page">
                  <wp:posOffset>-421005</wp:posOffset>
                </wp:positionV>
                <wp:extent cx="1584000" cy="741600"/>
                <wp:effectExtent l="0" t="0" r="0" b="1905"/>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sionsmyndigheten_600 dpi_svart-42svart_t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3551" w:type="dxa"/>
          <w:vAlign w:val="bottom"/>
        </w:tcPr>
        <w:p w:rsidR="00A67EF0" w:rsidRDefault="00A67EF0" w:rsidP="005837C6">
          <w:pPr>
            <w:pStyle w:val="En-tte"/>
          </w:pPr>
          <w:r>
            <w:fldChar w:fldCharType="begin"/>
          </w:r>
          <w:r>
            <w:instrText xml:space="preserve"> CREATEDATE  \@ "yyyy-MM-dd"  \* MERGEFORMAT </w:instrText>
          </w:r>
          <w:r>
            <w:fldChar w:fldCharType="separate"/>
          </w:r>
          <w:r w:rsidR="0057135D">
            <w:rPr>
              <w:noProof/>
            </w:rPr>
            <w:t>2017-04-28</w:t>
          </w:r>
          <w:r>
            <w:fldChar w:fldCharType="end"/>
          </w:r>
        </w:p>
      </w:tc>
      <w:tc>
        <w:tcPr>
          <w:tcW w:w="536" w:type="dxa"/>
        </w:tcPr>
        <w:p w:rsidR="00A67EF0" w:rsidRDefault="00A67EF0" w:rsidP="00C05093">
          <w:pPr>
            <w:pStyle w:val="En-tte"/>
          </w:pPr>
        </w:p>
      </w:tc>
      <w:tc>
        <w:tcPr>
          <w:tcW w:w="1108" w:type="dxa"/>
        </w:tcPr>
        <w:p w:rsidR="00A67EF0" w:rsidRDefault="00A67EF0" w:rsidP="00642291">
          <w:pPr>
            <w:pStyle w:val="En-tte"/>
          </w:pPr>
        </w:p>
      </w:tc>
    </w:tr>
    <w:tr w:rsidR="00A67EF0" w:rsidRPr="0036537B" w:rsidTr="00644AAC">
      <w:trPr>
        <w:trHeight w:val="216"/>
      </w:trPr>
      <w:tc>
        <w:tcPr>
          <w:tcW w:w="5102" w:type="dxa"/>
        </w:tcPr>
        <w:p w:rsidR="00A67EF0" w:rsidRPr="0036537B" w:rsidRDefault="00A67EF0" w:rsidP="0036537B">
          <w:pPr>
            <w:pStyle w:val="En-tte"/>
          </w:pPr>
        </w:p>
      </w:tc>
      <w:tc>
        <w:tcPr>
          <w:tcW w:w="3551" w:type="dxa"/>
        </w:tcPr>
        <w:p w:rsidR="00A67EF0" w:rsidRPr="0036537B" w:rsidRDefault="00A67EF0" w:rsidP="0036537B">
          <w:pPr>
            <w:pStyle w:val="En-tte"/>
          </w:pPr>
        </w:p>
      </w:tc>
      <w:tc>
        <w:tcPr>
          <w:tcW w:w="536" w:type="dxa"/>
        </w:tcPr>
        <w:p w:rsidR="00A67EF0" w:rsidRPr="0036537B" w:rsidRDefault="00A67EF0" w:rsidP="0036537B">
          <w:pPr>
            <w:pStyle w:val="En-tte"/>
          </w:pPr>
        </w:p>
      </w:tc>
      <w:tc>
        <w:tcPr>
          <w:tcW w:w="1108" w:type="dxa"/>
        </w:tcPr>
        <w:p w:rsidR="00A67EF0" w:rsidRPr="0036537B" w:rsidRDefault="00A67EF0" w:rsidP="0036537B">
          <w:pPr>
            <w:pStyle w:val="En-tte"/>
          </w:pPr>
        </w:p>
      </w:tc>
    </w:tr>
  </w:tbl>
  <w:p w:rsidR="00A67EF0" w:rsidRPr="00C05093" w:rsidRDefault="00A67EF0" w:rsidP="00C050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0" w:rsidRDefault="00A67EF0" w:rsidP="00B04C78">
    <w:pPr>
      <w:pStyle w:val="Pied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447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DE3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45B88"/>
    <w:lvl w:ilvl="0">
      <w:start w:val="1"/>
      <w:numFmt w:val="lowerRoman"/>
      <w:lvlText w:val="%1."/>
      <w:lvlJc w:val="right"/>
      <w:pPr>
        <w:ind w:left="926" w:hanging="360"/>
      </w:pPr>
    </w:lvl>
  </w:abstractNum>
  <w:abstractNum w:abstractNumId="3" w15:restartNumberingAfterBreak="0">
    <w:nsid w:val="FFFFFF7F"/>
    <w:multiLevelType w:val="singleLevel"/>
    <w:tmpl w:val="65BEABBC"/>
    <w:lvl w:ilvl="0">
      <w:start w:val="1"/>
      <w:numFmt w:val="lowerLetter"/>
      <w:lvlText w:val="%1."/>
      <w:lvlJc w:val="left"/>
      <w:pPr>
        <w:ind w:left="643" w:hanging="360"/>
      </w:pPr>
    </w:lvl>
  </w:abstractNum>
  <w:abstractNum w:abstractNumId="4" w15:restartNumberingAfterBreak="0">
    <w:nsid w:val="FFFFFF80"/>
    <w:multiLevelType w:val="singleLevel"/>
    <w:tmpl w:val="664CF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A48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72DCA0"/>
    <w:lvl w:ilvl="0">
      <w:start w:val="1"/>
      <w:numFmt w:val="bullet"/>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00924088"/>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4926C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4A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3764D"/>
    <w:multiLevelType w:val="multilevel"/>
    <w:tmpl w:val="4F4213C0"/>
    <w:lvl w:ilvl="0">
      <w:start w:val="1"/>
      <w:numFmt w:val="decimal"/>
      <w:pStyle w:val="Listenumros"/>
      <w:lvlText w:val="%1."/>
      <w:lvlJc w:val="left"/>
      <w:pPr>
        <w:ind w:left="284" w:hanging="284"/>
      </w:pPr>
      <w:rPr>
        <w:rFonts w:hint="default"/>
      </w:rPr>
    </w:lvl>
    <w:lvl w:ilvl="1">
      <w:start w:val="1"/>
      <w:numFmt w:val="lowerLetter"/>
      <w:pStyle w:val="Listenumros2"/>
      <w:lvlText w:val="%2."/>
      <w:lvlJc w:val="left"/>
      <w:pPr>
        <w:ind w:left="568" w:hanging="284"/>
      </w:pPr>
      <w:rPr>
        <w:rFonts w:hint="default"/>
      </w:rPr>
    </w:lvl>
    <w:lvl w:ilvl="2">
      <w:start w:val="1"/>
      <w:numFmt w:val="lowerRoman"/>
      <w:pStyle w:val="Listenumros3"/>
      <w:lvlText w:val="%3."/>
      <w:lvlJc w:val="left"/>
      <w:pPr>
        <w:ind w:left="852" w:hanging="284"/>
      </w:pPr>
      <w:rPr>
        <w:rFonts w:hint="default"/>
      </w:rPr>
    </w:lvl>
    <w:lvl w:ilvl="3">
      <w:start w:val="1"/>
      <w:numFmt w:val="decimal"/>
      <w:pStyle w:val="Listenumros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pStyle w:val="Listenumros5"/>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3D6F0F30"/>
    <w:multiLevelType w:val="multilevel"/>
    <w:tmpl w:val="765C10B6"/>
    <w:lvl w:ilvl="0">
      <w:start w:val="1"/>
      <w:numFmt w:val="decimal"/>
      <w:pStyle w:val="Rubrik1"/>
      <w:lvlText w:val="%1."/>
      <w:lvlJc w:val="left"/>
      <w:pPr>
        <w:ind w:left="765" w:hanging="765"/>
      </w:pPr>
      <w:rPr>
        <w:rFonts w:hint="default"/>
      </w:rPr>
    </w:lvl>
    <w:lvl w:ilvl="1">
      <w:start w:val="1"/>
      <w:numFmt w:val="decimal"/>
      <w:pStyle w:val="Rubrik2"/>
      <w:lvlText w:val="%1.%2."/>
      <w:lvlJc w:val="left"/>
      <w:pPr>
        <w:ind w:left="765" w:hanging="765"/>
      </w:pPr>
      <w:rPr>
        <w:rFonts w:hint="default"/>
      </w:rPr>
    </w:lvl>
    <w:lvl w:ilvl="2">
      <w:start w:val="1"/>
      <w:numFmt w:val="decimal"/>
      <w:pStyle w:val="Rubrik3"/>
      <w:lvlText w:val="%1.%2.%3."/>
      <w:lvlJc w:val="left"/>
      <w:pPr>
        <w:ind w:left="765" w:hanging="765"/>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15:restartNumberingAfterBreak="0">
    <w:nsid w:val="465F6085"/>
    <w:multiLevelType w:val="hybridMultilevel"/>
    <w:tmpl w:val="E42E6812"/>
    <w:lvl w:ilvl="0" w:tplc="E36C3642">
      <w:start w:val="1"/>
      <w:numFmt w:val="bullet"/>
      <w:pStyle w:val="Fotnotstext12p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C66D15"/>
    <w:multiLevelType w:val="hybridMultilevel"/>
    <w:tmpl w:val="E59056CE"/>
    <w:lvl w:ilvl="0" w:tplc="54E0661E">
      <w:start w:val="1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5636ED"/>
    <w:multiLevelType w:val="multilevel"/>
    <w:tmpl w:val="0D026664"/>
    <w:lvl w:ilvl="0">
      <w:start w:val="1"/>
      <w:numFmt w:val="bullet"/>
      <w:pStyle w:val="Listepuces"/>
      <w:lvlText w:val="•"/>
      <w:lvlJc w:val="left"/>
      <w:pPr>
        <w:ind w:left="284" w:hanging="284"/>
      </w:pPr>
      <w:rPr>
        <w:rFonts w:ascii="Arial" w:hAnsi="Arial" w:hint="default"/>
        <w:color w:val="auto"/>
      </w:rPr>
    </w:lvl>
    <w:lvl w:ilvl="1">
      <w:start w:val="1"/>
      <w:numFmt w:val="bullet"/>
      <w:pStyle w:val="Listepuces2"/>
      <w:lvlText w:val="–"/>
      <w:lvlJc w:val="left"/>
      <w:pPr>
        <w:ind w:left="568" w:hanging="284"/>
      </w:pPr>
      <w:rPr>
        <w:rFonts w:ascii="Arial" w:hAnsi="Arial" w:hint="default"/>
      </w:rPr>
    </w:lvl>
    <w:lvl w:ilvl="2">
      <w:start w:val="1"/>
      <w:numFmt w:val="bullet"/>
      <w:pStyle w:val="Listepuces3"/>
      <w:lvlText w:val="○"/>
      <w:lvlJc w:val="left"/>
      <w:pPr>
        <w:ind w:left="852" w:hanging="284"/>
      </w:pPr>
      <w:rPr>
        <w:rFonts w:ascii="Arial" w:hAnsi="Arial" w:hint="default"/>
      </w:rPr>
    </w:lvl>
    <w:lvl w:ilvl="3">
      <w:start w:val="1"/>
      <w:numFmt w:val="bullet"/>
      <w:pStyle w:val="Listepuces4"/>
      <w:lvlText w:val=""/>
      <w:lvlJc w:val="left"/>
      <w:pPr>
        <w:ind w:left="1136" w:hanging="284"/>
      </w:pPr>
      <w:rPr>
        <w:rFonts w:ascii="Symbol" w:hAnsi="Symbol" w:hint="default"/>
      </w:rPr>
    </w:lvl>
    <w:lvl w:ilvl="4">
      <w:start w:val="1"/>
      <w:numFmt w:val="bullet"/>
      <w:pStyle w:val="Listepuces5"/>
      <w:lvlText w:val=""/>
      <w:lvlJc w:val="left"/>
      <w:pPr>
        <w:ind w:left="1420" w:hanging="284"/>
      </w:pPr>
      <w:rPr>
        <w:rFonts w:ascii="Symbol" w:hAnsi="Symbol"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5" w15:restartNumberingAfterBreak="0">
    <w:nsid w:val="5DB657D9"/>
    <w:multiLevelType w:val="multilevel"/>
    <w:tmpl w:val="0D026664"/>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00D2A12"/>
    <w:multiLevelType w:val="multilevel"/>
    <w:tmpl w:val="8BEC5C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lvlOverride w:ilvl="0">
      <w:startOverride w:val="1"/>
    </w:lvlOverride>
  </w:num>
  <w:num w:numId="14">
    <w:abstractNumId w:val="14"/>
  </w:num>
  <w:num w:numId="15">
    <w:abstractNumId w:val="8"/>
  </w:num>
  <w:num w:numId="16">
    <w:abstractNumId w:val="14"/>
  </w:num>
  <w:num w:numId="17">
    <w:abstractNumId w:val="10"/>
  </w:num>
  <w:num w:numId="18">
    <w:abstractNumId w:val="14"/>
  </w:num>
  <w:num w:numId="19">
    <w:abstractNumId w:val="14"/>
  </w:num>
  <w:num w:numId="20">
    <w:abstractNumId w:val="10"/>
  </w:num>
  <w:num w:numId="21">
    <w:abstractNumId w:val="10"/>
  </w:num>
  <w:num w:numId="22">
    <w:abstractNumId w:val="10"/>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5"/>
  </w:num>
  <w:num w:numId="30">
    <w:abstractNumId w:val="13"/>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7F"/>
    <w:rsid w:val="000003B1"/>
    <w:rsid w:val="00001470"/>
    <w:rsid w:val="000014FD"/>
    <w:rsid w:val="00012562"/>
    <w:rsid w:val="000137B1"/>
    <w:rsid w:val="00013C0E"/>
    <w:rsid w:val="00013D26"/>
    <w:rsid w:val="00013F2C"/>
    <w:rsid w:val="000228DB"/>
    <w:rsid w:val="0002364E"/>
    <w:rsid w:val="00023797"/>
    <w:rsid w:val="00026682"/>
    <w:rsid w:val="00027512"/>
    <w:rsid w:val="00034E03"/>
    <w:rsid w:val="00037B32"/>
    <w:rsid w:val="00037B3C"/>
    <w:rsid w:val="00037E19"/>
    <w:rsid w:val="00040BF7"/>
    <w:rsid w:val="00042417"/>
    <w:rsid w:val="00045764"/>
    <w:rsid w:val="00046C03"/>
    <w:rsid w:val="000477CA"/>
    <w:rsid w:val="00050272"/>
    <w:rsid w:val="00052CF1"/>
    <w:rsid w:val="000530BD"/>
    <w:rsid w:val="00053BE4"/>
    <w:rsid w:val="00053C6A"/>
    <w:rsid w:val="00053F44"/>
    <w:rsid w:val="00054010"/>
    <w:rsid w:val="00055486"/>
    <w:rsid w:val="00056FEE"/>
    <w:rsid w:val="00066138"/>
    <w:rsid w:val="00070151"/>
    <w:rsid w:val="00074785"/>
    <w:rsid w:val="000760DA"/>
    <w:rsid w:val="00081122"/>
    <w:rsid w:val="00082BDC"/>
    <w:rsid w:val="00083AF5"/>
    <w:rsid w:val="00085CAF"/>
    <w:rsid w:val="000911DE"/>
    <w:rsid w:val="00092316"/>
    <w:rsid w:val="000949C6"/>
    <w:rsid w:val="00094E11"/>
    <w:rsid w:val="00095A14"/>
    <w:rsid w:val="000A4376"/>
    <w:rsid w:val="000A56D1"/>
    <w:rsid w:val="000B27B0"/>
    <w:rsid w:val="000B3C45"/>
    <w:rsid w:val="000C3393"/>
    <w:rsid w:val="000C382C"/>
    <w:rsid w:val="000D06DA"/>
    <w:rsid w:val="000D44FD"/>
    <w:rsid w:val="000D69EF"/>
    <w:rsid w:val="000E05E8"/>
    <w:rsid w:val="000E2F13"/>
    <w:rsid w:val="000E447C"/>
    <w:rsid w:val="000E5124"/>
    <w:rsid w:val="000E5D5E"/>
    <w:rsid w:val="000F66E8"/>
    <w:rsid w:val="000F702D"/>
    <w:rsid w:val="000F78F8"/>
    <w:rsid w:val="00100902"/>
    <w:rsid w:val="00101F92"/>
    <w:rsid w:val="00102BFA"/>
    <w:rsid w:val="00103045"/>
    <w:rsid w:val="00105EFD"/>
    <w:rsid w:val="001068AC"/>
    <w:rsid w:val="001111A1"/>
    <w:rsid w:val="00113723"/>
    <w:rsid w:val="001153D3"/>
    <w:rsid w:val="00117760"/>
    <w:rsid w:val="00121254"/>
    <w:rsid w:val="001333F8"/>
    <w:rsid w:val="00134496"/>
    <w:rsid w:val="001359CE"/>
    <w:rsid w:val="00135B78"/>
    <w:rsid w:val="00140F54"/>
    <w:rsid w:val="0014138F"/>
    <w:rsid w:val="00142133"/>
    <w:rsid w:val="0014236D"/>
    <w:rsid w:val="00142EEF"/>
    <w:rsid w:val="00145FA5"/>
    <w:rsid w:val="00146928"/>
    <w:rsid w:val="0015180D"/>
    <w:rsid w:val="00151FB2"/>
    <w:rsid w:val="00152903"/>
    <w:rsid w:val="00153345"/>
    <w:rsid w:val="0015507C"/>
    <w:rsid w:val="0015608F"/>
    <w:rsid w:val="00160ECD"/>
    <w:rsid w:val="00162479"/>
    <w:rsid w:val="0016267A"/>
    <w:rsid w:val="00163F01"/>
    <w:rsid w:val="001640B1"/>
    <w:rsid w:val="0016645C"/>
    <w:rsid w:val="0017273B"/>
    <w:rsid w:val="001748E1"/>
    <w:rsid w:val="001754FC"/>
    <w:rsid w:val="00175587"/>
    <w:rsid w:val="00175C59"/>
    <w:rsid w:val="0017650A"/>
    <w:rsid w:val="001844FA"/>
    <w:rsid w:val="0018743C"/>
    <w:rsid w:val="00192FA7"/>
    <w:rsid w:val="00194A88"/>
    <w:rsid w:val="001A0A23"/>
    <w:rsid w:val="001A6624"/>
    <w:rsid w:val="001B0006"/>
    <w:rsid w:val="001B250E"/>
    <w:rsid w:val="001B3BC8"/>
    <w:rsid w:val="001B788F"/>
    <w:rsid w:val="001B7F95"/>
    <w:rsid w:val="001C269A"/>
    <w:rsid w:val="001C3EC4"/>
    <w:rsid w:val="001C4121"/>
    <w:rsid w:val="001D42B1"/>
    <w:rsid w:val="001D6048"/>
    <w:rsid w:val="001E080A"/>
    <w:rsid w:val="001E46EF"/>
    <w:rsid w:val="001E53D6"/>
    <w:rsid w:val="001E5E8B"/>
    <w:rsid w:val="001E6418"/>
    <w:rsid w:val="001F1B13"/>
    <w:rsid w:val="001F3803"/>
    <w:rsid w:val="001F6D87"/>
    <w:rsid w:val="0020058F"/>
    <w:rsid w:val="00206AC7"/>
    <w:rsid w:val="00206C3F"/>
    <w:rsid w:val="00207B89"/>
    <w:rsid w:val="00211B74"/>
    <w:rsid w:val="002160A1"/>
    <w:rsid w:val="0021610A"/>
    <w:rsid w:val="002217C8"/>
    <w:rsid w:val="0022333C"/>
    <w:rsid w:val="002265AC"/>
    <w:rsid w:val="00226C55"/>
    <w:rsid w:val="00237B06"/>
    <w:rsid w:val="00240015"/>
    <w:rsid w:val="0024297C"/>
    <w:rsid w:val="00245AF3"/>
    <w:rsid w:val="00252110"/>
    <w:rsid w:val="00255775"/>
    <w:rsid w:val="00255CD7"/>
    <w:rsid w:val="00260FEF"/>
    <w:rsid w:val="002655C4"/>
    <w:rsid w:val="0026670D"/>
    <w:rsid w:val="00271A6C"/>
    <w:rsid w:val="002748E2"/>
    <w:rsid w:val="00276031"/>
    <w:rsid w:val="00276127"/>
    <w:rsid w:val="00276F9C"/>
    <w:rsid w:val="002806AA"/>
    <w:rsid w:val="00282E05"/>
    <w:rsid w:val="002841FF"/>
    <w:rsid w:val="0028648D"/>
    <w:rsid w:val="00296D4B"/>
    <w:rsid w:val="00297C07"/>
    <w:rsid w:val="002A23CE"/>
    <w:rsid w:val="002A4601"/>
    <w:rsid w:val="002A539C"/>
    <w:rsid w:val="002A6608"/>
    <w:rsid w:val="002A7A08"/>
    <w:rsid w:val="002B0214"/>
    <w:rsid w:val="002B0A37"/>
    <w:rsid w:val="002B2353"/>
    <w:rsid w:val="002B4753"/>
    <w:rsid w:val="002B4BB6"/>
    <w:rsid w:val="002B7DC9"/>
    <w:rsid w:val="002B7E78"/>
    <w:rsid w:val="002C17D1"/>
    <w:rsid w:val="002C32FE"/>
    <w:rsid w:val="002C37D0"/>
    <w:rsid w:val="002C4063"/>
    <w:rsid w:val="002C49D5"/>
    <w:rsid w:val="002D6750"/>
    <w:rsid w:val="002E49E7"/>
    <w:rsid w:val="002E6D33"/>
    <w:rsid w:val="002F0711"/>
    <w:rsid w:val="002F3F26"/>
    <w:rsid w:val="002F572F"/>
    <w:rsid w:val="002F57E9"/>
    <w:rsid w:val="002F64DB"/>
    <w:rsid w:val="00300004"/>
    <w:rsid w:val="00302652"/>
    <w:rsid w:val="0030313B"/>
    <w:rsid w:val="00303B21"/>
    <w:rsid w:val="0030485F"/>
    <w:rsid w:val="0030713B"/>
    <w:rsid w:val="00310A04"/>
    <w:rsid w:val="00310C7A"/>
    <w:rsid w:val="00313BB0"/>
    <w:rsid w:val="00324340"/>
    <w:rsid w:val="00325B7D"/>
    <w:rsid w:val="003275A4"/>
    <w:rsid w:val="00331CDB"/>
    <w:rsid w:val="003320DF"/>
    <w:rsid w:val="00333FD1"/>
    <w:rsid w:val="00341CDC"/>
    <w:rsid w:val="003431A9"/>
    <w:rsid w:val="00343649"/>
    <w:rsid w:val="00344A69"/>
    <w:rsid w:val="0034704A"/>
    <w:rsid w:val="0035092B"/>
    <w:rsid w:val="003510AC"/>
    <w:rsid w:val="00351D65"/>
    <w:rsid w:val="00352139"/>
    <w:rsid w:val="00352864"/>
    <w:rsid w:val="00353B3A"/>
    <w:rsid w:val="00360B37"/>
    <w:rsid w:val="0036537B"/>
    <w:rsid w:val="00367252"/>
    <w:rsid w:val="003705C4"/>
    <w:rsid w:val="003717F3"/>
    <w:rsid w:val="00375265"/>
    <w:rsid w:val="00382357"/>
    <w:rsid w:val="00382793"/>
    <w:rsid w:val="00385DDB"/>
    <w:rsid w:val="00387914"/>
    <w:rsid w:val="00387CB5"/>
    <w:rsid w:val="0039069F"/>
    <w:rsid w:val="0039344E"/>
    <w:rsid w:val="00394417"/>
    <w:rsid w:val="00395300"/>
    <w:rsid w:val="00397CE6"/>
    <w:rsid w:val="003A1C03"/>
    <w:rsid w:val="003A27AE"/>
    <w:rsid w:val="003A3A21"/>
    <w:rsid w:val="003A4636"/>
    <w:rsid w:val="003B2BAE"/>
    <w:rsid w:val="003B511B"/>
    <w:rsid w:val="003B5AE6"/>
    <w:rsid w:val="003D175D"/>
    <w:rsid w:val="003D2194"/>
    <w:rsid w:val="003D7946"/>
    <w:rsid w:val="003E1502"/>
    <w:rsid w:val="003E16DD"/>
    <w:rsid w:val="003E3CC9"/>
    <w:rsid w:val="003E5FAD"/>
    <w:rsid w:val="003F3CA2"/>
    <w:rsid w:val="003F64C2"/>
    <w:rsid w:val="003F6972"/>
    <w:rsid w:val="00404450"/>
    <w:rsid w:val="00404E98"/>
    <w:rsid w:val="00410DD2"/>
    <w:rsid w:val="004210D5"/>
    <w:rsid w:val="00426E18"/>
    <w:rsid w:val="0043141A"/>
    <w:rsid w:val="00431454"/>
    <w:rsid w:val="004346C8"/>
    <w:rsid w:val="004369D2"/>
    <w:rsid w:val="004431FC"/>
    <w:rsid w:val="00443995"/>
    <w:rsid w:val="00446F96"/>
    <w:rsid w:val="00450769"/>
    <w:rsid w:val="00453A8E"/>
    <w:rsid w:val="00455649"/>
    <w:rsid w:val="00456F77"/>
    <w:rsid w:val="0046358F"/>
    <w:rsid w:val="00463B30"/>
    <w:rsid w:val="00464BA0"/>
    <w:rsid w:val="00465D08"/>
    <w:rsid w:val="004673CF"/>
    <w:rsid w:val="0046754E"/>
    <w:rsid w:val="00470B6D"/>
    <w:rsid w:val="004744DF"/>
    <w:rsid w:val="004801DE"/>
    <w:rsid w:val="00480C65"/>
    <w:rsid w:val="0048105D"/>
    <w:rsid w:val="00484AAC"/>
    <w:rsid w:val="00486079"/>
    <w:rsid w:val="00486A53"/>
    <w:rsid w:val="004936A6"/>
    <w:rsid w:val="00493710"/>
    <w:rsid w:val="00495938"/>
    <w:rsid w:val="004A08FD"/>
    <w:rsid w:val="004A0C9E"/>
    <w:rsid w:val="004A2296"/>
    <w:rsid w:val="004A2DB7"/>
    <w:rsid w:val="004B15E7"/>
    <w:rsid w:val="004B3EF2"/>
    <w:rsid w:val="004B40E4"/>
    <w:rsid w:val="004C2D27"/>
    <w:rsid w:val="004C65DD"/>
    <w:rsid w:val="004C73C2"/>
    <w:rsid w:val="004D3B90"/>
    <w:rsid w:val="004D4809"/>
    <w:rsid w:val="004D67D8"/>
    <w:rsid w:val="004D7C68"/>
    <w:rsid w:val="004E23C4"/>
    <w:rsid w:val="004E37C7"/>
    <w:rsid w:val="004E37CD"/>
    <w:rsid w:val="004E3F4E"/>
    <w:rsid w:val="004E503B"/>
    <w:rsid w:val="004F09F5"/>
    <w:rsid w:val="004F195F"/>
    <w:rsid w:val="004F3E53"/>
    <w:rsid w:val="005001F8"/>
    <w:rsid w:val="00504825"/>
    <w:rsid w:val="00507461"/>
    <w:rsid w:val="00510E60"/>
    <w:rsid w:val="005117FC"/>
    <w:rsid w:val="005129D0"/>
    <w:rsid w:val="00517304"/>
    <w:rsid w:val="005178FA"/>
    <w:rsid w:val="005205E6"/>
    <w:rsid w:val="00520B14"/>
    <w:rsid w:val="00520C5E"/>
    <w:rsid w:val="00521E06"/>
    <w:rsid w:val="005278C7"/>
    <w:rsid w:val="005356E0"/>
    <w:rsid w:val="00535EBF"/>
    <w:rsid w:val="0054027C"/>
    <w:rsid w:val="00540759"/>
    <w:rsid w:val="00545D73"/>
    <w:rsid w:val="00546F71"/>
    <w:rsid w:val="00551A78"/>
    <w:rsid w:val="0056015A"/>
    <w:rsid w:val="005627D9"/>
    <w:rsid w:val="00563AD2"/>
    <w:rsid w:val="0056673C"/>
    <w:rsid w:val="00566832"/>
    <w:rsid w:val="0057135D"/>
    <w:rsid w:val="00572A22"/>
    <w:rsid w:val="0057403E"/>
    <w:rsid w:val="0057497A"/>
    <w:rsid w:val="0058143E"/>
    <w:rsid w:val="00581804"/>
    <w:rsid w:val="005822FC"/>
    <w:rsid w:val="005837C6"/>
    <w:rsid w:val="0058446D"/>
    <w:rsid w:val="00585DB4"/>
    <w:rsid w:val="00586E47"/>
    <w:rsid w:val="00587618"/>
    <w:rsid w:val="00587AE5"/>
    <w:rsid w:val="00590A5D"/>
    <w:rsid w:val="0059648C"/>
    <w:rsid w:val="005969E2"/>
    <w:rsid w:val="00597127"/>
    <w:rsid w:val="005A3145"/>
    <w:rsid w:val="005A4AC2"/>
    <w:rsid w:val="005B272F"/>
    <w:rsid w:val="005B4601"/>
    <w:rsid w:val="005B4874"/>
    <w:rsid w:val="005C0C74"/>
    <w:rsid w:val="005C7420"/>
    <w:rsid w:val="005C75D6"/>
    <w:rsid w:val="005C7DE0"/>
    <w:rsid w:val="005D43E7"/>
    <w:rsid w:val="005E1C20"/>
    <w:rsid w:val="005E54C2"/>
    <w:rsid w:val="005F1BEB"/>
    <w:rsid w:val="006000CC"/>
    <w:rsid w:val="00620609"/>
    <w:rsid w:val="00624D51"/>
    <w:rsid w:val="006271DD"/>
    <w:rsid w:val="00630C00"/>
    <w:rsid w:val="006310EA"/>
    <w:rsid w:val="0063510A"/>
    <w:rsid w:val="00635D6E"/>
    <w:rsid w:val="00637C54"/>
    <w:rsid w:val="006404EF"/>
    <w:rsid w:val="00640A5F"/>
    <w:rsid w:val="00640C45"/>
    <w:rsid w:val="006415EF"/>
    <w:rsid w:val="00641ED1"/>
    <w:rsid w:val="00642291"/>
    <w:rsid w:val="00643FF9"/>
    <w:rsid w:val="00644AAC"/>
    <w:rsid w:val="00646E83"/>
    <w:rsid w:val="006553FD"/>
    <w:rsid w:val="00656D2E"/>
    <w:rsid w:val="0066283B"/>
    <w:rsid w:val="0067112C"/>
    <w:rsid w:val="00673ECD"/>
    <w:rsid w:val="00677B5B"/>
    <w:rsid w:val="00680993"/>
    <w:rsid w:val="0068122B"/>
    <w:rsid w:val="00685AA1"/>
    <w:rsid w:val="00686F73"/>
    <w:rsid w:val="0068718A"/>
    <w:rsid w:val="00692E36"/>
    <w:rsid w:val="00693392"/>
    <w:rsid w:val="0069495E"/>
    <w:rsid w:val="00696B43"/>
    <w:rsid w:val="006A032D"/>
    <w:rsid w:val="006A43EE"/>
    <w:rsid w:val="006B1A3B"/>
    <w:rsid w:val="006B661E"/>
    <w:rsid w:val="006C0906"/>
    <w:rsid w:val="006C1D87"/>
    <w:rsid w:val="006C1E71"/>
    <w:rsid w:val="006C1F1B"/>
    <w:rsid w:val="006C2C16"/>
    <w:rsid w:val="006C7B1F"/>
    <w:rsid w:val="006D2EB7"/>
    <w:rsid w:val="006D4BC7"/>
    <w:rsid w:val="006E01A8"/>
    <w:rsid w:val="006E085E"/>
    <w:rsid w:val="006E33EE"/>
    <w:rsid w:val="006E7A3B"/>
    <w:rsid w:val="006F108C"/>
    <w:rsid w:val="006F2C41"/>
    <w:rsid w:val="006F3A4E"/>
    <w:rsid w:val="006F5A4C"/>
    <w:rsid w:val="0070033C"/>
    <w:rsid w:val="0070302B"/>
    <w:rsid w:val="007056C2"/>
    <w:rsid w:val="007076F8"/>
    <w:rsid w:val="007125C9"/>
    <w:rsid w:val="00712C42"/>
    <w:rsid w:val="0071377F"/>
    <w:rsid w:val="00716560"/>
    <w:rsid w:val="00720B5A"/>
    <w:rsid w:val="007229D8"/>
    <w:rsid w:val="00725999"/>
    <w:rsid w:val="007273DE"/>
    <w:rsid w:val="00727727"/>
    <w:rsid w:val="00730585"/>
    <w:rsid w:val="0073287B"/>
    <w:rsid w:val="0073398D"/>
    <w:rsid w:val="00736908"/>
    <w:rsid w:val="00741ABA"/>
    <w:rsid w:val="0075198D"/>
    <w:rsid w:val="00754E4A"/>
    <w:rsid w:val="0075556A"/>
    <w:rsid w:val="00761838"/>
    <w:rsid w:val="00762D69"/>
    <w:rsid w:val="00764C2F"/>
    <w:rsid w:val="0076500F"/>
    <w:rsid w:val="00766BA2"/>
    <w:rsid w:val="0077665E"/>
    <w:rsid w:val="0077771C"/>
    <w:rsid w:val="00780AB9"/>
    <w:rsid w:val="00781D87"/>
    <w:rsid w:val="0078506E"/>
    <w:rsid w:val="00786393"/>
    <w:rsid w:val="00787AE9"/>
    <w:rsid w:val="00787F5C"/>
    <w:rsid w:val="00795904"/>
    <w:rsid w:val="007A73DC"/>
    <w:rsid w:val="007B1DFC"/>
    <w:rsid w:val="007B4E44"/>
    <w:rsid w:val="007B5921"/>
    <w:rsid w:val="007B695D"/>
    <w:rsid w:val="007C161B"/>
    <w:rsid w:val="007C35B9"/>
    <w:rsid w:val="007C4B27"/>
    <w:rsid w:val="007C4F53"/>
    <w:rsid w:val="007C6AA6"/>
    <w:rsid w:val="007C7B21"/>
    <w:rsid w:val="007D55FA"/>
    <w:rsid w:val="007D7555"/>
    <w:rsid w:val="007E1BA4"/>
    <w:rsid w:val="007E3339"/>
    <w:rsid w:val="007E3966"/>
    <w:rsid w:val="007E4A4A"/>
    <w:rsid w:val="007E67EE"/>
    <w:rsid w:val="007E7756"/>
    <w:rsid w:val="007F4188"/>
    <w:rsid w:val="00800454"/>
    <w:rsid w:val="00803673"/>
    <w:rsid w:val="00812D07"/>
    <w:rsid w:val="00813B7C"/>
    <w:rsid w:val="0082048D"/>
    <w:rsid w:val="00820AC6"/>
    <w:rsid w:val="008229C0"/>
    <w:rsid w:val="008254DC"/>
    <w:rsid w:val="00830C1F"/>
    <w:rsid w:val="00832DCE"/>
    <w:rsid w:val="00841BE7"/>
    <w:rsid w:val="00852006"/>
    <w:rsid w:val="00853BDA"/>
    <w:rsid w:val="0085488A"/>
    <w:rsid w:val="008557BA"/>
    <w:rsid w:val="00861050"/>
    <w:rsid w:val="0086119F"/>
    <w:rsid w:val="00870C65"/>
    <w:rsid w:val="008735DB"/>
    <w:rsid w:val="00880E0F"/>
    <w:rsid w:val="00884725"/>
    <w:rsid w:val="00885F91"/>
    <w:rsid w:val="00890563"/>
    <w:rsid w:val="00890578"/>
    <w:rsid w:val="008927A8"/>
    <w:rsid w:val="008C14F7"/>
    <w:rsid w:val="008C2F09"/>
    <w:rsid w:val="008C6E57"/>
    <w:rsid w:val="008D29F1"/>
    <w:rsid w:val="008D395B"/>
    <w:rsid w:val="008D6920"/>
    <w:rsid w:val="008D7135"/>
    <w:rsid w:val="008D7A49"/>
    <w:rsid w:val="008E041C"/>
    <w:rsid w:val="008E3E44"/>
    <w:rsid w:val="008F0A28"/>
    <w:rsid w:val="008F38DA"/>
    <w:rsid w:val="008F3AA2"/>
    <w:rsid w:val="00902610"/>
    <w:rsid w:val="00903E96"/>
    <w:rsid w:val="009041B8"/>
    <w:rsid w:val="00904432"/>
    <w:rsid w:val="0090524E"/>
    <w:rsid w:val="00906C49"/>
    <w:rsid w:val="00910CEB"/>
    <w:rsid w:val="00912EAE"/>
    <w:rsid w:val="00917DE7"/>
    <w:rsid w:val="0092028E"/>
    <w:rsid w:val="00920EFE"/>
    <w:rsid w:val="009221DD"/>
    <w:rsid w:val="00923DDC"/>
    <w:rsid w:val="009249D8"/>
    <w:rsid w:val="00926DC7"/>
    <w:rsid w:val="00927ABC"/>
    <w:rsid w:val="00931041"/>
    <w:rsid w:val="0093323B"/>
    <w:rsid w:val="00933DEA"/>
    <w:rsid w:val="00944A84"/>
    <w:rsid w:val="00945CB4"/>
    <w:rsid w:val="00946206"/>
    <w:rsid w:val="0094705B"/>
    <w:rsid w:val="00970F49"/>
    <w:rsid w:val="00972D60"/>
    <w:rsid w:val="00980E2E"/>
    <w:rsid w:val="00981FFD"/>
    <w:rsid w:val="00983F75"/>
    <w:rsid w:val="00992C00"/>
    <w:rsid w:val="0099432C"/>
    <w:rsid w:val="009A1704"/>
    <w:rsid w:val="009A2536"/>
    <w:rsid w:val="009A31D4"/>
    <w:rsid w:val="009A4672"/>
    <w:rsid w:val="009A76E4"/>
    <w:rsid w:val="009B0A68"/>
    <w:rsid w:val="009B4A7E"/>
    <w:rsid w:val="009C16B6"/>
    <w:rsid w:val="009D724B"/>
    <w:rsid w:val="009E0F57"/>
    <w:rsid w:val="009E3A1F"/>
    <w:rsid w:val="009E652C"/>
    <w:rsid w:val="00A1066E"/>
    <w:rsid w:val="00A1096B"/>
    <w:rsid w:val="00A11FA4"/>
    <w:rsid w:val="00A14E6F"/>
    <w:rsid w:val="00A23580"/>
    <w:rsid w:val="00A27BA6"/>
    <w:rsid w:val="00A31BA9"/>
    <w:rsid w:val="00A337DC"/>
    <w:rsid w:val="00A339B2"/>
    <w:rsid w:val="00A40217"/>
    <w:rsid w:val="00A404BA"/>
    <w:rsid w:val="00A42155"/>
    <w:rsid w:val="00A4638C"/>
    <w:rsid w:val="00A53EF8"/>
    <w:rsid w:val="00A57E1E"/>
    <w:rsid w:val="00A6157F"/>
    <w:rsid w:val="00A63FC4"/>
    <w:rsid w:val="00A6568B"/>
    <w:rsid w:val="00A67EF0"/>
    <w:rsid w:val="00A7034D"/>
    <w:rsid w:val="00A80AB5"/>
    <w:rsid w:val="00A8218D"/>
    <w:rsid w:val="00A83CE7"/>
    <w:rsid w:val="00A91A08"/>
    <w:rsid w:val="00A93406"/>
    <w:rsid w:val="00AA0739"/>
    <w:rsid w:val="00AA13FB"/>
    <w:rsid w:val="00AA1D76"/>
    <w:rsid w:val="00AA28F1"/>
    <w:rsid w:val="00AA57CC"/>
    <w:rsid w:val="00AB399E"/>
    <w:rsid w:val="00AB6D7B"/>
    <w:rsid w:val="00AD3BF2"/>
    <w:rsid w:val="00AE43AE"/>
    <w:rsid w:val="00AE4421"/>
    <w:rsid w:val="00AE5871"/>
    <w:rsid w:val="00AE601D"/>
    <w:rsid w:val="00AE649C"/>
    <w:rsid w:val="00AF10FB"/>
    <w:rsid w:val="00AF14FB"/>
    <w:rsid w:val="00AF37DE"/>
    <w:rsid w:val="00AF508E"/>
    <w:rsid w:val="00B002CC"/>
    <w:rsid w:val="00B00415"/>
    <w:rsid w:val="00B0087D"/>
    <w:rsid w:val="00B02F8D"/>
    <w:rsid w:val="00B03437"/>
    <w:rsid w:val="00B03B3E"/>
    <w:rsid w:val="00B03D68"/>
    <w:rsid w:val="00B04C78"/>
    <w:rsid w:val="00B209E8"/>
    <w:rsid w:val="00B20B38"/>
    <w:rsid w:val="00B250D7"/>
    <w:rsid w:val="00B25BEC"/>
    <w:rsid w:val="00B26BEE"/>
    <w:rsid w:val="00B31154"/>
    <w:rsid w:val="00B367A4"/>
    <w:rsid w:val="00B42978"/>
    <w:rsid w:val="00B50A2B"/>
    <w:rsid w:val="00B510DD"/>
    <w:rsid w:val="00B63AAF"/>
    <w:rsid w:val="00B63ED9"/>
    <w:rsid w:val="00B6545C"/>
    <w:rsid w:val="00B66095"/>
    <w:rsid w:val="00B66455"/>
    <w:rsid w:val="00B709D8"/>
    <w:rsid w:val="00B70B80"/>
    <w:rsid w:val="00B71213"/>
    <w:rsid w:val="00B77375"/>
    <w:rsid w:val="00B8261E"/>
    <w:rsid w:val="00B85344"/>
    <w:rsid w:val="00B90F84"/>
    <w:rsid w:val="00B92D7B"/>
    <w:rsid w:val="00B93AD8"/>
    <w:rsid w:val="00B93C3F"/>
    <w:rsid w:val="00B972D3"/>
    <w:rsid w:val="00BA0AC9"/>
    <w:rsid w:val="00BA15DD"/>
    <w:rsid w:val="00BA1667"/>
    <w:rsid w:val="00BA2210"/>
    <w:rsid w:val="00BA4DC8"/>
    <w:rsid w:val="00BA758A"/>
    <w:rsid w:val="00BB05DB"/>
    <w:rsid w:val="00BB065F"/>
    <w:rsid w:val="00BB62A7"/>
    <w:rsid w:val="00BC2419"/>
    <w:rsid w:val="00BC25AD"/>
    <w:rsid w:val="00BC30B9"/>
    <w:rsid w:val="00BD2543"/>
    <w:rsid w:val="00BD3DF5"/>
    <w:rsid w:val="00BD4061"/>
    <w:rsid w:val="00BD47C9"/>
    <w:rsid w:val="00BD5445"/>
    <w:rsid w:val="00BD723D"/>
    <w:rsid w:val="00BD7B4B"/>
    <w:rsid w:val="00BE110B"/>
    <w:rsid w:val="00BE3DA4"/>
    <w:rsid w:val="00BE7542"/>
    <w:rsid w:val="00BE7D67"/>
    <w:rsid w:val="00BF0EC4"/>
    <w:rsid w:val="00BF3699"/>
    <w:rsid w:val="00BF67CA"/>
    <w:rsid w:val="00C0042D"/>
    <w:rsid w:val="00C00FFC"/>
    <w:rsid w:val="00C05093"/>
    <w:rsid w:val="00C05DB3"/>
    <w:rsid w:val="00C0699C"/>
    <w:rsid w:val="00C1200F"/>
    <w:rsid w:val="00C15F8A"/>
    <w:rsid w:val="00C16233"/>
    <w:rsid w:val="00C164A6"/>
    <w:rsid w:val="00C231B6"/>
    <w:rsid w:val="00C23798"/>
    <w:rsid w:val="00C2469C"/>
    <w:rsid w:val="00C25468"/>
    <w:rsid w:val="00C30CFD"/>
    <w:rsid w:val="00C319CE"/>
    <w:rsid w:val="00C321EB"/>
    <w:rsid w:val="00C438DB"/>
    <w:rsid w:val="00C47371"/>
    <w:rsid w:val="00C6006D"/>
    <w:rsid w:val="00C62100"/>
    <w:rsid w:val="00C633E2"/>
    <w:rsid w:val="00C63B62"/>
    <w:rsid w:val="00C64445"/>
    <w:rsid w:val="00C66446"/>
    <w:rsid w:val="00C7126F"/>
    <w:rsid w:val="00C73CB7"/>
    <w:rsid w:val="00C73DB4"/>
    <w:rsid w:val="00C74FCA"/>
    <w:rsid w:val="00C84703"/>
    <w:rsid w:val="00C8767C"/>
    <w:rsid w:val="00C91A36"/>
    <w:rsid w:val="00C96587"/>
    <w:rsid w:val="00C96BD5"/>
    <w:rsid w:val="00CA0051"/>
    <w:rsid w:val="00CA3E6F"/>
    <w:rsid w:val="00CB03E0"/>
    <w:rsid w:val="00CB2670"/>
    <w:rsid w:val="00CB5A22"/>
    <w:rsid w:val="00CC284E"/>
    <w:rsid w:val="00CC6406"/>
    <w:rsid w:val="00CC7958"/>
    <w:rsid w:val="00CC7A36"/>
    <w:rsid w:val="00CD274C"/>
    <w:rsid w:val="00CD4203"/>
    <w:rsid w:val="00CD5848"/>
    <w:rsid w:val="00CD74FF"/>
    <w:rsid w:val="00CE1148"/>
    <w:rsid w:val="00CE1652"/>
    <w:rsid w:val="00CE75D6"/>
    <w:rsid w:val="00CE7736"/>
    <w:rsid w:val="00CF1A7D"/>
    <w:rsid w:val="00CF6B90"/>
    <w:rsid w:val="00D009EB"/>
    <w:rsid w:val="00D00EE9"/>
    <w:rsid w:val="00D02623"/>
    <w:rsid w:val="00D02E01"/>
    <w:rsid w:val="00D03250"/>
    <w:rsid w:val="00D07465"/>
    <w:rsid w:val="00D154EA"/>
    <w:rsid w:val="00D15541"/>
    <w:rsid w:val="00D174D7"/>
    <w:rsid w:val="00D20C5C"/>
    <w:rsid w:val="00D216B0"/>
    <w:rsid w:val="00D3459F"/>
    <w:rsid w:val="00D3685B"/>
    <w:rsid w:val="00D41207"/>
    <w:rsid w:val="00D44425"/>
    <w:rsid w:val="00D444D1"/>
    <w:rsid w:val="00D513FB"/>
    <w:rsid w:val="00D53965"/>
    <w:rsid w:val="00D53EB8"/>
    <w:rsid w:val="00D614A5"/>
    <w:rsid w:val="00D62228"/>
    <w:rsid w:val="00D641A5"/>
    <w:rsid w:val="00D64557"/>
    <w:rsid w:val="00D65627"/>
    <w:rsid w:val="00D672A2"/>
    <w:rsid w:val="00D70755"/>
    <w:rsid w:val="00D82330"/>
    <w:rsid w:val="00D83B83"/>
    <w:rsid w:val="00D844D8"/>
    <w:rsid w:val="00D869D8"/>
    <w:rsid w:val="00D90B72"/>
    <w:rsid w:val="00D92FD9"/>
    <w:rsid w:val="00D94A93"/>
    <w:rsid w:val="00D96D20"/>
    <w:rsid w:val="00D97E4F"/>
    <w:rsid w:val="00DA50B9"/>
    <w:rsid w:val="00DB1E46"/>
    <w:rsid w:val="00DB4C16"/>
    <w:rsid w:val="00DB6D16"/>
    <w:rsid w:val="00DB72C3"/>
    <w:rsid w:val="00DC7B01"/>
    <w:rsid w:val="00DD1B1E"/>
    <w:rsid w:val="00DD409A"/>
    <w:rsid w:val="00DD4A0F"/>
    <w:rsid w:val="00DD501A"/>
    <w:rsid w:val="00DD6213"/>
    <w:rsid w:val="00DD79FF"/>
    <w:rsid w:val="00DE22DB"/>
    <w:rsid w:val="00DE2908"/>
    <w:rsid w:val="00DE37F4"/>
    <w:rsid w:val="00DF5A71"/>
    <w:rsid w:val="00DF6048"/>
    <w:rsid w:val="00DF6BC5"/>
    <w:rsid w:val="00E004C6"/>
    <w:rsid w:val="00E03FF3"/>
    <w:rsid w:val="00E07481"/>
    <w:rsid w:val="00E10524"/>
    <w:rsid w:val="00E1411F"/>
    <w:rsid w:val="00E149A3"/>
    <w:rsid w:val="00E1726B"/>
    <w:rsid w:val="00E214D3"/>
    <w:rsid w:val="00E23C77"/>
    <w:rsid w:val="00E25111"/>
    <w:rsid w:val="00E269A6"/>
    <w:rsid w:val="00E301EF"/>
    <w:rsid w:val="00E3075A"/>
    <w:rsid w:val="00E41649"/>
    <w:rsid w:val="00E42144"/>
    <w:rsid w:val="00E42FFC"/>
    <w:rsid w:val="00E46DCE"/>
    <w:rsid w:val="00E501FF"/>
    <w:rsid w:val="00E50F59"/>
    <w:rsid w:val="00E61148"/>
    <w:rsid w:val="00E665E5"/>
    <w:rsid w:val="00E678FC"/>
    <w:rsid w:val="00E72B77"/>
    <w:rsid w:val="00E77683"/>
    <w:rsid w:val="00E8159E"/>
    <w:rsid w:val="00E842C9"/>
    <w:rsid w:val="00E85D74"/>
    <w:rsid w:val="00E9047A"/>
    <w:rsid w:val="00E91D61"/>
    <w:rsid w:val="00E954E6"/>
    <w:rsid w:val="00E95895"/>
    <w:rsid w:val="00E96FF3"/>
    <w:rsid w:val="00EA282A"/>
    <w:rsid w:val="00EA2E3A"/>
    <w:rsid w:val="00EA4E82"/>
    <w:rsid w:val="00EB32BF"/>
    <w:rsid w:val="00EC4294"/>
    <w:rsid w:val="00EC4685"/>
    <w:rsid w:val="00ED29F7"/>
    <w:rsid w:val="00ED2DDA"/>
    <w:rsid w:val="00ED3B6E"/>
    <w:rsid w:val="00ED4AF1"/>
    <w:rsid w:val="00ED53F0"/>
    <w:rsid w:val="00ED5D7F"/>
    <w:rsid w:val="00ED6CF5"/>
    <w:rsid w:val="00EE1C28"/>
    <w:rsid w:val="00EE2DD1"/>
    <w:rsid w:val="00EE4D93"/>
    <w:rsid w:val="00EE6E5A"/>
    <w:rsid w:val="00EE7ACF"/>
    <w:rsid w:val="00EF1392"/>
    <w:rsid w:val="00EF1A66"/>
    <w:rsid w:val="00EF480F"/>
    <w:rsid w:val="00EF66E6"/>
    <w:rsid w:val="00EF7649"/>
    <w:rsid w:val="00F01C06"/>
    <w:rsid w:val="00F07307"/>
    <w:rsid w:val="00F148F9"/>
    <w:rsid w:val="00F15474"/>
    <w:rsid w:val="00F15AC9"/>
    <w:rsid w:val="00F1741D"/>
    <w:rsid w:val="00F175AE"/>
    <w:rsid w:val="00F27C9F"/>
    <w:rsid w:val="00F31311"/>
    <w:rsid w:val="00F330B8"/>
    <w:rsid w:val="00F33272"/>
    <w:rsid w:val="00F35000"/>
    <w:rsid w:val="00F4000A"/>
    <w:rsid w:val="00F43B66"/>
    <w:rsid w:val="00F46814"/>
    <w:rsid w:val="00F47CC4"/>
    <w:rsid w:val="00F50A9D"/>
    <w:rsid w:val="00F511A0"/>
    <w:rsid w:val="00F53E7F"/>
    <w:rsid w:val="00F557B8"/>
    <w:rsid w:val="00F56BBF"/>
    <w:rsid w:val="00F57851"/>
    <w:rsid w:val="00F63543"/>
    <w:rsid w:val="00F63A20"/>
    <w:rsid w:val="00F65974"/>
    <w:rsid w:val="00F65F06"/>
    <w:rsid w:val="00F70E46"/>
    <w:rsid w:val="00F7167C"/>
    <w:rsid w:val="00F80502"/>
    <w:rsid w:val="00F84004"/>
    <w:rsid w:val="00F85019"/>
    <w:rsid w:val="00F922F0"/>
    <w:rsid w:val="00F9345F"/>
    <w:rsid w:val="00F96528"/>
    <w:rsid w:val="00F9784F"/>
    <w:rsid w:val="00FA1E3E"/>
    <w:rsid w:val="00FA2105"/>
    <w:rsid w:val="00FA43E0"/>
    <w:rsid w:val="00FA55AD"/>
    <w:rsid w:val="00FA7918"/>
    <w:rsid w:val="00FA7D47"/>
    <w:rsid w:val="00FB470E"/>
    <w:rsid w:val="00FC2860"/>
    <w:rsid w:val="00FC6C3E"/>
    <w:rsid w:val="00FC726F"/>
    <w:rsid w:val="00FD2452"/>
    <w:rsid w:val="00FD2D99"/>
    <w:rsid w:val="00FD574F"/>
    <w:rsid w:val="00FD72F7"/>
    <w:rsid w:val="00FE0719"/>
    <w:rsid w:val="00FE1CCA"/>
    <w:rsid w:val="00FE2E15"/>
    <w:rsid w:val="00FE30E6"/>
    <w:rsid w:val="00FE45EF"/>
    <w:rsid w:val="00FE6184"/>
    <w:rsid w:val="00FF5AA6"/>
    <w:rsid w:val="00FF63EC"/>
    <w:rsid w:val="00FF64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DD054D-7520-4A86-856C-65495679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6D"/>
    <w:pPr>
      <w:tabs>
        <w:tab w:val="left" w:pos="170"/>
      </w:tabs>
      <w:spacing w:after="120" w:line="280" w:lineRule="atLeast"/>
    </w:pPr>
    <w:rPr>
      <w:sz w:val="24"/>
    </w:rPr>
  </w:style>
  <w:style w:type="paragraph" w:styleId="Titre1">
    <w:name w:val="heading 1"/>
    <w:basedOn w:val="Normal"/>
    <w:next w:val="Normal"/>
    <w:link w:val="Titre1Car"/>
    <w:uiPriority w:val="1"/>
    <w:qFormat/>
    <w:rsid w:val="00E301EF"/>
    <w:pPr>
      <w:keepNext/>
      <w:keepLines/>
      <w:spacing w:after="199" w:line="432" w:lineRule="atLeast"/>
      <w:outlineLvl w:val="0"/>
    </w:pPr>
    <w:rPr>
      <w:rFonts w:asciiTheme="majorHAnsi" w:eastAsiaTheme="majorEastAsia" w:hAnsiTheme="majorHAnsi" w:cstheme="majorBidi"/>
      <w:color w:val="DC4912" w:themeColor="accent1"/>
      <w:sz w:val="48"/>
      <w:szCs w:val="32"/>
    </w:rPr>
  </w:style>
  <w:style w:type="paragraph" w:styleId="Titre2">
    <w:name w:val="heading 2"/>
    <w:basedOn w:val="Titre1"/>
    <w:next w:val="Normal"/>
    <w:link w:val="Titre2Car"/>
    <w:uiPriority w:val="1"/>
    <w:qFormat/>
    <w:rsid w:val="006C7B1F"/>
    <w:pPr>
      <w:spacing w:before="200" w:after="142" w:line="336" w:lineRule="atLeast"/>
      <w:outlineLvl w:val="1"/>
    </w:pPr>
    <w:rPr>
      <w:sz w:val="36"/>
      <w:szCs w:val="26"/>
    </w:rPr>
  </w:style>
  <w:style w:type="paragraph" w:styleId="Titre3">
    <w:name w:val="heading 3"/>
    <w:basedOn w:val="Titre2"/>
    <w:next w:val="Normal"/>
    <w:link w:val="Titre3Car"/>
    <w:uiPriority w:val="1"/>
    <w:qFormat/>
    <w:rsid w:val="005117FC"/>
    <w:pPr>
      <w:spacing w:after="0" w:line="280" w:lineRule="atLeast"/>
      <w:outlineLvl w:val="2"/>
    </w:pPr>
    <w:rPr>
      <w:sz w:val="24"/>
      <w:szCs w:val="24"/>
    </w:rPr>
  </w:style>
  <w:style w:type="paragraph" w:styleId="Titre4">
    <w:name w:val="heading 4"/>
    <w:basedOn w:val="Titre3"/>
    <w:next w:val="Normal"/>
    <w:link w:val="Titre4Car"/>
    <w:uiPriority w:val="1"/>
    <w:qFormat/>
    <w:rsid w:val="006C7B1F"/>
    <w:pPr>
      <w:outlineLvl w:val="3"/>
    </w:pPr>
    <w:rPr>
      <w:iCs/>
      <w:color w:val="auto"/>
    </w:rPr>
  </w:style>
  <w:style w:type="paragraph" w:styleId="Titre5">
    <w:name w:val="heading 5"/>
    <w:basedOn w:val="Titre4"/>
    <w:next w:val="Normal"/>
    <w:link w:val="Titre5Car"/>
    <w:uiPriority w:val="1"/>
    <w:semiHidden/>
    <w:rsid w:val="00245AF3"/>
    <w:pPr>
      <w:outlineLvl w:val="4"/>
    </w:pPr>
    <w:rPr>
      <w:i/>
    </w:rPr>
  </w:style>
  <w:style w:type="paragraph" w:styleId="Titre6">
    <w:name w:val="heading 6"/>
    <w:basedOn w:val="Titre5"/>
    <w:next w:val="Normal"/>
    <w:link w:val="Titre6Car"/>
    <w:uiPriority w:val="1"/>
    <w:semiHidden/>
    <w:rsid w:val="009D724B"/>
    <w:pPr>
      <w:outlineLvl w:val="5"/>
    </w:pPr>
    <w:rPr>
      <w:i w:val="0"/>
      <w:u w:val="single"/>
    </w:rPr>
  </w:style>
  <w:style w:type="paragraph" w:styleId="Titre7">
    <w:name w:val="heading 7"/>
    <w:basedOn w:val="Normal"/>
    <w:next w:val="Normal"/>
    <w:link w:val="Titre7Car"/>
    <w:uiPriority w:val="1"/>
    <w:semiHidden/>
    <w:rsid w:val="00245AF3"/>
    <w:pPr>
      <w:keepNext/>
      <w:keepLines/>
      <w:spacing w:before="40" w:after="0"/>
      <w:outlineLvl w:val="6"/>
    </w:pPr>
    <w:rPr>
      <w:rFonts w:asciiTheme="majorHAnsi" w:eastAsiaTheme="majorEastAsia" w:hAnsiTheme="majorHAnsi" w:cstheme="majorBidi"/>
      <w:iCs/>
      <w:color w:val="DC4912" w:themeColor="accent1"/>
      <w:sz w:val="18"/>
    </w:rPr>
  </w:style>
  <w:style w:type="paragraph" w:styleId="Titre8">
    <w:name w:val="heading 8"/>
    <w:basedOn w:val="Normal"/>
    <w:next w:val="Normal"/>
    <w:link w:val="Titre8Car"/>
    <w:uiPriority w:val="1"/>
    <w:semiHidden/>
    <w:rsid w:val="00245AF3"/>
    <w:pPr>
      <w:keepNext/>
      <w:keepLines/>
      <w:spacing w:before="40" w:after="0"/>
      <w:outlineLvl w:val="7"/>
    </w:pPr>
    <w:rPr>
      <w:rFonts w:asciiTheme="majorHAnsi" w:eastAsiaTheme="majorEastAsia" w:hAnsiTheme="majorHAnsi" w:cstheme="majorBidi"/>
      <w:i/>
      <w:color w:val="DC4912" w:themeColor="accent1"/>
      <w:sz w:val="18"/>
      <w:szCs w:val="21"/>
    </w:rPr>
  </w:style>
  <w:style w:type="paragraph" w:styleId="Titre9">
    <w:name w:val="heading 9"/>
    <w:basedOn w:val="Titre1"/>
    <w:next w:val="Normal"/>
    <w:link w:val="Titre9Car"/>
    <w:uiPriority w:val="1"/>
    <w:semiHidden/>
    <w:rsid w:val="0058143E"/>
    <w:pPr>
      <w:outlineLvl w:val="8"/>
    </w:pPr>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rsid w:val="00B66455"/>
    <w:pPr>
      <w:keepNext/>
      <w:keepLines/>
      <w:spacing w:before="240" w:after="40" w:line="640" w:lineRule="exact"/>
      <w:contextualSpacing/>
    </w:pPr>
    <w:rPr>
      <w:rFonts w:asciiTheme="majorHAnsi" w:eastAsiaTheme="majorEastAsia" w:hAnsiTheme="majorHAnsi" w:cstheme="majorBidi"/>
      <w:color w:val="DC4912" w:themeColor="accent1"/>
      <w:spacing w:val="-10"/>
      <w:kern w:val="28"/>
      <w:sz w:val="60"/>
      <w:szCs w:val="224"/>
    </w:rPr>
  </w:style>
  <w:style w:type="character" w:customStyle="1" w:styleId="TitreCar">
    <w:name w:val="Titre Car"/>
    <w:basedOn w:val="Policepardfaut"/>
    <w:link w:val="Titre"/>
    <w:uiPriority w:val="6"/>
    <w:rsid w:val="00B66455"/>
    <w:rPr>
      <w:rFonts w:asciiTheme="majorHAnsi" w:eastAsiaTheme="majorEastAsia" w:hAnsiTheme="majorHAnsi" w:cstheme="majorBidi"/>
      <w:color w:val="DC4912" w:themeColor="accent1"/>
      <w:spacing w:val="-10"/>
      <w:kern w:val="28"/>
      <w:sz w:val="60"/>
      <w:szCs w:val="224"/>
    </w:rPr>
  </w:style>
  <w:style w:type="paragraph" w:styleId="Sous-titre">
    <w:name w:val="Subtitle"/>
    <w:basedOn w:val="Titre2"/>
    <w:next w:val="Normal"/>
    <w:link w:val="Sous-titreCar"/>
    <w:uiPriority w:val="6"/>
    <w:rsid w:val="006000CC"/>
    <w:pPr>
      <w:spacing w:before="80" w:after="0" w:line="440" w:lineRule="exact"/>
    </w:pPr>
    <w:rPr>
      <w:sz w:val="40"/>
    </w:rPr>
  </w:style>
  <w:style w:type="character" w:customStyle="1" w:styleId="Sous-titreCar">
    <w:name w:val="Sous-titre Car"/>
    <w:basedOn w:val="Policepardfaut"/>
    <w:link w:val="Sous-titre"/>
    <w:uiPriority w:val="6"/>
    <w:rsid w:val="006000CC"/>
    <w:rPr>
      <w:rFonts w:asciiTheme="majorHAnsi" w:eastAsiaTheme="majorEastAsia" w:hAnsiTheme="majorHAnsi" w:cstheme="majorBidi"/>
      <w:color w:val="DC4912" w:themeColor="accent1"/>
      <w:sz w:val="40"/>
      <w:szCs w:val="26"/>
    </w:rPr>
  </w:style>
  <w:style w:type="character" w:customStyle="1" w:styleId="Titre1Car">
    <w:name w:val="Titre 1 Car"/>
    <w:basedOn w:val="Policepardfaut"/>
    <w:link w:val="Titre1"/>
    <w:uiPriority w:val="1"/>
    <w:rsid w:val="00C15F8A"/>
    <w:rPr>
      <w:rFonts w:asciiTheme="majorHAnsi" w:eastAsiaTheme="majorEastAsia" w:hAnsiTheme="majorHAnsi" w:cstheme="majorBidi"/>
      <w:color w:val="DC4912" w:themeColor="accent1"/>
      <w:sz w:val="48"/>
      <w:szCs w:val="32"/>
    </w:rPr>
  </w:style>
  <w:style w:type="character" w:customStyle="1" w:styleId="Titre2Car">
    <w:name w:val="Titre 2 Car"/>
    <w:basedOn w:val="Policepardfaut"/>
    <w:link w:val="Titre2"/>
    <w:uiPriority w:val="1"/>
    <w:rsid w:val="006C7B1F"/>
    <w:rPr>
      <w:rFonts w:asciiTheme="majorHAnsi" w:eastAsiaTheme="majorEastAsia" w:hAnsiTheme="majorHAnsi" w:cstheme="majorBidi"/>
      <w:color w:val="DC4912" w:themeColor="accent1"/>
      <w:sz w:val="36"/>
      <w:szCs w:val="26"/>
    </w:rPr>
  </w:style>
  <w:style w:type="character" w:customStyle="1" w:styleId="Titre3Car">
    <w:name w:val="Titre 3 Car"/>
    <w:basedOn w:val="Policepardfaut"/>
    <w:link w:val="Titre3"/>
    <w:uiPriority w:val="1"/>
    <w:rsid w:val="00C15F8A"/>
    <w:rPr>
      <w:rFonts w:asciiTheme="majorHAnsi" w:eastAsiaTheme="majorEastAsia" w:hAnsiTheme="majorHAnsi" w:cstheme="majorBidi"/>
      <w:color w:val="DC4912" w:themeColor="accent1"/>
      <w:sz w:val="24"/>
      <w:szCs w:val="24"/>
    </w:rPr>
  </w:style>
  <w:style w:type="character" w:customStyle="1" w:styleId="Titre4Car">
    <w:name w:val="Titre 4 Car"/>
    <w:basedOn w:val="Policepardfaut"/>
    <w:link w:val="Titre4"/>
    <w:uiPriority w:val="1"/>
    <w:rsid w:val="006C7B1F"/>
    <w:rPr>
      <w:rFonts w:asciiTheme="majorHAnsi" w:eastAsiaTheme="majorEastAsia" w:hAnsiTheme="majorHAnsi" w:cstheme="majorBidi"/>
      <w:iCs/>
      <w:sz w:val="24"/>
      <w:szCs w:val="24"/>
    </w:rPr>
  </w:style>
  <w:style w:type="character" w:customStyle="1" w:styleId="Titre5Car">
    <w:name w:val="Titre 5 Car"/>
    <w:basedOn w:val="Policepardfaut"/>
    <w:link w:val="Titre5"/>
    <w:uiPriority w:val="1"/>
    <w:semiHidden/>
    <w:rsid w:val="00DD6213"/>
    <w:rPr>
      <w:rFonts w:asciiTheme="majorHAnsi" w:eastAsiaTheme="majorEastAsia" w:hAnsiTheme="majorHAnsi" w:cstheme="majorBidi"/>
      <w:i/>
      <w:iCs/>
      <w:sz w:val="24"/>
      <w:szCs w:val="24"/>
    </w:rPr>
  </w:style>
  <w:style w:type="character" w:customStyle="1" w:styleId="Titre6Car">
    <w:name w:val="Titre 6 Car"/>
    <w:basedOn w:val="Policepardfaut"/>
    <w:link w:val="Titre6"/>
    <w:uiPriority w:val="1"/>
    <w:semiHidden/>
    <w:rsid w:val="00C15F8A"/>
    <w:rPr>
      <w:rFonts w:asciiTheme="majorHAnsi" w:eastAsiaTheme="majorEastAsia" w:hAnsiTheme="majorHAnsi" w:cstheme="majorBidi"/>
      <w:iCs/>
      <w:color w:val="000000" w:themeColor="text1"/>
      <w:sz w:val="24"/>
      <w:szCs w:val="24"/>
      <w:u w:val="single"/>
    </w:rPr>
  </w:style>
  <w:style w:type="character" w:customStyle="1" w:styleId="Titre7Car">
    <w:name w:val="Titre 7 Car"/>
    <w:basedOn w:val="Policepardfaut"/>
    <w:link w:val="Titre7"/>
    <w:uiPriority w:val="1"/>
    <w:semiHidden/>
    <w:rsid w:val="00C15F8A"/>
    <w:rPr>
      <w:rFonts w:asciiTheme="majorHAnsi" w:eastAsiaTheme="majorEastAsia" w:hAnsiTheme="majorHAnsi" w:cstheme="majorBidi"/>
      <w:iCs/>
      <w:color w:val="DC4912" w:themeColor="accent1"/>
      <w:sz w:val="18"/>
    </w:rPr>
  </w:style>
  <w:style w:type="character" w:customStyle="1" w:styleId="Titre8Car">
    <w:name w:val="Titre 8 Car"/>
    <w:basedOn w:val="Policepardfaut"/>
    <w:link w:val="Titre8"/>
    <w:uiPriority w:val="1"/>
    <w:semiHidden/>
    <w:rsid w:val="00C15F8A"/>
    <w:rPr>
      <w:rFonts w:asciiTheme="majorHAnsi" w:eastAsiaTheme="majorEastAsia" w:hAnsiTheme="majorHAnsi" w:cstheme="majorBidi"/>
      <w:i/>
      <w:color w:val="DC4912" w:themeColor="accent1"/>
      <w:sz w:val="18"/>
      <w:szCs w:val="21"/>
    </w:rPr>
  </w:style>
  <w:style w:type="character" w:customStyle="1" w:styleId="Titre9Car">
    <w:name w:val="Titre 9 Car"/>
    <w:basedOn w:val="Policepardfaut"/>
    <w:link w:val="Titre9"/>
    <w:uiPriority w:val="1"/>
    <w:semiHidden/>
    <w:rsid w:val="0058143E"/>
    <w:rPr>
      <w:rFonts w:asciiTheme="majorHAnsi" w:eastAsiaTheme="majorEastAsia" w:hAnsiTheme="majorHAnsi" w:cstheme="majorBidi"/>
      <w:color w:val="DC4912" w:themeColor="accent1"/>
      <w:sz w:val="48"/>
      <w:szCs w:val="32"/>
      <w:lang w:val="en-AU"/>
    </w:rPr>
  </w:style>
  <w:style w:type="paragraph" w:customStyle="1" w:styleId="Ingress">
    <w:name w:val="Ingress"/>
    <w:basedOn w:val="Normal"/>
    <w:uiPriority w:val="5"/>
    <w:rsid w:val="00E301EF"/>
    <w:rPr>
      <w:rFonts w:asciiTheme="majorHAnsi" w:hAnsiTheme="majorHAnsi"/>
    </w:rPr>
  </w:style>
  <w:style w:type="paragraph" w:styleId="Listepuces">
    <w:name w:val="List Bullet"/>
    <w:basedOn w:val="Normal"/>
    <w:uiPriority w:val="4"/>
    <w:qFormat/>
    <w:rsid w:val="000E2F13"/>
    <w:pPr>
      <w:numPr>
        <w:numId w:val="14"/>
      </w:numPr>
      <w:tabs>
        <w:tab w:val="clear" w:pos="170"/>
      </w:tabs>
    </w:pPr>
  </w:style>
  <w:style w:type="paragraph" w:styleId="Listenumros">
    <w:name w:val="List Number"/>
    <w:basedOn w:val="Normal"/>
    <w:uiPriority w:val="4"/>
    <w:qFormat/>
    <w:rsid w:val="004E3F4E"/>
    <w:pPr>
      <w:numPr>
        <w:numId w:val="23"/>
      </w:numPr>
      <w:tabs>
        <w:tab w:val="clear" w:pos="170"/>
      </w:tabs>
      <w:contextualSpacing/>
    </w:pPr>
  </w:style>
  <w:style w:type="paragraph" w:styleId="En-tte">
    <w:name w:val="header"/>
    <w:basedOn w:val="Normal"/>
    <w:link w:val="En-tteCar"/>
    <w:uiPriority w:val="99"/>
    <w:semiHidden/>
    <w:rsid w:val="003F6972"/>
    <w:pPr>
      <w:tabs>
        <w:tab w:val="clear" w:pos="170"/>
        <w:tab w:val="right" w:pos="10319"/>
      </w:tabs>
      <w:spacing w:after="0" w:line="240" w:lineRule="atLeast"/>
    </w:pPr>
    <w:rPr>
      <w:rFonts w:asciiTheme="majorHAnsi" w:hAnsiTheme="majorHAnsi"/>
      <w:sz w:val="18"/>
    </w:rPr>
  </w:style>
  <w:style w:type="character" w:customStyle="1" w:styleId="En-tteCar">
    <w:name w:val="En-tête Car"/>
    <w:basedOn w:val="Policepardfaut"/>
    <w:link w:val="En-tte"/>
    <w:uiPriority w:val="99"/>
    <w:semiHidden/>
    <w:rsid w:val="00DD6213"/>
    <w:rPr>
      <w:rFonts w:asciiTheme="majorHAnsi" w:hAnsiTheme="majorHAnsi"/>
      <w:sz w:val="18"/>
    </w:rPr>
  </w:style>
  <w:style w:type="paragraph" w:styleId="Pieddepage">
    <w:name w:val="footer"/>
    <w:basedOn w:val="Normal"/>
    <w:link w:val="PieddepageCar"/>
    <w:uiPriority w:val="99"/>
    <w:semiHidden/>
    <w:rsid w:val="00B04C78"/>
    <w:pPr>
      <w:tabs>
        <w:tab w:val="right" w:pos="7370"/>
        <w:tab w:val="right" w:pos="9072"/>
      </w:tabs>
      <w:spacing w:after="0" w:line="200" w:lineRule="atLeast"/>
      <w:jc w:val="right"/>
    </w:pPr>
    <w:rPr>
      <w:rFonts w:asciiTheme="majorHAnsi" w:hAnsiTheme="majorHAnsi"/>
      <w:sz w:val="16"/>
    </w:rPr>
  </w:style>
  <w:style w:type="character" w:customStyle="1" w:styleId="PieddepageCar">
    <w:name w:val="Pied de page Car"/>
    <w:basedOn w:val="Policepardfaut"/>
    <w:link w:val="Pieddepage"/>
    <w:uiPriority w:val="99"/>
    <w:semiHidden/>
    <w:rsid w:val="00DD6213"/>
    <w:rPr>
      <w:rFonts w:asciiTheme="majorHAnsi" w:hAnsiTheme="majorHAnsi"/>
      <w:sz w:val="16"/>
    </w:rPr>
  </w:style>
  <w:style w:type="paragraph" w:styleId="Notedebasdepage">
    <w:name w:val="footnote text"/>
    <w:basedOn w:val="Normal"/>
    <w:link w:val="NotedebasdepageCar"/>
    <w:uiPriority w:val="6"/>
    <w:rsid w:val="00ED3B6E"/>
    <w:pPr>
      <w:tabs>
        <w:tab w:val="clear" w:pos="170"/>
        <w:tab w:val="left" w:pos="142"/>
      </w:tabs>
      <w:spacing w:after="60" w:line="240" w:lineRule="auto"/>
    </w:pPr>
    <w:rPr>
      <w:rFonts w:asciiTheme="majorHAnsi" w:hAnsiTheme="majorHAnsi"/>
      <w:sz w:val="16"/>
      <w:szCs w:val="20"/>
    </w:rPr>
  </w:style>
  <w:style w:type="character" w:customStyle="1" w:styleId="NotedebasdepageCar">
    <w:name w:val="Note de bas de page Car"/>
    <w:basedOn w:val="Policepardfaut"/>
    <w:link w:val="Notedebasdepage"/>
    <w:uiPriority w:val="6"/>
    <w:rsid w:val="00ED3B6E"/>
    <w:rPr>
      <w:rFonts w:asciiTheme="majorHAnsi" w:hAnsiTheme="majorHAnsi"/>
      <w:color w:val="000000" w:themeColor="text1"/>
      <w:sz w:val="16"/>
      <w:szCs w:val="20"/>
    </w:rPr>
  </w:style>
  <w:style w:type="table" w:styleId="Grilledutableau">
    <w:name w:val="Table Grid"/>
    <w:basedOn w:val="TableauNormal"/>
    <w:uiPriority w:val="39"/>
    <w:rsid w:val="009D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rsid w:val="000137B1"/>
    <w:pPr>
      <w:tabs>
        <w:tab w:val="clear" w:pos="170"/>
        <w:tab w:val="right" w:pos="7343"/>
      </w:tabs>
      <w:spacing w:after="0"/>
    </w:pPr>
    <w:rPr>
      <w:rFonts w:asciiTheme="majorHAnsi" w:hAnsiTheme="majorHAnsi"/>
      <w:sz w:val="22"/>
    </w:rPr>
  </w:style>
  <w:style w:type="paragraph" w:customStyle="1" w:styleId="Tabellrubrik">
    <w:name w:val="Tabellrubrik"/>
    <w:basedOn w:val="Tabelltext"/>
    <w:next w:val="Normal"/>
    <w:uiPriority w:val="8"/>
    <w:rsid w:val="00E004C6"/>
    <w:pPr>
      <w:keepNext/>
      <w:keepLines/>
    </w:pPr>
    <w:rPr>
      <w:color w:val="DC4912" w:themeColor="accent1"/>
    </w:rPr>
  </w:style>
  <w:style w:type="character" w:customStyle="1" w:styleId="MarkeringFet">
    <w:name w:val="Markering – Fet"/>
    <w:basedOn w:val="Policepardfaut"/>
    <w:uiPriority w:val="11"/>
    <w:rsid w:val="009D724B"/>
    <w:rPr>
      <w:b/>
    </w:rPr>
  </w:style>
  <w:style w:type="character" w:customStyle="1" w:styleId="MarkeringFrg">
    <w:name w:val="Markering – Färg"/>
    <w:basedOn w:val="Policepardfaut"/>
    <w:uiPriority w:val="11"/>
    <w:semiHidden/>
    <w:rsid w:val="00245AF3"/>
    <w:rPr>
      <w:rFonts w:asciiTheme="minorHAnsi" w:hAnsiTheme="minorHAnsi"/>
      <w:color w:val="DC4912" w:themeColor="accent1"/>
    </w:rPr>
  </w:style>
  <w:style w:type="character" w:customStyle="1" w:styleId="MarkeringKursiv">
    <w:name w:val="Markering – Kursiv"/>
    <w:basedOn w:val="Policepardfaut"/>
    <w:uiPriority w:val="11"/>
    <w:rsid w:val="009D724B"/>
    <w:rPr>
      <w:i/>
    </w:rPr>
  </w:style>
  <w:style w:type="character" w:customStyle="1" w:styleId="MarkeringFetfrg">
    <w:name w:val="Markering – Fet + färg"/>
    <w:basedOn w:val="Policepardfaut"/>
    <w:uiPriority w:val="11"/>
    <w:semiHidden/>
    <w:rsid w:val="00245AF3"/>
    <w:rPr>
      <w:rFonts w:asciiTheme="minorHAnsi" w:hAnsiTheme="minorHAnsi"/>
      <w:b/>
      <w:color w:val="DC4912" w:themeColor="accent1"/>
    </w:rPr>
  </w:style>
  <w:style w:type="character" w:styleId="Lienhypertexte">
    <w:name w:val="Hyperlink"/>
    <w:basedOn w:val="Policepardfaut"/>
    <w:uiPriority w:val="99"/>
    <w:rsid w:val="00DD501A"/>
    <w:rPr>
      <w:i/>
      <w:color w:val="auto"/>
      <w:u w:val="none"/>
    </w:rPr>
  </w:style>
  <w:style w:type="character" w:styleId="Lienhypertextesuivivisit">
    <w:name w:val="FollowedHyperlink"/>
    <w:basedOn w:val="Policepardfaut"/>
    <w:uiPriority w:val="6"/>
    <w:semiHidden/>
    <w:rsid w:val="00A14E6F"/>
    <w:rPr>
      <w:i/>
      <w:color w:val="auto"/>
      <w:u w:val="none"/>
    </w:rPr>
  </w:style>
  <w:style w:type="paragraph" w:customStyle="1" w:styleId="Bild">
    <w:name w:val="Bild"/>
    <w:basedOn w:val="Normal"/>
    <w:uiPriority w:val="6"/>
    <w:rsid w:val="00BA758A"/>
    <w:pPr>
      <w:spacing w:before="160" w:after="160" w:line="240" w:lineRule="auto"/>
    </w:pPr>
    <w:rPr>
      <w:rFonts w:asciiTheme="majorHAnsi" w:hAnsiTheme="majorHAnsi"/>
      <w:sz w:val="16"/>
    </w:rPr>
  </w:style>
  <w:style w:type="paragraph" w:customStyle="1" w:styleId="FaktatextA">
    <w:name w:val="Faktatext A"/>
    <w:basedOn w:val="Normal"/>
    <w:uiPriority w:val="9"/>
    <w:semiHidden/>
    <w:rsid w:val="009D724B"/>
    <w:pPr>
      <w:pBdr>
        <w:left w:val="single" w:sz="4" w:space="8" w:color="FFFFFF" w:themeColor="background2"/>
        <w:bottom w:val="single" w:sz="4" w:space="8" w:color="FFFFFF" w:themeColor="background2"/>
        <w:right w:val="single" w:sz="4" w:space="8" w:color="FFFFFF" w:themeColor="background2"/>
      </w:pBdr>
      <w:shd w:val="clear" w:color="auto" w:fill="FFFFFF" w:themeFill="background2"/>
      <w:spacing w:after="240"/>
      <w:ind w:left="227" w:right="227"/>
    </w:pPr>
    <w:rPr>
      <w:sz w:val="20"/>
    </w:rPr>
  </w:style>
  <w:style w:type="paragraph" w:customStyle="1" w:styleId="FaktarubrikA">
    <w:name w:val="Faktarubrik A"/>
    <w:basedOn w:val="FaktatextA"/>
    <w:uiPriority w:val="9"/>
    <w:semiHidden/>
    <w:rsid w:val="009D724B"/>
    <w:pPr>
      <w:keepNext/>
      <w:keepLines/>
      <w:pBdr>
        <w:top w:val="single" w:sz="4" w:space="8" w:color="FFFFFF" w:themeColor="background2"/>
        <w:bottom w:val="none" w:sz="0" w:space="0" w:color="auto"/>
      </w:pBdr>
      <w:spacing w:before="240" w:after="0"/>
    </w:pPr>
    <w:rPr>
      <w:b/>
    </w:rPr>
  </w:style>
  <w:style w:type="paragraph" w:customStyle="1" w:styleId="Rubrik1">
    <w:name w:val="Rubrik 1 #"/>
    <w:basedOn w:val="Titre1"/>
    <w:next w:val="Normal"/>
    <w:uiPriority w:val="2"/>
    <w:semiHidden/>
    <w:qFormat/>
    <w:rsid w:val="00DD1B1E"/>
    <w:pPr>
      <w:numPr>
        <w:numId w:val="28"/>
      </w:numPr>
      <w:tabs>
        <w:tab w:val="clear" w:pos="170"/>
      </w:tabs>
      <w:ind w:left="907" w:hanging="907"/>
    </w:pPr>
  </w:style>
  <w:style w:type="paragraph" w:customStyle="1" w:styleId="Rubrik2">
    <w:name w:val="Rubrik 2 #"/>
    <w:basedOn w:val="Titre2"/>
    <w:next w:val="Normal"/>
    <w:uiPriority w:val="2"/>
    <w:semiHidden/>
    <w:qFormat/>
    <w:rsid w:val="00DD1B1E"/>
    <w:pPr>
      <w:numPr>
        <w:ilvl w:val="1"/>
        <w:numId w:val="28"/>
      </w:numPr>
      <w:tabs>
        <w:tab w:val="clear" w:pos="170"/>
      </w:tabs>
      <w:ind w:left="907" w:hanging="907"/>
    </w:pPr>
    <w:rPr>
      <w:lang w:val="en-AU"/>
    </w:rPr>
  </w:style>
  <w:style w:type="paragraph" w:customStyle="1" w:styleId="Rubrik3">
    <w:name w:val="Rubrik 3 #"/>
    <w:basedOn w:val="Titre3"/>
    <w:next w:val="Normal"/>
    <w:uiPriority w:val="2"/>
    <w:semiHidden/>
    <w:qFormat/>
    <w:rsid w:val="00DD1B1E"/>
    <w:pPr>
      <w:numPr>
        <w:ilvl w:val="2"/>
        <w:numId w:val="28"/>
      </w:numPr>
      <w:tabs>
        <w:tab w:val="clear" w:pos="170"/>
      </w:tabs>
      <w:ind w:left="907" w:hanging="907"/>
    </w:pPr>
    <w:rPr>
      <w:rFonts w:cstheme="minorHAnsi"/>
      <w:szCs w:val="22"/>
    </w:rPr>
  </w:style>
  <w:style w:type="paragraph" w:customStyle="1" w:styleId="Rubrik4">
    <w:name w:val="Rubrik 4 #"/>
    <w:basedOn w:val="Titre4"/>
    <w:next w:val="Normal"/>
    <w:uiPriority w:val="2"/>
    <w:semiHidden/>
    <w:qFormat/>
    <w:rsid w:val="00DD1B1E"/>
    <w:pPr>
      <w:numPr>
        <w:ilvl w:val="3"/>
        <w:numId w:val="28"/>
      </w:numPr>
      <w:tabs>
        <w:tab w:val="clear" w:pos="170"/>
      </w:tabs>
      <w:ind w:left="907" w:hanging="907"/>
    </w:pPr>
  </w:style>
  <w:style w:type="paragraph" w:customStyle="1" w:styleId="Rubrik5">
    <w:name w:val="Rubrik 5 #"/>
    <w:basedOn w:val="Rubrik4"/>
    <w:next w:val="Normal"/>
    <w:uiPriority w:val="2"/>
    <w:semiHidden/>
    <w:rsid w:val="006271DD"/>
    <w:pPr>
      <w:numPr>
        <w:ilvl w:val="4"/>
      </w:numPr>
      <w:outlineLvl w:val="4"/>
    </w:pPr>
    <w:rPr>
      <w:i/>
    </w:rPr>
  </w:style>
  <w:style w:type="paragraph" w:styleId="TM2">
    <w:name w:val="toc 2"/>
    <w:basedOn w:val="Normal"/>
    <w:next w:val="Normal"/>
    <w:autoRedefine/>
    <w:uiPriority w:val="39"/>
    <w:rsid w:val="00CF1A7D"/>
    <w:pPr>
      <w:keepLines/>
      <w:tabs>
        <w:tab w:val="clear" w:pos="170"/>
        <w:tab w:val="right" w:leader="dot" w:pos="9072"/>
      </w:tabs>
      <w:spacing w:after="0" w:line="320" w:lineRule="atLeast"/>
      <w:ind w:left="1276" w:hanging="709"/>
      <w:contextualSpacing/>
    </w:pPr>
    <w:rPr>
      <w:rFonts w:asciiTheme="majorHAnsi" w:eastAsiaTheme="minorEastAsia" w:hAnsiTheme="majorHAnsi"/>
      <w:sz w:val="22"/>
      <w:szCs w:val="20"/>
      <w:lang w:eastAsia="sv-SE"/>
    </w:rPr>
  </w:style>
  <w:style w:type="paragraph" w:styleId="TM3">
    <w:name w:val="toc 3"/>
    <w:basedOn w:val="Normal"/>
    <w:next w:val="Normal"/>
    <w:autoRedefine/>
    <w:uiPriority w:val="39"/>
    <w:semiHidden/>
    <w:rsid w:val="00470B6D"/>
    <w:pPr>
      <w:keepLines/>
      <w:tabs>
        <w:tab w:val="clear" w:pos="170"/>
        <w:tab w:val="left" w:pos="1276"/>
        <w:tab w:val="right" w:leader="dot" w:pos="9072"/>
      </w:tabs>
      <w:spacing w:after="0" w:line="320" w:lineRule="atLeast"/>
      <w:ind w:left="1276" w:hanging="709"/>
      <w:contextualSpacing/>
    </w:pPr>
    <w:rPr>
      <w:rFonts w:asciiTheme="majorHAnsi" w:eastAsiaTheme="minorEastAsia" w:hAnsiTheme="majorHAnsi"/>
      <w:sz w:val="22"/>
      <w:lang w:eastAsia="sv-SE"/>
    </w:rPr>
  </w:style>
  <w:style w:type="paragraph" w:styleId="TM1">
    <w:name w:val="toc 1"/>
    <w:basedOn w:val="Normal"/>
    <w:next w:val="Normal"/>
    <w:autoRedefine/>
    <w:uiPriority w:val="39"/>
    <w:rsid w:val="00CF1A7D"/>
    <w:pPr>
      <w:keepNext/>
      <w:keepLines/>
      <w:tabs>
        <w:tab w:val="clear" w:pos="170"/>
        <w:tab w:val="left" w:pos="567"/>
        <w:tab w:val="right" w:leader="dot" w:pos="9072"/>
      </w:tabs>
      <w:spacing w:after="0" w:line="320" w:lineRule="atLeast"/>
      <w:ind w:left="567" w:hanging="567"/>
    </w:pPr>
    <w:rPr>
      <w:rFonts w:asciiTheme="majorHAnsi" w:eastAsiaTheme="minorEastAsia" w:hAnsiTheme="majorHAnsi"/>
      <w:color w:val="DC4912" w:themeColor="accent1"/>
      <w:sz w:val="22"/>
      <w:lang w:eastAsia="sv-SE"/>
    </w:rPr>
  </w:style>
  <w:style w:type="character" w:styleId="Appelnotedebasdep">
    <w:name w:val="footnote reference"/>
    <w:basedOn w:val="Policepardfaut"/>
    <w:uiPriority w:val="99"/>
    <w:semiHidden/>
    <w:rsid w:val="009D724B"/>
    <w:rPr>
      <w:vertAlign w:val="superscript"/>
    </w:rPr>
  </w:style>
  <w:style w:type="paragraph" w:customStyle="1" w:styleId="FaktarutaTextmedrubrik">
    <w:name w:val="Faktaruta Text med rubrik"/>
    <w:basedOn w:val="Normal"/>
    <w:uiPriority w:val="5"/>
    <w:semiHidden/>
    <w:rsid w:val="00404E98"/>
    <w:pPr>
      <w:keepLines/>
      <w:pBdr>
        <w:left w:val="single" w:sz="8" w:space="15" w:color="DC4912" w:themeColor="accent1"/>
        <w:bottom w:val="single" w:sz="8" w:space="17" w:color="DC4912" w:themeColor="accent1"/>
        <w:right w:val="single" w:sz="8" w:space="15" w:color="DC4912" w:themeColor="accent1"/>
      </w:pBdr>
      <w:tabs>
        <w:tab w:val="clear" w:pos="170"/>
      </w:tabs>
      <w:ind w:left="340" w:right="340"/>
    </w:pPr>
  </w:style>
  <w:style w:type="paragraph" w:customStyle="1" w:styleId="FaktarutaRubrik">
    <w:name w:val="Faktaruta Rubrik"/>
    <w:basedOn w:val="FaktarutaTextmedrubrik"/>
    <w:next w:val="FaktarutaTextmedrubrik"/>
    <w:uiPriority w:val="5"/>
    <w:semiHidden/>
    <w:rsid w:val="00404E98"/>
    <w:pPr>
      <w:keepNext/>
      <w:pBdr>
        <w:top w:val="single" w:sz="8" w:space="14" w:color="DC4912" w:themeColor="accent1"/>
        <w:bottom w:val="none" w:sz="0" w:space="0" w:color="auto"/>
      </w:pBdr>
      <w:spacing w:before="300" w:after="0"/>
    </w:pPr>
    <w:rPr>
      <w:rFonts w:asciiTheme="majorHAnsi" w:hAnsiTheme="majorHAnsi"/>
      <w:color w:val="DC4912" w:themeColor="accent1"/>
    </w:rPr>
  </w:style>
  <w:style w:type="table" w:customStyle="1" w:styleId="TableauListe1Clair-Accentuation21">
    <w:name w:val="Tableau Liste 1 Clair - Accentuation 21"/>
    <w:basedOn w:val="TableauNormal"/>
    <w:uiPriority w:val="46"/>
    <w:rsid w:val="009D724B"/>
    <w:pPr>
      <w:spacing w:after="0" w:line="240" w:lineRule="auto"/>
    </w:pPr>
    <w:tblPr>
      <w:tblStyleRowBandSize w:val="1"/>
      <w:tblStyleColBandSize w:val="1"/>
    </w:tblPr>
    <w:tblStylePr w:type="firstRow">
      <w:rPr>
        <w:b/>
        <w:bCs/>
      </w:rPr>
      <w:tblPr/>
      <w:tcPr>
        <w:tcBorders>
          <w:bottom w:val="single" w:sz="4" w:space="0" w:color="FFD36F" w:themeColor="accent2" w:themeTint="99"/>
        </w:tcBorders>
      </w:tcPr>
    </w:tblStylePr>
    <w:tblStylePr w:type="lastRow">
      <w:rPr>
        <w:b/>
        <w:bCs/>
      </w:rPr>
      <w:tblPr/>
      <w:tcPr>
        <w:tcBorders>
          <w:top w:val="single" w:sz="4" w:space="0" w:color="FFD36F" w:themeColor="accent2" w:themeTint="99"/>
        </w:tcBorders>
      </w:tcPr>
    </w:tblStylePr>
    <w:tblStylePr w:type="firstCol">
      <w:rPr>
        <w:b/>
        <w:bCs/>
      </w:rPr>
    </w:tblStylePr>
    <w:tblStylePr w:type="lastCol">
      <w:rPr>
        <w:b/>
        <w:bCs/>
      </w:rPr>
    </w:tblStylePr>
    <w:tblStylePr w:type="band1Vert">
      <w:tblPr/>
      <w:tcPr>
        <w:shd w:val="clear" w:color="auto" w:fill="FFF0CF" w:themeFill="accent2" w:themeFillTint="33"/>
      </w:tcPr>
    </w:tblStylePr>
    <w:tblStylePr w:type="band1Horz">
      <w:tblPr/>
      <w:tcPr>
        <w:shd w:val="clear" w:color="auto" w:fill="FFF0CF" w:themeFill="accent2" w:themeFillTint="33"/>
      </w:tcPr>
    </w:tblStylePr>
  </w:style>
  <w:style w:type="paragraph" w:styleId="Textedebulles">
    <w:name w:val="Balloon Text"/>
    <w:basedOn w:val="Normal"/>
    <w:link w:val="TextedebullesCar"/>
    <w:uiPriority w:val="99"/>
    <w:semiHidden/>
    <w:rsid w:val="00983F75"/>
    <w:pPr>
      <w:spacing w:after="0" w:line="240" w:lineRule="auto"/>
    </w:pPr>
    <w:rPr>
      <w:rFonts w:asciiTheme="majorHAnsi" w:hAnsiTheme="majorHAnsi" w:cs="Segoe UI"/>
      <w:b/>
      <w:color w:val="FFFFFF" w:themeColor="background1"/>
      <w:sz w:val="14"/>
      <w:szCs w:val="18"/>
    </w:rPr>
  </w:style>
  <w:style w:type="character" w:customStyle="1" w:styleId="TextedebullesCar">
    <w:name w:val="Texte de bulles Car"/>
    <w:basedOn w:val="Policepardfaut"/>
    <w:link w:val="Textedebulles"/>
    <w:uiPriority w:val="99"/>
    <w:semiHidden/>
    <w:rsid w:val="00245AF3"/>
    <w:rPr>
      <w:rFonts w:asciiTheme="majorHAnsi" w:hAnsiTheme="majorHAnsi" w:cs="Segoe UI"/>
      <w:b/>
      <w:color w:val="FFFFFF" w:themeColor="background1"/>
      <w:sz w:val="14"/>
      <w:szCs w:val="18"/>
    </w:rPr>
  </w:style>
  <w:style w:type="paragraph" w:styleId="Date">
    <w:name w:val="Date"/>
    <w:basedOn w:val="Normal"/>
    <w:next w:val="Normal"/>
    <w:link w:val="DateCar"/>
    <w:uiPriority w:val="6"/>
    <w:semiHidden/>
    <w:rsid w:val="009D724B"/>
    <w:pPr>
      <w:spacing w:line="250" w:lineRule="atLeast"/>
    </w:pPr>
    <w:rPr>
      <w:color w:val="FFB70F" w:themeColor="accent2"/>
    </w:rPr>
  </w:style>
  <w:style w:type="character" w:customStyle="1" w:styleId="DateCar">
    <w:name w:val="Date Car"/>
    <w:basedOn w:val="Policepardfaut"/>
    <w:link w:val="Date"/>
    <w:uiPriority w:val="6"/>
    <w:semiHidden/>
    <w:rsid w:val="00245AF3"/>
    <w:rPr>
      <w:color w:val="FFB70F" w:themeColor="accent2"/>
      <w:sz w:val="24"/>
    </w:rPr>
  </w:style>
  <w:style w:type="paragraph" w:styleId="TM4">
    <w:name w:val="toc 4"/>
    <w:basedOn w:val="Normal"/>
    <w:next w:val="Normal"/>
    <w:autoRedefine/>
    <w:uiPriority w:val="39"/>
    <w:semiHidden/>
    <w:rsid w:val="00635D6E"/>
    <w:pPr>
      <w:keepLines/>
      <w:tabs>
        <w:tab w:val="clear" w:pos="170"/>
      </w:tabs>
      <w:spacing w:after="100" w:line="259" w:lineRule="auto"/>
      <w:ind w:left="658"/>
    </w:pPr>
    <w:rPr>
      <w:rFonts w:eastAsiaTheme="minorEastAsia"/>
      <w:lang w:eastAsia="sv-SE"/>
    </w:rPr>
  </w:style>
  <w:style w:type="paragraph" w:styleId="TM5">
    <w:name w:val="toc 5"/>
    <w:basedOn w:val="Normal"/>
    <w:next w:val="Normal"/>
    <w:autoRedefine/>
    <w:uiPriority w:val="39"/>
    <w:semiHidden/>
    <w:rsid w:val="00635D6E"/>
    <w:pPr>
      <w:keepLines/>
      <w:tabs>
        <w:tab w:val="clear" w:pos="170"/>
      </w:tabs>
      <w:spacing w:after="100" w:line="259" w:lineRule="auto"/>
      <w:ind w:left="879"/>
    </w:pPr>
    <w:rPr>
      <w:rFonts w:eastAsiaTheme="minorEastAsia"/>
      <w:lang w:eastAsia="sv-SE"/>
    </w:rPr>
  </w:style>
  <w:style w:type="paragraph" w:styleId="TM6">
    <w:name w:val="toc 6"/>
    <w:basedOn w:val="Normal"/>
    <w:next w:val="Normal"/>
    <w:autoRedefine/>
    <w:uiPriority w:val="39"/>
    <w:semiHidden/>
    <w:rsid w:val="009D724B"/>
    <w:pPr>
      <w:tabs>
        <w:tab w:val="clear" w:pos="170"/>
      </w:tabs>
      <w:spacing w:after="100" w:line="259" w:lineRule="auto"/>
      <w:ind w:left="1100"/>
    </w:pPr>
    <w:rPr>
      <w:rFonts w:eastAsiaTheme="minorEastAsia"/>
      <w:lang w:eastAsia="sv-SE"/>
    </w:rPr>
  </w:style>
  <w:style w:type="paragraph" w:styleId="TM7">
    <w:name w:val="toc 7"/>
    <w:basedOn w:val="Normal"/>
    <w:next w:val="Normal"/>
    <w:autoRedefine/>
    <w:uiPriority w:val="39"/>
    <w:semiHidden/>
    <w:rsid w:val="009D724B"/>
    <w:pPr>
      <w:tabs>
        <w:tab w:val="clear" w:pos="170"/>
      </w:tabs>
      <w:spacing w:after="100" w:line="259" w:lineRule="auto"/>
      <w:ind w:left="1320"/>
    </w:pPr>
    <w:rPr>
      <w:rFonts w:eastAsiaTheme="minorEastAsia"/>
      <w:lang w:eastAsia="sv-SE"/>
    </w:rPr>
  </w:style>
  <w:style w:type="paragraph" w:styleId="TM8">
    <w:name w:val="toc 8"/>
    <w:basedOn w:val="Normal"/>
    <w:next w:val="Normal"/>
    <w:autoRedefine/>
    <w:uiPriority w:val="39"/>
    <w:semiHidden/>
    <w:rsid w:val="009D724B"/>
    <w:pPr>
      <w:tabs>
        <w:tab w:val="clear" w:pos="170"/>
      </w:tabs>
      <w:spacing w:after="100" w:line="259" w:lineRule="auto"/>
      <w:ind w:left="1540"/>
    </w:pPr>
    <w:rPr>
      <w:rFonts w:eastAsiaTheme="minorEastAsia"/>
      <w:lang w:eastAsia="sv-SE"/>
    </w:rPr>
  </w:style>
  <w:style w:type="paragraph" w:styleId="TM9">
    <w:name w:val="toc 9"/>
    <w:basedOn w:val="Normal"/>
    <w:next w:val="Normal"/>
    <w:autoRedefine/>
    <w:uiPriority w:val="39"/>
    <w:semiHidden/>
    <w:rsid w:val="009D724B"/>
    <w:pPr>
      <w:tabs>
        <w:tab w:val="clear" w:pos="170"/>
      </w:tabs>
      <w:spacing w:after="100" w:line="259" w:lineRule="auto"/>
      <w:ind w:left="1760"/>
    </w:pPr>
    <w:rPr>
      <w:rFonts w:eastAsiaTheme="minorEastAsia"/>
      <w:lang w:eastAsia="sv-SE"/>
    </w:rPr>
  </w:style>
  <w:style w:type="paragraph" w:styleId="En-ttedetabledesmatires">
    <w:name w:val="TOC Heading"/>
    <w:basedOn w:val="Titre1"/>
    <w:next w:val="Normal"/>
    <w:uiPriority w:val="39"/>
    <w:semiHidden/>
    <w:qFormat/>
    <w:rsid w:val="00245AF3"/>
    <w:pPr>
      <w:outlineLvl w:val="9"/>
    </w:pPr>
  </w:style>
  <w:style w:type="paragraph" w:styleId="Listepuces2">
    <w:name w:val="List Bullet 2"/>
    <w:basedOn w:val="Listepuces"/>
    <w:uiPriority w:val="6"/>
    <w:semiHidden/>
    <w:rsid w:val="009D724B"/>
    <w:pPr>
      <w:numPr>
        <w:ilvl w:val="1"/>
      </w:numPr>
    </w:pPr>
  </w:style>
  <w:style w:type="paragraph" w:styleId="Listepuces3">
    <w:name w:val="List Bullet 3"/>
    <w:basedOn w:val="Listepuces2"/>
    <w:uiPriority w:val="6"/>
    <w:semiHidden/>
    <w:rsid w:val="009D724B"/>
    <w:pPr>
      <w:numPr>
        <w:ilvl w:val="2"/>
      </w:numPr>
    </w:pPr>
  </w:style>
  <w:style w:type="paragraph" w:styleId="Listenumros2">
    <w:name w:val="List Number 2"/>
    <w:basedOn w:val="Listenumros"/>
    <w:uiPriority w:val="6"/>
    <w:semiHidden/>
    <w:rsid w:val="009D724B"/>
    <w:pPr>
      <w:numPr>
        <w:ilvl w:val="1"/>
      </w:numPr>
    </w:pPr>
  </w:style>
  <w:style w:type="paragraph" w:styleId="Listenumros3">
    <w:name w:val="List Number 3"/>
    <w:basedOn w:val="Listenumros2"/>
    <w:uiPriority w:val="6"/>
    <w:semiHidden/>
    <w:rsid w:val="009D724B"/>
    <w:pPr>
      <w:numPr>
        <w:ilvl w:val="2"/>
      </w:numPr>
    </w:pPr>
  </w:style>
  <w:style w:type="paragraph" w:styleId="Listepuces4">
    <w:name w:val="List Bullet 4"/>
    <w:basedOn w:val="Normal"/>
    <w:uiPriority w:val="6"/>
    <w:semiHidden/>
    <w:rsid w:val="009D724B"/>
    <w:pPr>
      <w:numPr>
        <w:ilvl w:val="3"/>
        <w:numId w:val="14"/>
      </w:numPr>
      <w:contextualSpacing/>
    </w:pPr>
  </w:style>
  <w:style w:type="paragraph" w:styleId="Lgende">
    <w:name w:val="caption"/>
    <w:basedOn w:val="Normal"/>
    <w:next w:val="Normal"/>
    <w:uiPriority w:val="6"/>
    <w:rsid w:val="00923DDC"/>
    <w:pPr>
      <w:spacing w:before="240" w:after="240"/>
    </w:pPr>
    <w:rPr>
      <w:rFonts w:asciiTheme="majorHAnsi" w:hAnsiTheme="majorHAnsi"/>
      <w:color w:val="DC4912" w:themeColor="accent1"/>
      <w:sz w:val="22"/>
    </w:rPr>
  </w:style>
  <w:style w:type="table" w:customStyle="1" w:styleId="Tabell01">
    <w:name w:val="Tabell_01"/>
    <w:basedOn w:val="TableauNormal"/>
    <w:uiPriority w:val="99"/>
    <w:rsid w:val="000F66E8"/>
    <w:pPr>
      <w:spacing w:after="0" w:line="240" w:lineRule="auto"/>
      <w:jc w:val="right"/>
    </w:pPr>
    <w:rPr>
      <w:rFonts w:asciiTheme="majorHAnsi" w:hAnsiTheme="majorHAnsi"/>
    </w:rPr>
    <w:tblPr>
      <w:tblStyleRowBandSize w:val="1"/>
      <w:tblStyleColBandSize w:val="1"/>
      <w:tblCellMar>
        <w:top w:w="28" w:type="dxa"/>
        <w:left w:w="0" w:type="dxa"/>
        <w:bottom w:w="28" w:type="dxa"/>
        <w:right w:w="0" w:type="dxa"/>
      </w:tblCellMar>
    </w:tblPr>
    <w:tblStylePr w:type="firstRow">
      <w:pPr>
        <w:wordWrap/>
        <w:spacing w:beforeLines="0" w:before="0" w:beforeAutospacing="0" w:afterLines="0" w:after="0" w:afterAutospacing="0" w:line="240" w:lineRule="auto"/>
        <w:jc w:val="right"/>
      </w:pPr>
      <w:rPr>
        <w:b w:val="0"/>
        <w:color w:val="DC4912" w:themeColor="accent1"/>
      </w:rPr>
      <w:tblPr/>
      <w:trPr>
        <w:tblHeader/>
      </w:trPr>
      <w:tcPr>
        <w:tcBorders>
          <w:bottom w:val="single" w:sz="18" w:space="0" w:color="DC4912" w:themeColor="accent1"/>
        </w:tcBorders>
        <w:vAlign w:val="bottom"/>
      </w:tcPr>
    </w:tblStylePr>
    <w:tblStylePr w:type="lastRow">
      <w:pPr>
        <w:wordWrap/>
        <w:spacing w:beforeLines="0" w:before="0" w:beforeAutospacing="0" w:afterLines="0" w:after="0" w:afterAutospacing="0" w:line="240" w:lineRule="auto"/>
      </w:pPr>
      <w:rPr>
        <w:b w:val="0"/>
      </w:rPr>
      <w:tblPr/>
      <w:tcPr>
        <w:tcBorders>
          <w:top w:val="single" w:sz="8" w:space="0" w:color="DC4912" w:themeColor="accent1"/>
        </w:tcBorders>
      </w:tcPr>
    </w:tblStylePr>
    <w:tblStylePr w:type="firstCol">
      <w:pPr>
        <w:jc w:val="left"/>
      </w:p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paragraph" w:styleId="Listepuces5">
    <w:name w:val="List Bullet 5"/>
    <w:basedOn w:val="Normal"/>
    <w:uiPriority w:val="99"/>
    <w:semiHidden/>
    <w:unhideWhenUsed/>
    <w:rsid w:val="009D724B"/>
    <w:pPr>
      <w:numPr>
        <w:ilvl w:val="4"/>
        <w:numId w:val="14"/>
      </w:numPr>
      <w:contextualSpacing/>
    </w:pPr>
  </w:style>
  <w:style w:type="paragraph" w:styleId="Listenumros4">
    <w:name w:val="List Number 4"/>
    <w:basedOn w:val="Normal"/>
    <w:uiPriority w:val="99"/>
    <w:semiHidden/>
    <w:unhideWhenUsed/>
    <w:rsid w:val="009D724B"/>
    <w:pPr>
      <w:numPr>
        <w:ilvl w:val="3"/>
        <w:numId w:val="23"/>
      </w:numPr>
      <w:contextualSpacing/>
    </w:pPr>
  </w:style>
  <w:style w:type="paragraph" w:styleId="Listenumros5">
    <w:name w:val="List Number 5"/>
    <w:basedOn w:val="Normal"/>
    <w:uiPriority w:val="99"/>
    <w:semiHidden/>
    <w:unhideWhenUsed/>
    <w:rsid w:val="009D724B"/>
    <w:pPr>
      <w:numPr>
        <w:ilvl w:val="5"/>
        <w:numId w:val="23"/>
      </w:numPr>
      <w:contextualSpacing/>
    </w:pPr>
  </w:style>
  <w:style w:type="paragraph" w:customStyle="1" w:styleId="Nyckeltal02">
    <w:name w:val="Nyckeltal 02"/>
    <w:basedOn w:val="Nyckeltal01"/>
    <w:uiPriority w:val="19"/>
    <w:semiHidden/>
    <w:qFormat/>
    <w:rsid w:val="009D724B"/>
    <w:pPr>
      <w:framePr w:wrap="around" w:vAnchor="page" w:hAnchor="page" w:x="7939" w:y="2269"/>
      <w:suppressOverlap/>
    </w:pPr>
    <w:rPr>
      <w:sz w:val="144"/>
    </w:rPr>
  </w:style>
  <w:style w:type="paragraph" w:customStyle="1" w:styleId="Underrubrik2">
    <w:name w:val="Underrubrik 2"/>
    <w:basedOn w:val="Sous-titre"/>
    <w:uiPriority w:val="6"/>
    <w:semiHidden/>
    <w:rsid w:val="009D724B"/>
    <w:rPr>
      <w:b/>
    </w:rPr>
  </w:style>
  <w:style w:type="paragraph" w:customStyle="1" w:styleId="Kapitelrubrik">
    <w:name w:val="Kapitelrubrik"/>
    <w:basedOn w:val="Titre1"/>
    <w:uiPriority w:val="3"/>
    <w:rsid w:val="005117FC"/>
    <w:pPr>
      <w:spacing w:after="360" w:line="520" w:lineRule="atLeast"/>
    </w:pPr>
  </w:style>
  <w:style w:type="paragraph" w:customStyle="1" w:styleId="Diarienummer">
    <w:name w:val="Diarienummer"/>
    <w:basedOn w:val="Normal"/>
    <w:semiHidden/>
    <w:qFormat/>
    <w:rsid w:val="009D724B"/>
    <w:pPr>
      <w:tabs>
        <w:tab w:val="clear" w:pos="170"/>
      </w:tabs>
      <w:spacing w:after="0" w:line="200" w:lineRule="exact"/>
    </w:pPr>
    <w:rPr>
      <w:rFonts w:ascii="Times New Roman" w:eastAsia="Times New Roman" w:hAnsi="Times New Roman" w:cs="Times New Roman"/>
      <w:color w:val="AFA500" w:themeColor="accent6"/>
      <w:szCs w:val="20"/>
      <w:lang w:eastAsia="sv-SE"/>
    </w:rPr>
  </w:style>
  <w:style w:type="character" w:customStyle="1" w:styleId="Tabellplacering">
    <w:name w:val="Tabellplacering"/>
    <w:basedOn w:val="Policepardfaut"/>
    <w:uiPriority w:val="8"/>
    <w:semiHidden/>
    <w:rsid w:val="009D724B"/>
    <w:rPr>
      <w:vanish/>
      <w:lang w:val="en-US"/>
    </w:rPr>
  </w:style>
  <w:style w:type="paragraph" w:customStyle="1" w:styleId="Nyckeltal01">
    <w:name w:val="Nyckeltal 01"/>
    <w:basedOn w:val="Normal"/>
    <w:uiPriority w:val="19"/>
    <w:semiHidden/>
    <w:qFormat/>
    <w:rsid w:val="009D724B"/>
    <w:pPr>
      <w:spacing w:after="0" w:line="240" w:lineRule="auto"/>
      <w:jc w:val="center"/>
    </w:pPr>
    <w:rPr>
      <w:rFonts w:asciiTheme="majorHAnsi" w:hAnsiTheme="majorHAnsi"/>
      <w:color w:val="FFFFFF" w:themeColor="background1"/>
      <w:sz w:val="48"/>
    </w:rPr>
  </w:style>
  <w:style w:type="character" w:customStyle="1" w:styleId="Disclaimer">
    <w:name w:val="Disclaimer"/>
    <w:basedOn w:val="Policepardfaut"/>
    <w:uiPriority w:val="6"/>
    <w:semiHidden/>
    <w:rsid w:val="009D724B"/>
    <w:rPr>
      <w:lang w:val="en-GB"/>
    </w:rPr>
  </w:style>
  <w:style w:type="paragraph" w:styleId="Corpsdetexte">
    <w:name w:val="Body Text"/>
    <w:aliases w:val="Alt+B"/>
    <w:basedOn w:val="Normal"/>
    <w:link w:val="CorpsdetexteCar"/>
    <w:rsid w:val="009D724B"/>
  </w:style>
  <w:style w:type="character" w:customStyle="1" w:styleId="CorpsdetexteCar">
    <w:name w:val="Corps de texte Car"/>
    <w:aliases w:val="Alt+B Car"/>
    <w:basedOn w:val="Policepardfaut"/>
    <w:link w:val="Corpsdetexte"/>
    <w:uiPriority w:val="99"/>
    <w:semiHidden/>
    <w:rsid w:val="0070302B"/>
    <w:rPr>
      <w:color w:val="000000" w:themeColor="text1"/>
    </w:rPr>
  </w:style>
  <w:style w:type="paragraph" w:styleId="Paragraphedeliste">
    <w:name w:val="List Paragraph"/>
    <w:basedOn w:val="Normal"/>
    <w:uiPriority w:val="34"/>
    <w:semiHidden/>
    <w:rsid w:val="00D92FD9"/>
    <w:pPr>
      <w:ind w:left="720"/>
      <w:contextualSpacing/>
    </w:pPr>
  </w:style>
  <w:style w:type="paragraph" w:customStyle="1" w:styleId="Mottagare">
    <w:name w:val="Mottagare"/>
    <w:basedOn w:val="Normal"/>
    <w:uiPriority w:val="6"/>
    <w:semiHidden/>
    <w:qFormat/>
    <w:rsid w:val="00385DDB"/>
    <w:pPr>
      <w:framePr w:wrap="around" w:vAnchor="text" w:hAnchor="text" w:y="1"/>
      <w:tabs>
        <w:tab w:val="clear" w:pos="170"/>
      </w:tabs>
      <w:spacing w:after="0" w:line="240" w:lineRule="atLeast"/>
      <w:suppressOverlap/>
    </w:pPr>
    <w:rPr>
      <w:rFonts w:asciiTheme="majorHAnsi" w:hAnsiTheme="majorHAnsi"/>
      <w:sz w:val="18"/>
    </w:rPr>
  </w:style>
  <w:style w:type="paragraph" w:customStyle="1" w:styleId="Avslutningsfras">
    <w:name w:val="Avslutningsfras"/>
    <w:basedOn w:val="Normal"/>
    <w:next w:val="Avsndare"/>
    <w:uiPriority w:val="6"/>
    <w:semiHidden/>
    <w:rsid w:val="00D64557"/>
    <w:pPr>
      <w:spacing w:before="610" w:after="0"/>
    </w:pPr>
  </w:style>
  <w:style w:type="paragraph" w:customStyle="1" w:styleId="Avsndare">
    <w:name w:val="Avsändare"/>
    <w:basedOn w:val="Normal"/>
    <w:uiPriority w:val="6"/>
    <w:semiHidden/>
    <w:rsid w:val="006F5A4C"/>
    <w:rPr>
      <w:i/>
    </w:rPr>
  </w:style>
  <w:style w:type="paragraph" w:customStyle="1" w:styleId="Fotnotstext12pt">
    <w:name w:val="Fotnotstext 12 pt"/>
    <w:basedOn w:val="Normal"/>
    <w:next w:val="Normal"/>
    <w:uiPriority w:val="6"/>
    <w:semiHidden/>
    <w:qFormat/>
    <w:rsid w:val="00A11FA4"/>
    <w:pPr>
      <w:numPr>
        <w:numId w:val="31"/>
      </w:numPr>
      <w:tabs>
        <w:tab w:val="clear" w:pos="170"/>
      </w:tabs>
      <w:ind w:left="284" w:hanging="284"/>
    </w:pPr>
  </w:style>
  <w:style w:type="paragraph" w:customStyle="1" w:styleId="Dokumenttyp">
    <w:name w:val="Dokumenttyp"/>
    <w:basedOn w:val="Normal"/>
    <w:next w:val="Normal"/>
    <w:uiPriority w:val="6"/>
    <w:semiHidden/>
    <w:rsid w:val="00E301EF"/>
    <w:pPr>
      <w:tabs>
        <w:tab w:val="clear" w:pos="170"/>
      </w:tabs>
      <w:spacing w:after="0" w:line="240" w:lineRule="atLeast"/>
    </w:pPr>
    <w:rPr>
      <w:rFonts w:asciiTheme="majorHAnsi" w:hAnsiTheme="majorHAnsi"/>
      <w:sz w:val="22"/>
    </w:rPr>
  </w:style>
  <w:style w:type="character" w:styleId="Numrodepage">
    <w:name w:val="page number"/>
    <w:uiPriority w:val="99"/>
    <w:semiHidden/>
    <w:rsid w:val="00C05093"/>
  </w:style>
  <w:style w:type="paragraph" w:customStyle="1" w:styleId="Sidnr">
    <w:name w:val="Sidnr"/>
    <w:basedOn w:val="En-tte"/>
    <w:uiPriority w:val="99"/>
    <w:semiHidden/>
    <w:rsid w:val="00E301EF"/>
    <w:pPr>
      <w:jc w:val="right"/>
    </w:pPr>
  </w:style>
  <w:style w:type="paragraph" w:customStyle="1" w:styleId="Faktarutautanrubrik">
    <w:name w:val="Faktaruta utan rubrik"/>
    <w:basedOn w:val="FaktarutaTextmedrubrik"/>
    <w:uiPriority w:val="5"/>
    <w:semiHidden/>
    <w:rsid w:val="00276F9C"/>
    <w:pPr>
      <w:pBdr>
        <w:top w:val="single" w:sz="8" w:space="14" w:color="DC4912" w:themeColor="accent1"/>
      </w:pBdr>
      <w:spacing w:before="300"/>
    </w:pPr>
  </w:style>
  <w:style w:type="paragraph" w:customStyle="1" w:styleId="Tabellmellanrumefter">
    <w:name w:val="Tabell mellanrum efter"/>
    <w:basedOn w:val="Normal"/>
    <w:next w:val="Normal"/>
    <w:uiPriority w:val="99"/>
    <w:semiHidden/>
    <w:rsid w:val="004A2DB7"/>
    <w:pPr>
      <w:spacing w:after="0" w:line="240" w:lineRule="auto"/>
    </w:pPr>
    <w:rPr>
      <w:sz w:val="16"/>
      <w:szCs w:val="16"/>
    </w:rPr>
  </w:style>
  <w:style w:type="character" w:styleId="Marquedecommentaire">
    <w:name w:val="annotation reference"/>
    <w:basedOn w:val="Policepardfaut"/>
    <w:uiPriority w:val="99"/>
    <w:semiHidden/>
    <w:unhideWhenUsed/>
    <w:rsid w:val="00DF6048"/>
    <w:rPr>
      <w:sz w:val="16"/>
      <w:szCs w:val="16"/>
    </w:rPr>
  </w:style>
  <w:style w:type="character" w:styleId="Accentuation">
    <w:name w:val="Emphasis"/>
    <w:basedOn w:val="Policepardfaut"/>
    <w:uiPriority w:val="20"/>
    <w:semiHidden/>
    <w:rsid w:val="005C0C74"/>
    <w:rPr>
      <w:i/>
      <w:iCs/>
    </w:rPr>
  </w:style>
  <w:style w:type="paragraph" w:customStyle="1" w:styleId="Tabellslutrad">
    <w:name w:val="Tabell slutrad"/>
    <w:basedOn w:val="Tabelltext"/>
    <w:uiPriority w:val="99"/>
    <w:semiHidden/>
    <w:qFormat/>
    <w:rsid w:val="009041B8"/>
    <w:pPr>
      <w:spacing w:before="284"/>
    </w:pPr>
  </w:style>
  <w:style w:type="paragraph" w:customStyle="1" w:styleId="NormalIndrag">
    <w:name w:val="Normal Indrag"/>
    <w:basedOn w:val="Normal"/>
    <w:semiHidden/>
    <w:qFormat/>
    <w:rsid w:val="00A1066E"/>
    <w:pPr>
      <w:tabs>
        <w:tab w:val="clear" w:pos="170"/>
      </w:tabs>
      <w:ind w:left="737"/>
    </w:pPr>
  </w:style>
  <w:style w:type="table" w:customStyle="1" w:styleId="Grilledetableauclaire1">
    <w:name w:val="Grille de tableau claire1"/>
    <w:basedOn w:val="TableauNormal"/>
    <w:uiPriority w:val="40"/>
    <w:rsid w:val="008204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82048D"/>
    <w:rPr>
      <w:color w:val="808080"/>
    </w:rPr>
  </w:style>
  <w:style w:type="table" w:customStyle="1" w:styleId="TableauGrille1Clair-Accentuation11">
    <w:name w:val="Tableau Grille 1 Clair - Accentuation 11"/>
    <w:basedOn w:val="TableauNormal"/>
    <w:uiPriority w:val="46"/>
    <w:rsid w:val="008C2F09"/>
    <w:pPr>
      <w:spacing w:after="0" w:line="240" w:lineRule="auto"/>
    </w:pPr>
    <w:tblPr>
      <w:tblStyleRowBandSize w:val="1"/>
      <w:tblStyleColBandSize w:val="1"/>
      <w:tblBorders>
        <w:top w:val="single" w:sz="4" w:space="0" w:color="F6B39A" w:themeColor="accent1" w:themeTint="66"/>
        <w:left w:val="single" w:sz="4" w:space="0" w:color="F6B39A" w:themeColor="accent1" w:themeTint="66"/>
        <w:bottom w:val="single" w:sz="4" w:space="0" w:color="F6B39A" w:themeColor="accent1" w:themeTint="66"/>
        <w:right w:val="single" w:sz="4" w:space="0" w:color="F6B39A" w:themeColor="accent1" w:themeTint="66"/>
        <w:insideH w:val="single" w:sz="4" w:space="0" w:color="F6B39A" w:themeColor="accent1" w:themeTint="66"/>
        <w:insideV w:val="single" w:sz="4" w:space="0" w:color="F6B39A" w:themeColor="accent1" w:themeTint="66"/>
      </w:tblBorders>
    </w:tblPr>
    <w:tblStylePr w:type="firstRow">
      <w:rPr>
        <w:b/>
        <w:bCs/>
      </w:rPr>
      <w:tblPr/>
      <w:tcPr>
        <w:tcBorders>
          <w:bottom w:val="single" w:sz="12" w:space="0" w:color="F28D68" w:themeColor="accent1" w:themeTint="99"/>
        </w:tcBorders>
      </w:tcPr>
    </w:tblStylePr>
    <w:tblStylePr w:type="lastRow">
      <w:rPr>
        <w:b/>
        <w:bCs/>
      </w:rPr>
      <w:tblPr/>
      <w:tcPr>
        <w:tcBorders>
          <w:top w:val="double" w:sz="2" w:space="0" w:color="F28D68" w:themeColor="accent1" w:themeTint="99"/>
        </w:tcBorders>
      </w:tcPr>
    </w:tblStylePr>
    <w:tblStylePr w:type="firstCol">
      <w:rPr>
        <w:b/>
        <w:bCs/>
      </w:rPr>
    </w:tblStylePr>
    <w:tblStylePr w:type="lastCol">
      <w:rPr>
        <w:b/>
        <w:bCs/>
      </w:rPr>
    </w:tblStylePr>
  </w:style>
  <w:style w:type="paragraph" w:styleId="Index2">
    <w:name w:val="index 2"/>
    <w:basedOn w:val="TM2"/>
    <w:next w:val="Normal"/>
    <w:autoRedefine/>
    <w:uiPriority w:val="99"/>
    <w:semiHidden/>
    <w:rsid w:val="00F50A9D"/>
  </w:style>
  <w:style w:type="paragraph" w:styleId="Index3">
    <w:name w:val="index 3"/>
    <w:basedOn w:val="Normal"/>
    <w:next w:val="Normal"/>
    <w:autoRedefine/>
    <w:uiPriority w:val="99"/>
    <w:semiHidden/>
    <w:rsid w:val="00F50A9D"/>
    <w:pPr>
      <w:tabs>
        <w:tab w:val="clear" w:pos="170"/>
      </w:tabs>
      <w:spacing w:after="0" w:line="240" w:lineRule="auto"/>
      <w:ind w:left="720" w:hanging="240"/>
    </w:pPr>
    <w:rPr>
      <w:rFonts w:asciiTheme="majorHAnsi" w:hAnsiTheme="majorHAnsi"/>
    </w:rPr>
  </w:style>
  <w:style w:type="paragraph" w:styleId="Commentaire">
    <w:name w:val="annotation text"/>
    <w:basedOn w:val="Normal"/>
    <w:link w:val="CommentaireCar"/>
    <w:uiPriority w:val="99"/>
    <w:semiHidden/>
    <w:unhideWhenUsed/>
    <w:rsid w:val="00DF6048"/>
    <w:pPr>
      <w:spacing w:line="240" w:lineRule="auto"/>
    </w:pPr>
    <w:rPr>
      <w:sz w:val="20"/>
      <w:szCs w:val="20"/>
    </w:rPr>
  </w:style>
  <w:style w:type="character" w:customStyle="1" w:styleId="CommentaireCar">
    <w:name w:val="Commentaire Car"/>
    <w:basedOn w:val="Policepardfaut"/>
    <w:link w:val="Commentaire"/>
    <w:uiPriority w:val="99"/>
    <w:semiHidden/>
    <w:rsid w:val="00DF6048"/>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DF6048"/>
    <w:rPr>
      <w:b/>
      <w:bCs/>
    </w:rPr>
  </w:style>
  <w:style w:type="character" w:customStyle="1" w:styleId="ObjetducommentaireCar">
    <w:name w:val="Objet du commentaire Car"/>
    <w:basedOn w:val="CommentaireCar"/>
    <w:link w:val="Objetducommentaire"/>
    <w:uiPriority w:val="99"/>
    <w:semiHidden/>
    <w:rsid w:val="00DF6048"/>
    <w:rPr>
      <w:b/>
      <w:bCs/>
      <w:color w:val="000000" w:themeColor="text1"/>
      <w:sz w:val="20"/>
      <w:szCs w:val="20"/>
    </w:rPr>
  </w:style>
  <w:style w:type="paragraph" w:customStyle="1" w:styleId="Avsnittsbrytning">
    <w:name w:val="Avsnittsbrytning"/>
    <w:basedOn w:val="Normal"/>
    <w:next w:val="Normal"/>
    <w:semiHidden/>
    <w:rsid w:val="00AA57CC"/>
    <w:pPr>
      <w:spacing w:after="0" w:line="240" w:lineRule="auto"/>
    </w:pPr>
    <w:rPr>
      <w:rFonts w:eastAsiaTheme="majorEastAsia"/>
      <w:color w:val="125687" w:themeColor="accent3"/>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0792">
      <w:bodyDiv w:val="1"/>
      <w:marLeft w:val="0"/>
      <w:marRight w:val="0"/>
      <w:marTop w:val="0"/>
      <w:marBottom w:val="0"/>
      <w:divBdr>
        <w:top w:val="none" w:sz="0" w:space="0" w:color="auto"/>
        <w:left w:val="none" w:sz="0" w:space="0" w:color="auto"/>
        <w:bottom w:val="none" w:sz="0" w:space="0" w:color="auto"/>
        <w:right w:val="none" w:sz="0" w:space="0" w:color="auto"/>
      </w:divBdr>
    </w:div>
    <w:div w:id="18510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svd.se/s-redo-overge-premiepension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bir\AppData\Local\Temp\Temp1_2017-03-21%20Leverans%20(&#228;ndrad%20inneh&#229;llsf&#246;rteckning).zip\Rapportmall%20(tom)%202017-03-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9B8221EB34D3482DE1320FD2289F1"/>
        <w:category>
          <w:name w:val="Allmänt"/>
          <w:gallery w:val="placeholder"/>
        </w:category>
        <w:types>
          <w:type w:val="bbPlcHdr"/>
        </w:types>
        <w:behaviors>
          <w:behavior w:val="content"/>
        </w:behaviors>
        <w:guid w:val="{74EFBC41-80B4-4824-905F-949B1E2D90E5}"/>
      </w:docPartPr>
      <w:docPartBody>
        <w:p w:rsidR="00FA5806" w:rsidRDefault="00FA5806">
          <w:pPr>
            <w:pStyle w:val="8239B8221EB34D3482DE1320FD2289F1"/>
          </w:pPr>
          <w:r w:rsidRPr="007037CA">
            <w:rPr>
              <w:rStyle w:val="Textedelespacerserv"/>
            </w:rPr>
            <w:t>Klicka eller tryck här för att ange text.</w:t>
          </w:r>
        </w:p>
      </w:docPartBody>
    </w:docPart>
    <w:docPart>
      <w:docPartPr>
        <w:name w:val="AA39AFD43ADC4799A03021343123D7CE"/>
        <w:category>
          <w:name w:val="Allmänt"/>
          <w:gallery w:val="placeholder"/>
        </w:category>
        <w:types>
          <w:type w:val="bbPlcHdr"/>
        </w:types>
        <w:behaviors>
          <w:behavior w:val="content"/>
        </w:behaviors>
        <w:guid w:val="{24D67837-9802-4673-A498-D219D93DD718}"/>
      </w:docPartPr>
      <w:docPartBody>
        <w:p w:rsidR="00FA5806" w:rsidRDefault="00FA5806">
          <w:pPr>
            <w:pStyle w:val="AA39AFD43ADC4799A03021343123D7CE"/>
          </w:pPr>
          <w:r w:rsidRPr="007037CA">
            <w:rPr>
              <w:rStyle w:val="Textedelespacerserv"/>
            </w:rPr>
            <w:t>Klicka eller tryck här för att ange text.</w:t>
          </w:r>
        </w:p>
      </w:docPartBody>
    </w:docPart>
    <w:docPart>
      <w:docPartPr>
        <w:name w:val="59F7042D3A2241F0BAD533FF9F6D4C83"/>
        <w:category>
          <w:name w:val="Allmänt"/>
          <w:gallery w:val="placeholder"/>
        </w:category>
        <w:types>
          <w:type w:val="bbPlcHdr"/>
        </w:types>
        <w:behaviors>
          <w:behavior w:val="content"/>
        </w:behaviors>
        <w:guid w:val="{F717BFC0-0E58-4821-A271-AB6B89E27013}"/>
      </w:docPartPr>
      <w:docPartBody>
        <w:p w:rsidR="00FA5806" w:rsidRDefault="00FA5806">
          <w:pPr>
            <w:pStyle w:val="59F7042D3A2241F0BAD533FF9F6D4C83"/>
          </w:pPr>
          <w:r>
            <w:t xml:space="preserve">    </w:t>
          </w:r>
        </w:p>
      </w:docPartBody>
    </w:docPart>
    <w:docPart>
      <w:docPartPr>
        <w:name w:val="0C2B62634C104A03860F4153DF84AFAD"/>
        <w:category>
          <w:name w:val="Allmänt"/>
          <w:gallery w:val="placeholder"/>
        </w:category>
        <w:types>
          <w:type w:val="bbPlcHdr"/>
        </w:types>
        <w:behaviors>
          <w:behavior w:val="content"/>
        </w:behaviors>
        <w:guid w:val="{7CBE5161-A6F3-460E-B03E-12EFE0785A7D}"/>
      </w:docPartPr>
      <w:docPartBody>
        <w:p w:rsidR="00FA5806" w:rsidRDefault="00FA5806">
          <w:pPr>
            <w:pStyle w:val="0C2B62634C104A03860F4153DF84AFAD"/>
          </w:pPr>
          <w:r w:rsidRPr="007037CA">
            <w:rPr>
              <w:rStyle w:val="Textedelespacerserv"/>
            </w:rPr>
            <w:t>Klicka eller tryck här för att ange text.</w:t>
          </w:r>
        </w:p>
      </w:docPartBody>
    </w:docPart>
    <w:docPart>
      <w:docPartPr>
        <w:name w:val="A77A8AC4534E48F4841DB64FB0391DF5"/>
        <w:category>
          <w:name w:val="Allmänt"/>
          <w:gallery w:val="placeholder"/>
        </w:category>
        <w:types>
          <w:type w:val="bbPlcHdr"/>
        </w:types>
        <w:behaviors>
          <w:behavior w:val="content"/>
        </w:behaviors>
        <w:guid w:val="{3363CF6B-E37E-42CD-B1B3-70E211A5AF4E}"/>
      </w:docPartPr>
      <w:docPartBody>
        <w:p w:rsidR="00FA5806" w:rsidRDefault="00FA5806">
          <w:pPr>
            <w:pStyle w:val="A77A8AC4534E48F4841DB64FB0391DF5"/>
          </w:pPr>
          <w:r>
            <w:t xml:space="preserve">    </w:t>
          </w:r>
        </w:p>
      </w:docPartBody>
    </w:docPart>
    <w:docPart>
      <w:docPartPr>
        <w:name w:val="EF41270E3663446A841321EFE8BDC80A"/>
        <w:category>
          <w:name w:val="Allmänt"/>
          <w:gallery w:val="placeholder"/>
        </w:category>
        <w:types>
          <w:type w:val="bbPlcHdr"/>
        </w:types>
        <w:behaviors>
          <w:behavior w:val="content"/>
        </w:behaviors>
        <w:guid w:val="{26D03E48-A80F-4616-9140-478E467B96CB}"/>
      </w:docPartPr>
      <w:docPartBody>
        <w:p w:rsidR="00FA5806" w:rsidRDefault="00FA5806">
          <w:pPr>
            <w:pStyle w:val="EF41270E3663446A841321EFE8BDC80A"/>
          </w:pPr>
          <w:r w:rsidRPr="007037CA">
            <w:rPr>
              <w:rStyle w:val="Textedelespacerserv"/>
            </w:rPr>
            <w:t>Klicka eller tryck här för att ange text.</w:t>
          </w:r>
        </w:p>
      </w:docPartBody>
    </w:docPart>
    <w:docPart>
      <w:docPartPr>
        <w:name w:val="AB9E7B1EEF2B470797F321E0503925F4"/>
        <w:category>
          <w:name w:val="Allmänt"/>
          <w:gallery w:val="placeholder"/>
        </w:category>
        <w:types>
          <w:type w:val="bbPlcHdr"/>
        </w:types>
        <w:behaviors>
          <w:behavior w:val="content"/>
        </w:behaviors>
        <w:guid w:val="{CE38ACA3-762D-4EA8-A9CA-89A18F308B43}"/>
      </w:docPartPr>
      <w:docPartBody>
        <w:p w:rsidR="00FA5806" w:rsidRDefault="00FA5806">
          <w:pPr>
            <w:pStyle w:val="AB9E7B1EEF2B470797F321E0503925F4"/>
          </w:pPr>
          <w:r w:rsidRPr="007037CA">
            <w:rPr>
              <w:rStyle w:val="Textedelespacerserv"/>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ensio Sans Normal">
    <w:altName w:val="Arial"/>
    <w:panose1 w:val="00000000000000000000"/>
    <w:charset w:val="00"/>
    <w:family w:val="modern"/>
    <w:notTrueType/>
    <w:pitch w:val="variable"/>
    <w:sig w:usb0="00000001"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tane">
    <w:altName w:val="Cambria Math"/>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oSansPro-Medium">
    <w:altName w:val="Times New Roman"/>
    <w:panose1 w:val="00000000000000000000"/>
    <w:charset w:val="00"/>
    <w:family w:val="auto"/>
    <w:notTrueType/>
    <w:pitch w:val="default"/>
    <w:sig w:usb0="00000003" w:usb1="00000000" w:usb2="00000000" w:usb3="00000000" w:csb0="00000001" w:csb1="00000000"/>
  </w:font>
  <w:font w:name="NeoSansPro-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6"/>
    <w:rsid w:val="000C17EE"/>
    <w:rsid w:val="002A4AD0"/>
    <w:rsid w:val="00EA3BC9"/>
    <w:rsid w:val="00F321A3"/>
    <w:rsid w:val="00FA58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8239B8221EB34D3482DE1320FD2289F1">
    <w:name w:val="8239B8221EB34D3482DE1320FD2289F1"/>
  </w:style>
  <w:style w:type="paragraph" w:customStyle="1" w:styleId="AA39AFD43ADC4799A03021343123D7CE">
    <w:name w:val="AA39AFD43ADC4799A03021343123D7CE"/>
  </w:style>
  <w:style w:type="paragraph" w:customStyle="1" w:styleId="59F7042D3A2241F0BAD533FF9F6D4C83">
    <w:name w:val="59F7042D3A2241F0BAD533FF9F6D4C83"/>
  </w:style>
  <w:style w:type="paragraph" w:customStyle="1" w:styleId="0C2B62634C104A03860F4153DF84AFAD">
    <w:name w:val="0C2B62634C104A03860F4153DF84AFAD"/>
  </w:style>
  <w:style w:type="paragraph" w:customStyle="1" w:styleId="A77A8AC4534E48F4841DB64FB0391DF5">
    <w:name w:val="A77A8AC4534E48F4841DB64FB0391DF5"/>
  </w:style>
  <w:style w:type="paragraph" w:customStyle="1" w:styleId="EF41270E3663446A841321EFE8BDC80A">
    <w:name w:val="EF41270E3663446A841321EFE8BDC80A"/>
  </w:style>
  <w:style w:type="paragraph" w:customStyle="1" w:styleId="AB9E7B1EEF2B470797F321E0503925F4">
    <w:name w:val="AB9E7B1EEF2B470797F321E0503925F4"/>
  </w:style>
  <w:style w:type="paragraph" w:customStyle="1" w:styleId="22F18319514C4CA89D2AE500FB880148">
    <w:name w:val="22F18319514C4CA89D2AE500FB880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Pensionsmyndigheten_Orange_Colors">
      <a:dk1>
        <a:srgbClr val="000000"/>
      </a:dk1>
      <a:lt1>
        <a:srgbClr val="FFFFFF"/>
      </a:lt1>
      <a:dk2>
        <a:srgbClr val="000000"/>
      </a:dk2>
      <a:lt2>
        <a:srgbClr val="FFFFFF"/>
      </a:lt2>
      <a:accent1>
        <a:srgbClr val="DC4912"/>
      </a:accent1>
      <a:accent2>
        <a:srgbClr val="FFB70F"/>
      </a:accent2>
      <a:accent3>
        <a:srgbClr val="125687"/>
      </a:accent3>
      <a:accent4>
        <a:srgbClr val="EF8200"/>
      </a:accent4>
      <a:accent5>
        <a:srgbClr val="870150"/>
      </a:accent5>
      <a:accent6>
        <a:srgbClr val="AFA500"/>
      </a:accent6>
      <a:hlink>
        <a:srgbClr val="000000"/>
      </a:hlink>
      <a:folHlink>
        <a:srgbClr val="000000"/>
      </a:folHlink>
    </a:clrScheme>
    <a:fontScheme name="Pensionsmyndigheten_Fonts">
      <a:majorFont>
        <a:latin typeface="Pensio Sans Norm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orange">
      <a:srgbClr val="D54C16"/>
    </a:custClr>
    <a:custClr name="gladorange">
      <a:srgbClr val="EF8200"/>
    </a:custClr>
    <a:custClr>
      <a:srgbClr val="FFFFFF"/>
    </a:custClr>
    <a:custClr>
      <a:srgbClr val="FFFFFF"/>
    </a:custClr>
    <a:custClr name="mörkgul">
      <a:srgbClr val="FFB70F"/>
    </a:custClr>
    <a:custClr name="ljusgul">
      <a:srgbClr val="F6CF47"/>
    </a:custClr>
    <a:custClr>
      <a:srgbClr val="FFFFFF"/>
    </a:custClr>
    <a:custClr>
      <a:srgbClr val="FFFFFF"/>
    </a:custClr>
    <a:custClr name="mörkröd">
      <a:srgbClr val="AC1A2F"/>
    </a:custClr>
    <a:custClr name="ljusröd">
      <a:srgbClr val="D53044"/>
    </a:custClr>
    <a:custClr name="mörkorange 80%">
      <a:srgbClr val="EF6734"/>
    </a:custClr>
    <a:custClr name="gladorange 80%">
      <a:srgbClr val="FF9C24"/>
    </a:custClr>
    <a:custClr>
      <a:srgbClr val="FFFFFF"/>
    </a:custClr>
    <a:custClr>
      <a:srgbClr val="FFFFFF"/>
    </a:custClr>
    <a:custClr name="mörklila">
      <a:srgbClr val="870150"/>
    </a:custClr>
    <a:custClr name="rosalila">
      <a:srgbClr val="C42695"/>
    </a:custClr>
    <a:custClr>
      <a:srgbClr val="FFFFFF"/>
    </a:custClr>
    <a:custClr>
      <a:srgbClr val="FFFFFF"/>
    </a:custClr>
    <a:custClr name="mörkgrön">
      <a:srgbClr val="545F1D"/>
    </a:custClr>
    <a:custClr name="ljusgrön">
      <a:srgbClr val="AFA500"/>
    </a:custClr>
    <a:custClr name="mörkorange 60%">
      <a:srgbClr val="F28E68"/>
    </a:custClr>
    <a:custClr name="gladorange 60%">
      <a:srgbClr val="FFB65B"/>
    </a:custClr>
    <a:custClr>
      <a:srgbClr val="FFFFFF"/>
    </a:custClr>
    <a:custClr>
      <a:srgbClr val="FFFFFF"/>
    </a:custClr>
    <a:custClr name="mörkblå">
      <a:srgbClr val="125687"/>
    </a:custClr>
    <a:custClr name="ljusblå">
      <a:srgbClr val="5EB0E6"/>
    </a:custClr>
    <a:custClr>
      <a:srgbClr val="FFFFFF"/>
    </a:custClr>
    <a:custClr>
      <a:srgbClr val="FFFFFF"/>
    </a:custClr>
    <a:custClr name="mörkgrå">
      <a:srgbClr val="766A63"/>
    </a:custClr>
    <a:custClr name="ljusgrå">
      <a:srgbClr val="B9B1A9"/>
    </a:custClr>
    <a:custClr name="mörkorange 40%">
      <a:srgbClr val="F7B399"/>
    </a:custClr>
    <a:custClr name="gladorange 40%">
      <a:srgbClr val="FFCD91"/>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mörkorange 20%">
      <a:srgbClr val="FBD9CC"/>
    </a:custClr>
    <a:custClr name="gladorange 20%">
      <a:srgbClr val="FFE7C8"/>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3EF6-E4BB-4060-9C08-631B53BC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 (tom) 2017-03-21</Template>
  <TotalTime>0</TotalTime>
  <Pages>4</Pages>
  <Words>5608</Words>
  <Characters>30845</Characters>
  <Application>Microsoft Office Word</Application>
  <DocSecurity>0</DocSecurity>
  <Lines>257</Lines>
  <Paragraphs>72</Paragraphs>
  <ScaleCrop>false</ScaleCrop>
  <HeadingPairs>
    <vt:vector size="8" baseType="variant">
      <vt:variant>
        <vt:lpstr>Titre</vt:lpstr>
      </vt:variant>
      <vt:variant>
        <vt:i4>1</vt:i4>
      </vt:variant>
      <vt:variant>
        <vt:lpstr>Rubrik</vt:lpstr>
      </vt:variant>
      <vt:variant>
        <vt:i4>1</vt:i4>
      </vt:variant>
      <vt:variant>
        <vt:lpstr>Title</vt:lpstr>
      </vt:variant>
      <vt:variant>
        <vt:i4>1</vt:i4>
      </vt:variant>
      <vt:variant>
        <vt:lpstr>Headings</vt:lpstr>
      </vt:variant>
      <vt:variant>
        <vt:i4>8</vt:i4>
      </vt:variant>
    </vt:vector>
  </HeadingPairs>
  <TitlesOfParts>
    <vt:vector size="11" baseType="lpstr">
      <vt:lpstr/>
      <vt:lpstr/>
      <vt:lpstr/>
      <vt:lpstr>[Rubrik 1]</vt:lpstr>
      <vt:lpstr>    [Rubrik 2]</vt:lpstr>
      <vt:lpstr>        [Rubrik 3]</vt:lpstr>
      <vt:lpstr>[Rubrik 1#]</vt:lpstr>
      <vt:lpstr>    [Rubrik 2#]</vt:lpstr>
      <vt:lpstr>        [Rubrik 3#]</vt:lpstr>
      <vt:lpstr>[Kapitelrubrik]</vt:lpstr>
      <vt:lpstr>Referenser</vt:lpstr>
    </vt:vector>
  </TitlesOfParts>
  <Company>Microsoft</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Birkholz</dc:creator>
  <cp:keywords/>
  <dc:description/>
  <cp:lastModifiedBy>Jean-Victor Gruat</cp:lastModifiedBy>
  <cp:revision>2</cp:revision>
  <cp:lastPrinted>2017-04-28T08:33:00Z</cp:lastPrinted>
  <dcterms:created xsi:type="dcterms:W3CDTF">2017-09-13T03:11:00Z</dcterms:created>
  <dcterms:modified xsi:type="dcterms:W3CDTF">2017-09-13T03:11:00Z</dcterms:modified>
</cp:coreProperties>
</file>