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5B88" w14:textId="77777777" w:rsidR="00F05280" w:rsidRDefault="0014383B" w:rsidP="00F05280">
      <w:pPr>
        <w:spacing w:after="0" w:line="240" w:lineRule="auto"/>
        <w:ind w:left="2835"/>
        <w:jc w:val="center"/>
        <w:rPr>
          <w:b/>
          <w:lang w:val="en-US"/>
        </w:rPr>
      </w:pPr>
      <w:r w:rsidRPr="007B4B18">
        <w:rPr>
          <w:rFonts w:eastAsia="MS Gothic" w:cs="MS Gothic"/>
          <w:b/>
          <w:noProof/>
          <w:sz w:val="20"/>
          <w:lang w:val="en-US"/>
        </w:rPr>
        <w:drawing>
          <wp:anchor distT="0" distB="0" distL="114300" distR="114300" simplePos="0" relativeHeight="251668480" behindDoc="0" locked="0" layoutInCell="1" allowOverlap="1" wp14:anchorId="2CFC9292" wp14:editId="1FDA0598">
            <wp:simplePos x="0" y="0"/>
            <wp:positionH relativeFrom="column">
              <wp:posOffset>0</wp:posOffset>
            </wp:positionH>
            <wp:positionV relativeFrom="paragraph">
              <wp:posOffset>-406400</wp:posOffset>
            </wp:positionV>
            <wp:extent cx="1474470" cy="1270635"/>
            <wp:effectExtent l="0" t="0" r="0" b="0"/>
            <wp:wrapTight wrapText="bothSides">
              <wp:wrapPolygon edited="0">
                <wp:start x="0" y="0"/>
                <wp:lineTo x="0" y="21157"/>
                <wp:lineTo x="21209" y="21157"/>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474470" cy="1270635"/>
                    </a:xfrm>
                    <a:prstGeom prst="rect">
                      <a:avLst/>
                    </a:prstGeom>
                  </pic:spPr>
                </pic:pic>
              </a:graphicData>
            </a:graphic>
            <wp14:sizeRelH relativeFrom="page">
              <wp14:pctWidth>0</wp14:pctWidth>
            </wp14:sizeRelH>
            <wp14:sizeRelV relativeFrom="page">
              <wp14:pctHeight>0</wp14:pctHeight>
            </wp14:sizeRelV>
          </wp:anchor>
        </w:drawing>
      </w:r>
      <w:r w:rsidR="007165A2" w:rsidRPr="007165A2">
        <w:rPr>
          <w:b/>
          <w:lang w:val="en-US"/>
        </w:rPr>
        <w:t xml:space="preserve"> </w:t>
      </w:r>
      <w:r w:rsidR="007165A2">
        <w:rPr>
          <w:b/>
          <w:lang w:val="en-US"/>
        </w:rPr>
        <w:t xml:space="preserve">TOWARDS FAIR, AFFORDABLE AND ADEQUATE PENSIONS - PARAMETRIC REFORM AND REDISTRIBUTION </w:t>
      </w:r>
    </w:p>
    <w:p w14:paraId="4E50B020" w14:textId="426E526A" w:rsidR="003134AE" w:rsidRDefault="007165A2" w:rsidP="007165A2">
      <w:pPr>
        <w:ind w:left="2835"/>
        <w:jc w:val="center"/>
        <w:rPr>
          <w:b/>
          <w:lang w:val="en-US"/>
        </w:rPr>
      </w:pPr>
      <w:r>
        <w:rPr>
          <w:b/>
          <w:lang w:val="en-US"/>
        </w:rPr>
        <w:t>THROUGH PUBLIC PENSION SCHEMES</w:t>
      </w:r>
    </w:p>
    <w:p w14:paraId="51DE7A57" w14:textId="5AE4CA85" w:rsidR="007165A2" w:rsidRDefault="007165A2" w:rsidP="007165A2">
      <w:pPr>
        <w:spacing w:after="0" w:line="240" w:lineRule="auto"/>
        <w:ind w:left="2835"/>
        <w:jc w:val="center"/>
        <w:rPr>
          <w:b/>
          <w:lang w:val="en-US"/>
        </w:rPr>
      </w:pPr>
      <w:r w:rsidRPr="00121BC7">
        <w:rPr>
          <w:rFonts w:eastAsia="MS Gothic" w:cs="MS Gothic"/>
          <w:noProof/>
          <w:sz w:val="32"/>
          <w:szCs w:val="32"/>
          <w:lang w:val="en-US"/>
        </w:rPr>
        <mc:AlternateContent>
          <mc:Choice Requires="wps">
            <w:drawing>
              <wp:anchor distT="0" distB="0" distL="114300" distR="114300" simplePos="0" relativeHeight="251664384" behindDoc="0" locked="0" layoutInCell="1" allowOverlap="1" wp14:anchorId="564FDF9C" wp14:editId="5F897815">
                <wp:simplePos x="0" y="0"/>
                <wp:positionH relativeFrom="column">
                  <wp:posOffset>-1509395</wp:posOffset>
                </wp:positionH>
                <wp:positionV relativeFrom="page">
                  <wp:posOffset>1776095</wp:posOffset>
                </wp:positionV>
                <wp:extent cx="1257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93E7C4" w14:textId="77777777" w:rsidR="00B81D14" w:rsidRPr="003142B1" w:rsidRDefault="00B81D14">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8.8pt;margin-top:139.85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8Mm80CAAAO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ZLw/HZKAUTBdso&#10;H05AhvDJy21jnf/EtERBKLEF7iKkZHPjfOfau4THlJ43QkT+hHqlgJidhsUG6G6TAjIBMXiGnCI5&#10;z7Px2bA6G08Gp9U4G+RZej6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" filled="f" stroked="f">
                <v:textbox>
                  <w:txbxContent>
                    <w:p w14:paraId="7793E7C4" w14:textId="77777777" w:rsidR="00B81D14" w:rsidRPr="003142B1" w:rsidRDefault="00B81D14">
                      <w:pPr>
                        <w:rPr>
                          <w:b/>
                          <w:sz w:val="28"/>
                          <w:szCs w:val="28"/>
                        </w:rPr>
                      </w:pPr>
                      <w:r w:rsidRPr="003142B1">
                        <w:rPr>
                          <w:b/>
                          <w:sz w:val="28"/>
                          <w:szCs w:val="28"/>
                        </w:rPr>
                        <w:t>Component 1</w:t>
                      </w:r>
                    </w:p>
                  </w:txbxContent>
                </v:textbox>
                <w10:wrap type="square" anchory="page"/>
              </v:shape>
            </w:pict>
          </mc:Fallback>
        </mc:AlternateContent>
      </w:r>
      <w:r>
        <w:rPr>
          <w:b/>
          <w:lang w:val="en-US"/>
        </w:rPr>
        <w:t>INTERNATIONAL WORKSHOP</w:t>
      </w:r>
    </w:p>
    <w:p w14:paraId="37D0A8B4" w14:textId="7E12BE88" w:rsidR="007165A2" w:rsidRDefault="007165A2" w:rsidP="007165A2">
      <w:pPr>
        <w:spacing w:after="0" w:line="240" w:lineRule="auto"/>
        <w:ind w:left="2835"/>
        <w:jc w:val="center"/>
        <w:rPr>
          <w:b/>
          <w:lang w:val="en-US"/>
        </w:rPr>
      </w:pPr>
      <w:r>
        <w:rPr>
          <w:b/>
          <w:lang w:val="en-US"/>
        </w:rPr>
        <w:t>PARIS, 14 SEPTEMBER 2017</w:t>
      </w:r>
    </w:p>
    <w:p w14:paraId="328231A3" w14:textId="77777777" w:rsidR="007165A2" w:rsidRPr="00B81D14" w:rsidRDefault="007165A2" w:rsidP="007165A2">
      <w:pPr>
        <w:spacing w:after="0" w:line="240" w:lineRule="auto"/>
        <w:ind w:left="2835"/>
        <w:jc w:val="center"/>
        <w:rPr>
          <w:b/>
          <w:sz w:val="16"/>
          <w:szCs w:val="16"/>
          <w:lang w:val="en-US"/>
        </w:rPr>
      </w:pPr>
    </w:p>
    <w:p w14:paraId="0F5F68F1" w14:textId="77777777" w:rsidR="007165A2" w:rsidRDefault="007165A2" w:rsidP="007165A2">
      <w:pPr>
        <w:spacing w:after="0" w:line="240" w:lineRule="auto"/>
        <w:ind w:left="2835"/>
        <w:jc w:val="center"/>
        <w:rPr>
          <w:b/>
          <w:lang w:val="en-US"/>
        </w:rPr>
        <w:sectPr w:rsidR="007165A2" w:rsidSect="00B81D14">
          <w:headerReference w:type="default" r:id="rId10"/>
          <w:pgSz w:w="11906" w:h="16838"/>
          <w:pgMar w:top="-1418" w:right="1418" w:bottom="993" w:left="1418" w:header="709" w:footer="709" w:gutter="0"/>
          <w:pgNumType w:start="1"/>
          <w:cols w:space="708"/>
          <w:docGrid w:linePitch="360"/>
        </w:sectPr>
      </w:pPr>
      <w:bookmarkStart w:id="0" w:name="_GoBack"/>
      <w:bookmarkEnd w:id="0"/>
    </w:p>
    <w:p w14:paraId="47B719AC" w14:textId="1A0D681A" w:rsidR="007165A2" w:rsidRPr="00B81D14" w:rsidRDefault="007165A2" w:rsidP="007165A2">
      <w:pPr>
        <w:spacing w:after="0" w:line="240" w:lineRule="auto"/>
        <w:ind w:left="2835"/>
        <w:jc w:val="center"/>
        <w:rPr>
          <w:b/>
          <w:sz w:val="16"/>
          <w:szCs w:val="16"/>
          <w:lang w:val="en-US"/>
        </w:rPr>
      </w:pPr>
    </w:p>
    <w:p w14:paraId="1FBC68CE" w14:textId="77777777" w:rsidR="007165A2" w:rsidRDefault="007165A2" w:rsidP="007165A2">
      <w:pPr>
        <w:spacing w:after="0" w:line="240" w:lineRule="auto"/>
        <w:ind w:left="2835"/>
        <w:jc w:val="center"/>
        <w:rPr>
          <w:b/>
          <w:lang w:val="en-US"/>
        </w:rPr>
        <w:sectPr w:rsidR="007165A2" w:rsidSect="007165A2">
          <w:type w:val="continuous"/>
          <w:pgSz w:w="11906" w:h="16838"/>
          <w:pgMar w:top="-1418" w:right="1418" w:bottom="1890" w:left="1418" w:header="709" w:footer="709" w:gutter="0"/>
          <w:pgNumType w:start="1"/>
          <w:cols w:space="708"/>
          <w:docGrid w:linePitch="360"/>
        </w:sectPr>
      </w:pPr>
    </w:p>
    <w:p w14:paraId="142102A9" w14:textId="55C82478" w:rsidR="00121BC7" w:rsidRDefault="007165A2" w:rsidP="007165A2">
      <w:pPr>
        <w:spacing w:after="120"/>
        <w:jc w:val="center"/>
        <w:rPr>
          <w:b/>
          <w:sz w:val="32"/>
          <w:szCs w:val="32"/>
          <w:lang w:val="en-US"/>
        </w:rPr>
      </w:pPr>
      <w:r>
        <w:rPr>
          <w:b/>
          <w:sz w:val="32"/>
          <w:szCs w:val="32"/>
          <w:lang w:val="en-US"/>
        </w:rPr>
        <w:lastRenderedPageBreak/>
        <w:t>BACKGROUND NOTE</w:t>
      </w:r>
    </w:p>
    <w:p w14:paraId="5A49A191" w14:textId="6918A1EB" w:rsidR="007165A2" w:rsidRPr="00B81D14" w:rsidRDefault="007165A2" w:rsidP="00B81D14">
      <w:pPr>
        <w:pStyle w:val="ListParagraph"/>
        <w:numPr>
          <w:ilvl w:val="0"/>
          <w:numId w:val="5"/>
        </w:numPr>
        <w:spacing w:after="120"/>
        <w:jc w:val="both"/>
        <w:rPr>
          <w:lang w:val="en-US"/>
        </w:rPr>
      </w:pPr>
      <w:r w:rsidRPr="00B81D14">
        <w:rPr>
          <w:lang w:val="en-US"/>
        </w:rPr>
        <w:t xml:space="preserve">As part of its </w:t>
      </w:r>
      <w:r w:rsidR="00F05280" w:rsidRPr="00B81D14">
        <w:rPr>
          <w:lang w:val="en-US"/>
        </w:rPr>
        <w:t>2017 Programme</w:t>
      </w:r>
      <w:r w:rsidRPr="00B81D14">
        <w:rPr>
          <w:lang w:val="en-US"/>
        </w:rPr>
        <w:t xml:space="preserve"> of activities, the Component One of the EU-China Social protection reform project has undertaken, with its main partner, the Chinese National Development and Reform Commission, to conduct detailed analysis on the envisaged parametric reforms of the public pension system in China. This analysis would be based on works of eminent Chinese experts, confronted notably to recent parametric reforms in a number of European countries as described by respective national experts. It was also decided to conduct a separate analysis of the redistributive effect of envisaged parametric reforms in China, so that the Government </w:t>
      </w:r>
      <w:r w:rsidR="00F05280" w:rsidRPr="00B81D14">
        <w:rPr>
          <w:lang w:val="en-US"/>
        </w:rPr>
        <w:t>receives</w:t>
      </w:r>
      <w:r w:rsidRPr="00B81D14">
        <w:rPr>
          <w:lang w:val="en-US"/>
        </w:rPr>
        <w:t xml:space="preserve"> all appropriate conclusions and recommendations from the Project on the parametric reforms it is in the process of considering.</w:t>
      </w:r>
    </w:p>
    <w:p w14:paraId="3A265350" w14:textId="4473B3A4" w:rsidR="007165A2" w:rsidRPr="00B81D14" w:rsidRDefault="007165A2" w:rsidP="00B81D14">
      <w:pPr>
        <w:pStyle w:val="ListParagraph"/>
        <w:numPr>
          <w:ilvl w:val="0"/>
          <w:numId w:val="5"/>
        </w:numPr>
        <w:spacing w:after="120"/>
        <w:jc w:val="both"/>
        <w:rPr>
          <w:lang w:val="en-US"/>
        </w:rPr>
      </w:pPr>
      <w:r w:rsidRPr="00B81D14">
        <w:rPr>
          <w:lang w:val="en-US"/>
        </w:rPr>
        <w:t>Prof. Zhou Hong, Prof. Li Shi and their teams were in charge of conducting the analysis and simulation from the Chinese side. From the European side, experts from the Czech Republic, France, Germany, Italy, Poland and Sweden contributed national reports. While ad hoc documentation was also received from Finland and from Sweden.</w:t>
      </w:r>
    </w:p>
    <w:p w14:paraId="3B5EF1EC" w14:textId="248F4558" w:rsidR="007165A2" w:rsidRPr="00B81D14" w:rsidRDefault="007165A2" w:rsidP="00B81D14">
      <w:pPr>
        <w:pStyle w:val="ListParagraph"/>
        <w:numPr>
          <w:ilvl w:val="0"/>
          <w:numId w:val="5"/>
        </w:numPr>
        <w:spacing w:after="120"/>
        <w:jc w:val="both"/>
        <w:rPr>
          <w:lang w:val="en-US"/>
        </w:rPr>
      </w:pPr>
      <w:r w:rsidRPr="00B81D14">
        <w:rPr>
          <w:lang w:val="en-US"/>
        </w:rPr>
        <w:t xml:space="preserve">In a first round of discussions, national Chinese and European experts could exchange over a week in China at the end of </w:t>
      </w:r>
      <w:r w:rsidR="00F05280" w:rsidRPr="00B81D14">
        <w:rPr>
          <w:lang w:val="en-US"/>
        </w:rPr>
        <w:t>August</w:t>
      </w:r>
      <w:r w:rsidRPr="00B81D14">
        <w:rPr>
          <w:lang w:val="en-US"/>
        </w:rPr>
        <w:t xml:space="preserve"> 2017 on their respective analysis, findings, and experiences. The present workshop represents therefore the second step in this collaborative process where, in addition to the afore mentioned experts, specialists, academics and decision makers from the European Union, the OECD, and more academic circles will join in the debate.</w:t>
      </w:r>
    </w:p>
    <w:p w14:paraId="07319A60" w14:textId="208ABC3C" w:rsidR="007165A2" w:rsidRPr="00B81D14" w:rsidRDefault="007165A2" w:rsidP="00B81D14">
      <w:pPr>
        <w:pStyle w:val="ListParagraph"/>
        <w:numPr>
          <w:ilvl w:val="0"/>
          <w:numId w:val="5"/>
        </w:numPr>
        <w:spacing w:after="120"/>
        <w:jc w:val="both"/>
        <w:rPr>
          <w:lang w:val="en-US"/>
        </w:rPr>
      </w:pPr>
      <w:r w:rsidRPr="00B81D14">
        <w:rPr>
          <w:lang w:val="en-US"/>
        </w:rPr>
        <w:t xml:space="preserve">It is expected that, at the end of the International workshop, the Chinese side will have gained an even </w:t>
      </w:r>
      <w:r w:rsidR="00F05280" w:rsidRPr="00B81D14">
        <w:rPr>
          <w:lang w:val="en-US"/>
        </w:rPr>
        <w:t>clearer</w:t>
      </w:r>
      <w:r w:rsidRPr="00B81D14">
        <w:rPr>
          <w:lang w:val="en-US"/>
        </w:rPr>
        <w:t xml:space="preserve"> version of the possible contents and consequences of envisaged parametric reform, so that it may deliver a sound advice to the highest national authorities.</w:t>
      </w:r>
    </w:p>
    <w:p w14:paraId="56B3FC1B" w14:textId="600C9292" w:rsidR="00B81D14" w:rsidRPr="00B81D14" w:rsidRDefault="007165A2" w:rsidP="00B81D14">
      <w:pPr>
        <w:pStyle w:val="ListParagraph"/>
        <w:numPr>
          <w:ilvl w:val="0"/>
          <w:numId w:val="5"/>
        </w:numPr>
        <w:spacing w:after="120"/>
        <w:jc w:val="both"/>
        <w:rPr>
          <w:lang w:val="en-US"/>
        </w:rPr>
      </w:pPr>
      <w:r w:rsidRPr="00B81D14">
        <w:rPr>
          <w:lang w:val="en-US"/>
        </w:rPr>
        <w:t>As for the European side, it will have gained a first-hand in-depth knowledge of the Chinese pension reform process in the making, and will have sharpened the analysis of its own s</w:t>
      </w:r>
      <w:r w:rsidR="00B81D14">
        <w:rPr>
          <w:lang w:val="en-US"/>
        </w:rPr>
        <w:t xml:space="preserve">ituation, through confrontation </w:t>
      </w:r>
      <w:r w:rsidR="00B81D14" w:rsidRPr="00B81D14">
        <w:rPr>
          <w:lang w:val="en-US"/>
        </w:rPr>
        <w:t>and exchanges with a number of Chinese and other partners.</w:t>
      </w:r>
    </w:p>
    <w:p w14:paraId="3A6527BA" w14:textId="0300C2FF" w:rsidR="00B81D14" w:rsidRPr="00B81D14" w:rsidRDefault="00B81D14" w:rsidP="00B81D14">
      <w:pPr>
        <w:pStyle w:val="ListParagraph"/>
        <w:numPr>
          <w:ilvl w:val="0"/>
          <w:numId w:val="5"/>
        </w:numPr>
        <w:spacing w:after="120"/>
        <w:jc w:val="both"/>
        <w:rPr>
          <w:lang w:val="en-US"/>
        </w:rPr>
      </w:pPr>
      <w:r w:rsidRPr="00B81D14">
        <w:rPr>
          <w:lang w:val="en-US"/>
        </w:rPr>
        <w:t>The EU-China Social protection reform project Component One is part of a four years cooperative effort in partnership with Chinese stakeholder, where the European side is composed of institutions from seven countries under the coordination of the National Institute for Social Security, INPS, from Italy. As for the Component One – Support to policy formulation, in partnership with NDRC – its responsibility is incumbent upon Expertise France.</w:t>
      </w:r>
      <w:r>
        <w:rPr>
          <w:lang w:val="en-US"/>
        </w:rPr>
        <w:t xml:space="preserve"> </w:t>
      </w:r>
      <w:r w:rsidRPr="00B81D14">
        <w:rPr>
          <w:lang w:val="en-US"/>
        </w:rPr>
        <w:t xml:space="preserve">Project activities are reported in its bilingual website, </w:t>
      </w:r>
      <w:hyperlink r:id="rId11" w:history="1">
        <w:r w:rsidRPr="00B81D14">
          <w:rPr>
            <w:rStyle w:val="Hyperlink"/>
            <w:lang w:val="en-US"/>
          </w:rPr>
          <w:t>http://www.euch</w:t>
        </w:r>
        <w:r w:rsidRPr="00B81D14">
          <w:rPr>
            <w:rStyle w:val="Hyperlink"/>
            <w:lang w:val="en-US"/>
          </w:rPr>
          <w:t>i</w:t>
        </w:r>
        <w:r w:rsidRPr="00B81D14">
          <w:rPr>
            <w:rStyle w:val="Hyperlink"/>
            <w:lang w:val="en-US"/>
          </w:rPr>
          <w:t>nasprp.eu</w:t>
        </w:r>
      </w:hyperlink>
      <w:proofErr w:type="gramStart"/>
      <w:r w:rsidRPr="00B81D14">
        <w:rPr>
          <w:lang w:val="en-US"/>
        </w:rPr>
        <w:t xml:space="preserve"> .</w:t>
      </w:r>
      <w:proofErr w:type="gramEnd"/>
    </w:p>
    <w:p w14:paraId="5A29C06B" w14:textId="77777777" w:rsidR="00B81D14" w:rsidRPr="00B81D14" w:rsidRDefault="00B81D14" w:rsidP="00B81D14">
      <w:pPr>
        <w:spacing w:after="0" w:line="240" w:lineRule="auto"/>
        <w:rPr>
          <w:sz w:val="16"/>
          <w:szCs w:val="16"/>
          <w:lang w:val="en-US"/>
        </w:rPr>
      </w:pPr>
    </w:p>
    <w:p w14:paraId="0EC7B598" w14:textId="77777777" w:rsidR="00B81D14" w:rsidRPr="00B81D14" w:rsidRDefault="00B81D14" w:rsidP="00B81D14">
      <w:pPr>
        <w:spacing w:after="0" w:line="240" w:lineRule="auto"/>
        <w:jc w:val="right"/>
        <w:rPr>
          <w:lang w:val="en-US"/>
        </w:rPr>
      </w:pPr>
      <w:r w:rsidRPr="00B81D14">
        <w:rPr>
          <w:lang w:val="en-US"/>
        </w:rPr>
        <w:t>Laurent de Lespinay,</w:t>
      </w:r>
    </w:p>
    <w:p w14:paraId="54CDE838" w14:textId="77777777" w:rsidR="00B81D14" w:rsidRPr="00B81D14" w:rsidRDefault="00B81D14" w:rsidP="00B81D14">
      <w:pPr>
        <w:spacing w:after="0" w:line="240" w:lineRule="auto"/>
        <w:jc w:val="right"/>
        <w:rPr>
          <w:lang w:val="en-US"/>
        </w:rPr>
      </w:pPr>
      <w:r w:rsidRPr="00B81D14">
        <w:rPr>
          <w:lang w:val="en-US"/>
        </w:rPr>
        <w:t>Project Coordinator from Component One</w:t>
      </w:r>
    </w:p>
    <w:p w14:paraId="10F2EDCA" w14:textId="53572850" w:rsidR="007B4B18" w:rsidRPr="007B4B18" w:rsidRDefault="00B81D14" w:rsidP="00F05280">
      <w:pPr>
        <w:spacing w:after="0" w:line="240" w:lineRule="auto"/>
        <w:jc w:val="right"/>
        <w:rPr>
          <w:b/>
          <w:lang w:val="en-US"/>
        </w:rPr>
      </w:pPr>
      <w:r w:rsidRPr="00B81D14">
        <w:rPr>
          <w:lang w:val="en-US"/>
        </w:rPr>
        <w:t>September 2017.</w:t>
      </w:r>
    </w:p>
    <w:p w14:paraId="3D52CFD9" w14:textId="599F55ED" w:rsidR="00952E04" w:rsidRPr="003134AE" w:rsidRDefault="00952E04" w:rsidP="00F05280">
      <w:pPr>
        <w:rPr>
          <w:rFonts w:ascii="Optane" w:hAnsi="Optane"/>
          <w:b/>
          <w:lang w:val="en-US"/>
        </w:rPr>
      </w:pPr>
    </w:p>
    <w:sectPr w:rsidR="00952E04" w:rsidRPr="003134AE" w:rsidSect="007165A2">
      <w:type w:val="continuous"/>
      <w:pgSz w:w="11906" w:h="16838"/>
      <w:pgMar w:top="-1418" w:right="1418" w:bottom="1890"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06E3" w14:textId="77777777" w:rsidR="00B81D14" w:rsidRDefault="00B81D14" w:rsidP="0034670F">
      <w:pPr>
        <w:spacing w:after="0" w:line="240" w:lineRule="auto"/>
      </w:pPr>
      <w:r>
        <w:separator/>
      </w:r>
    </w:p>
  </w:endnote>
  <w:endnote w:type="continuationSeparator" w:id="0">
    <w:p w14:paraId="591047C3" w14:textId="77777777" w:rsidR="00B81D14" w:rsidRDefault="00B81D14" w:rsidP="0034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tan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414C" w14:textId="77777777" w:rsidR="00B81D14" w:rsidRDefault="00B81D14" w:rsidP="0034670F">
      <w:pPr>
        <w:spacing w:after="0" w:line="240" w:lineRule="auto"/>
      </w:pPr>
      <w:r>
        <w:separator/>
      </w:r>
    </w:p>
  </w:footnote>
  <w:footnote w:type="continuationSeparator" w:id="0">
    <w:p w14:paraId="455B2172" w14:textId="77777777" w:rsidR="00B81D14" w:rsidRDefault="00B81D14" w:rsidP="003467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57F4" w14:textId="77777777" w:rsidR="00B81D14" w:rsidRPr="000E423A" w:rsidRDefault="00B81D14" w:rsidP="00800F4D">
    <w:pPr>
      <w:pStyle w:val="Header"/>
      <w:ind w:left="-3882" w:right="3912"/>
      <w:rPr>
        <w:rFonts w:ascii="Optane" w:eastAsia="MS Gothic" w:hAnsi="Optane" w:cs="MS Gothic"/>
        <w:b/>
        <w:sz w:val="20"/>
      </w:rPr>
    </w:pPr>
  </w:p>
  <w:p w14:paraId="6EE10B06" w14:textId="77777777" w:rsidR="00B81D14" w:rsidRPr="00B52484" w:rsidRDefault="00B81D14" w:rsidP="00800F4D">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C02"/>
    <w:multiLevelType w:val="hybridMultilevel"/>
    <w:tmpl w:val="D42651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17A2C"/>
    <w:multiLevelType w:val="hybridMultilevel"/>
    <w:tmpl w:val="D8AE0FB2"/>
    <w:lvl w:ilvl="0" w:tplc="951E11B0">
      <w:numFmt w:val="bullet"/>
      <w:lvlText w:val="-"/>
      <w:lvlJc w:val="left"/>
      <w:pPr>
        <w:ind w:left="720" w:hanging="360"/>
      </w:pPr>
      <w:rPr>
        <w:rFonts w:ascii="Calibri" w:eastAsia="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368FF"/>
    <w:multiLevelType w:val="hybridMultilevel"/>
    <w:tmpl w:val="8D22B4B4"/>
    <w:lvl w:ilvl="0" w:tplc="F8B6FD5E">
      <w:numFmt w:val="bullet"/>
      <w:lvlText w:val="-"/>
      <w:lvlJc w:val="left"/>
      <w:pPr>
        <w:ind w:left="720" w:hanging="360"/>
      </w:pPr>
      <w:rPr>
        <w:rFonts w:ascii="Optane" w:eastAsiaTheme="minorHAnsi" w:hAnsi="Optan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35312B"/>
    <w:multiLevelType w:val="hybridMultilevel"/>
    <w:tmpl w:val="C51A25A8"/>
    <w:lvl w:ilvl="0" w:tplc="951E11B0">
      <w:numFmt w:val="bullet"/>
      <w:lvlText w:val="-"/>
      <w:lvlJc w:val="left"/>
      <w:pPr>
        <w:ind w:left="720" w:hanging="360"/>
      </w:pPr>
      <w:rPr>
        <w:rFonts w:ascii="Calibri" w:eastAsia="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2D5DA5"/>
    <w:multiLevelType w:val="hybridMultilevel"/>
    <w:tmpl w:val="6110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F"/>
    <w:rsid w:val="000043B5"/>
    <w:rsid w:val="00037B64"/>
    <w:rsid w:val="00055269"/>
    <w:rsid w:val="000961C3"/>
    <w:rsid w:val="000E423A"/>
    <w:rsid w:val="00104B89"/>
    <w:rsid w:val="00121BC7"/>
    <w:rsid w:val="0014383B"/>
    <w:rsid w:val="001656E3"/>
    <w:rsid w:val="0018453C"/>
    <w:rsid w:val="0019130A"/>
    <w:rsid w:val="0021402F"/>
    <w:rsid w:val="00253BFD"/>
    <w:rsid w:val="00285C12"/>
    <w:rsid w:val="002B0212"/>
    <w:rsid w:val="002B36D9"/>
    <w:rsid w:val="003134AE"/>
    <w:rsid w:val="003142B1"/>
    <w:rsid w:val="0034670F"/>
    <w:rsid w:val="003F56A3"/>
    <w:rsid w:val="004216FA"/>
    <w:rsid w:val="00457C01"/>
    <w:rsid w:val="00485134"/>
    <w:rsid w:val="00491B72"/>
    <w:rsid w:val="004A4771"/>
    <w:rsid w:val="004D7D40"/>
    <w:rsid w:val="005433AA"/>
    <w:rsid w:val="005714FD"/>
    <w:rsid w:val="005840B0"/>
    <w:rsid w:val="00586F67"/>
    <w:rsid w:val="005E11CE"/>
    <w:rsid w:val="005E1699"/>
    <w:rsid w:val="005E74AC"/>
    <w:rsid w:val="00601978"/>
    <w:rsid w:val="00677DA7"/>
    <w:rsid w:val="00685AAB"/>
    <w:rsid w:val="006942C4"/>
    <w:rsid w:val="006C7F7B"/>
    <w:rsid w:val="00707455"/>
    <w:rsid w:val="007165A2"/>
    <w:rsid w:val="00724BA3"/>
    <w:rsid w:val="007531E9"/>
    <w:rsid w:val="00757D41"/>
    <w:rsid w:val="0076772A"/>
    <w:rsid w:val="00772D0E"/>
    <w:rsid w:val="007B4B18"/>
    <w:rsid w:val="007C094E"/>
    <w:rsid w:val="007E0A63"/>
    <w:rsid w:val="00800F4D"/>
    <w:rsid w:val="00854801"/>
    <w:rsid w:val="008B75C0"/>
    <w:rsid w:val="008C65F2"/>
    <w:rsid w:val="00900FBB"/>
    <w:rsid w:val="0091522E"/>
    <w:rsid w:val="0092280A"/>
    <w:rsid w:val="00952E04"/>
    <w:rsid w:val="00972B87"/>
    <w:rsid w:val="00992BEF"/>
    <w:rsid w:val="00A33909"/>
    <w:rsid w:val="00A65936"/>
    <w:rsid w:val="00A710C4"/>
    <w:rsid w:val="00A856DD"/>
    <w:rsid w:val="00AC39B6"/>
    <w:rsid w:val="00AD7306"/>
    <w:rsid w:val="00B22BDF"/>
    <w:rsid w:val="00B52484"/>
    <w:rsid w:val="00B81D14"/>
    <w:rsid w:val="00BF7DF7"/>
    <w:rsid w:val="00C21174"/>
    <w:rsid w:val="00C641E5"/>
    <w:rsid w:val="00C84303"/>
    <w:rsid w:val="00D06238"/>
    <w:rsid w:val="00D11B55"/>
    <w:rsid w:val="00D148C0"/>
    <w:rsid w:val="00D160B2"/>
    <w:rsid w:val="00D16CA7"/>
    <w:rsid w:val="00D22A6D"/>
    <w:rsid w:val="00DB48DF"/>
    <w:rsid w:val="00DC3871"/>
    <w:rsid w:val="00E06ABB"/>
    <w:rsid w:val="00E53ACC"/>
    <w:rsid w:val="00E61288"/>
    <w:rsid w:val="00E72ABA"/>
    <w:rsid w:val="00E74AC8"/>
    <w:rsid w:val="00E84CC1"/>
    <w:rsid w:val="00EA28D7"/>
    <w:rsid w:val="00EB32EF"/>
    <w:rsid w:val="00ED03BD"/>
    <w:rsid w:val="00ED66F2"/>
    <w:rsid w:val="00EE3796"/>
    <w:rsid w:val="00EF6AF6"/>
    <w:rsid w:val="00F03C47"/>
    <w:rsid w:val="00F05280"/>
    <w:rsid w:val="00F91BA5"/>
    <w:rsid w:val="00FB6253"/>
    <w:rsid w:val="00FC1D20"/>
    <w:rsid w:val="00FF313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70F"/>
  </w:style>
  <w:style w:type="paragraph" w:styleId="Footer">
    <w:name w:val="footer"/>
    <w:basedOn w:val="Normal"/>
    <w:link w:val="FooterChar"/>
    <w:uiPriority w:val="99"/>
    <w:unhideWhenUsed/>
    <w:rsid w:val="003467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70F"/>
  </w:style>
  <w:style w:type="table" w:styleId="TableGrid">
    <w:name w:val="Table Grid"/>
    <w:basedOn w:val="TableNormal"/>
    <w:uiPriority w:val="59"/>
    <w:rsid w:val="0034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0F"/>
    <w:rPr>
      <w:rFonts w:ascii="Tahoma" w:hAnsi="Tahoma" w:cs="Tahoma"/>
      <w:sz w:val="16"/>
      <w:szCs w:val="16"/>
    </w:rPr>
  </w:style>
  <w:style w:type="paragraph" w:styleId="ListParagraph">
    <w:name w:val="List Paragraph"/>
    <w:basedOn w:val="Normal"/>
    <w:uiPriority w:val="34"/>
    <w:qFormat/>
    <w:rsid w:val="005E11CE"/>
    <w:pPr>
      <w:ind w:left="720"/>
      <w:contextualSpacing/>
    </w:pPr>
  </w:style>
  <w:style w:type="paragraph" w:styleId="NormalWeb">
    <w:name w:val="Normal (Web)"/>
    <w:basedOn w:val="Normal"/>
    <w:uiPriority w:val="99"/>
    <w:semiHidden/>
    <w:unhideWhenUsed/>
    <w:rsid w:val="004216FA"/>
    <w:rPr>
      <w:rFonts w:ascii="Times New Roman" w:hAnsi="Times New Roman" w:cs="Times New Roman"/>
      <w:sz w:val="24"/>
      <w:szCs w:val="24"/>
    </w:rPr>
  </w:style>
  <w:style w:type="paragraph" w:customStyle="1" w:styleId="Default">
    <w:name w:val="Default"/>
    <w:rsid w:val="00D148C0"/>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Hyperlink">
    <w:name w:val="Hyperlink"/>
    <w:basedOn w:val="DefaultParagraphFont"/>
    <w:uiPriority w:val="99"/>
    <w:unhideWhenUsed/>
    <w:rsid w:val="00B81D14"/>
    <w:rPr>
      <w:color w:val="0000FF" w:themeColor="hyperlink"/>
      <w:u w:val="single"/>
    </w:rPr>
  </w:style>
  <w:style w:type="character" w:styleId="FollowedHyperlink">
    <w:name w:val="FollowedHyperlink"/>
    <w:basedOn w:val="DefaultParagraphFont"/>
    <w:uiPriority w:val="99"/>
    <w:semiHidden/>
    <w:unhideWhenUsed/>
    <w:rsid w:val="00B81D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70F"/>
  </w:style>
  <w:style w:type="paragraph" w:styleId="Footer">
    <w:name w:val="footer"/>
    <w:basedOn w:val="Normal"/>
    <w:link w:val="FooterChar"/>
    <w:uiPriority w:val="99"/>
    <w:unhideWhenUsed/>
    <w:rsid w:val="003467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70F"/>
  </w:style>
  <w:style w:type="table" w:styleId="TableGrid">
    <w:name w:val="Table Grid"/>
    <w:basedOn w:val="TableNormal"/>
    <w:uiPriority w:val="59"/>
    <w:rsid w:val="0034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0F"/>
    <w:rPr>
      <w:rFonts w:ascii="Tahoma" w:hAnsi="Tahoma" w:cs="Tahoma"/>
      <w:sz w:val="16"/>
      <w:szCs w:val="16"/>
    </w:rPr>
  </w:style>
  <w:style w:type="paragraph" w:styleId="ListParagraph">
    <w:name w:val="List Paragraph"/>
    <w:basedOn w:val="Normal"/>
    <w:uiPriority w:val="34"/>
    <w:qFormat/>
    <w:rsid w:val="005E11CE"/>
    <w:pPr>
      <w:ind w:left="720"/>
      <w:contextualSpacing/>
    </w:pPr>
  </w:style>
  <w:style w:type="paragraph" w:styleId="NormalWeb">
    <w:name w:val="Normal (Web)"/>
    <w:basedOn w:val="Normal"/>
    <w:uiPriority w:val="99"/>
    <w:semiHidden/>
    <w:unhideWhenUsed/>
    <w:rsid w:val="004216FA"/>
    <w:rPr>
      <w:rFonts w:ascii="Times New Roman" w:hAnsi="Times New Roman" w:cs="Times New Roman"/>
      <w:sz w:val="24"/>
      <w:szCs w:val="24"/>
    </w:rPr>
  </w:style>
  <w:style w:type="paragraph" w:customStyle="1" w:styleId="Default">
    <w:name w:val="Default"/>
    <w:rsid w:val="00D148C0"/>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Hyperlink">
    <w:name w:val="Hyperlink"/>
    <w:basedOn w:val="DefaultParagraphFont"/>
    <w:uiPriority w:val="99"/>
    <w:unhideWhenUsed/>
    <w:rsid w:val="00B81D14"/>
    <w:rPr>
      <w:color w:val="0000FF" w:themeColor="hyperlink"/>
      <w:u w:val="single"/>
    </w:rPr>
  </w:style>
  <w:style w:type="character" w:styleId="FollowedHyperlink">
    <w:name w:val="FollowedHyperlink"/>
    <w:basedOn w:val="DefaultParagraphFont"/>
    <w:uiPriority w:val="99"/>
    <w:semiHidden/>
    <w:unhideWhenUsed/>
    <w:rsid w:val="00B81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7261">
      <w:bodyDiv w:val="1"/>
      <w:marLeft w:val="0"/>
      <w:marRight w:val="0"/>
      <w:marTop w:val="0"/>
      <w:marBottom w:val="0"/>
      <w:divBdr>
        <w:top w:val="none" w:sz="0" w:space="0" w:color="auto"/>
        <w:left w:val="none" w:sz="0" w:space="0" w:color="auto"/>
        <w:bottom w:val="none" w:sz="0" w:space="0" w:color="auto"/>
        <w:right w:val="none" w:sz="0" w:space="0" w:color="auto"/>
      </w:divBdr>
    </w:div>
    <w:div w:id="1659184290">
      <w:bodyDiv w:val="1"/>
      <w:marLeft w:val="0"/>
      <w:marRight w:val="0"/>
      <w:marTop w:val="0"/>
      <w:marBottom w:val="0"/>
      <w:divBdr>
        <w:top w:val="none" w:sz="0" w:space="0" w:color="auto"/>
        <w:left w:val="none" w:sz="0" w:space="0" w:color="auto"/>
        <w:bottom w:val="none" w:sz="0" w:space="0" w:color="auto"/>
        <w:right w:val="none" w:sz="0" w:space="0" w:color="auto"/>
      </w:divBdr>
    </w:div>
    <w:div w:id="1963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chinasprp.e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D588-7AD7-9645-B0D5-25124C0A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2514</Characters>
  <Application>Microsoft Macintosh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Chimenti</dc:creator>
  <cp:keywords/>
  <cp:lastModifiedBy>JVG</cp:lastModifiedBy>
  <cp:revision>2</cp:revision>
  <cp:lastPrinted>2015-01-08T15:49:00Z</cp:lastPrinted>
  <dcterms:created xsi:type="dcterms:W3CDTF">2017-09-05T15:40:00Z</dcterms:created>
  <dcterms:modified xsi:type="dcterms:W3CDTF">2017-09-05T15:40:00Z</dcterms:modified>
</cp:coreProperties>
</file>